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417"/>
        <w:gridCol w:w="7483"/>
      </w:tblGrid>
      <w:tr>
        <w:trPr>
          <w:trHeight w:val="12359" w:hRule="exact"/>
        </w:trPr>
        <w:tc>
          <w:tcPr>
            <w:tcW w:type="dxa" w:w="1417"/>
            <w:shd w:fill="D9D9D9"/>
            <w:vAlign w:val="bottom"/>
            <w:tcMar>
              <w:top w:w="100" w:type="dxa"/>
              <w:bottom w:w="16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color w:val="000000"/>
                <w:sz w:val="15"/>
              </w:rPr>
              <w:t>分  类：项目交付文档</w:t>
              <w:br/>
              <w:t>使用者：项目组</w:t>
              <w:br/>
              <w:t>文档编号：</w:t>
              <w:br/>
              <w:t>SC-2026-01-11</w:t>
              <w:br/>
              <w:br/>
              <w:t>软件工程实训项目组</w:t>
            </w:r>
          </w:p>
        </w:tc>
        <w:tc>
          <w:tcPr>
            <w:tcW w:type="dxa" w:w="7483"/>
            <w:vAlign w:val="top"/>
            <w:tcMar>
              <w:top w:w="20" w:type="dxa"/>
              <w:bottom w:w="20" w:type="dxa"/>
              <w:left w:w="240" w:type="dxa"/>
              <w:right w:w="80" w:type="dxa"/>
            </w:tcMar>
          </w:tcPr>
          <w:p>
            <w:pPr>
              <w:spacing w:after="0"/>
            </w:pPr>
          </w:p>
          <w:tbl>
            <w:tblPr>
              <w:tblW w:type="auto" w:w="0"/>
              <w:jc w:val="right"/>
              <w:tblLayout w:type="fixed"/>
              <w:tblLook w:firstColumn="1" w:firstRow="1" w:lastColumn="0" w:lastRow="0" w:noHBand="0" w:noVBand="1" w:val="04A0"/>
              <w:tblBorders>
                <w:top w:val="single" w:sz="5" w:color="8A8A8A"/>
                <w:left w:val="single" w:sz="5" w:color="8A8A8A"/>
                <w:bottom w:val="single" w:sz="5" w:color="8A8A8A"/>
                <w:right w:val="single" w:sz="5" w:color="8A8A8A"/>
                <w:insideH w:val="single" w:sz="5" w:color="8A8A8A"/>
                <w:insideV w:val="single" w:sz="5" w:color="8A8A8A"/>
              </w:tblBorders>
            </w:tblPr>
            <w:tblGrid>
              <w:gridCol w:w="3741"/>
              <w:gridCol w:w="3741"/>
            </w:tblGrid>
            <w:tr>
              <w:tc>
                <w:tcPr>
                  <w:tcW w:type="dxa" w:w="1191"/>
                  <w:tcMar>
                    <w:top w:w="20" w:type="dxa"/>
                    <w:bottom w:w="20" w:type="dxa"/>
                    <w:left w:w="50" w:type="dxa"/>
                    <w:right w:w="50" w:type="dxa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5"/>
                    </w:rPr>
                    <w:t>卷  号</w:t>
                  </w:r>
                </w:p>
              </w:tc>
              <w:tc>
                <w:tcPr>
                  <w:tcW w:type="dxa" w:w="2041"/>
                  <w:tcMar>
                    <w:top w:w="20" w:type="dxa"/>
                    <w:bottom w:w="20" w:type="dxa"/>
                    <w:left w:w="50" w:type="dxa"/>
                    <w:right w:w="50" w:type="dxa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5"/>
                    </w:rPr>
                  </w:r>
                </w:p>
              </w:tc>
            </w:tr>
            <w:tr>
              <w:tc>
                <w:tcPr>
                  <w:tcW w:type="dxa" w:w="1191"/>
                  <w:tcMar>
                    <w:top w:w="20" w:type="dxa"/>
                    <w:bottom w:w="20" w:type="dxa"/>
                    <w:left w:w="50" w:type="dxa"/>
                    <w:right w:w="50" w:type="dxa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5"/>
                    </w:rPr>
                    <w:t>卷内编号</w:t>
                  </w:r>
                </w:p>
              </w:tc>
              <w:tc>
                <w:tcPr>
                  <w:tcW w:type="dxa" w:w="2041"/>
                  <w:tcMar>
                    <w:top w:w="20" w:type="dxa"/>
                    <w:bottom w:w="20" w:type="dxa"/>
                    <w:left w:w="50" w:type="dxa"/>
                    <w:right w:w="50" w:type="dxa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5"/>
                    </w:rPr>
                  </w:r>
                </w:p>
              </w:tc>
            </w:tr>
            <w:tr>
              <w:tc>
                <w:tcPr>
                  <w:tcW w:type="dxa" w:w="1191"/>
                  <w:tcMar>
                    <w:top w:w="20" w:type="dxa"/>
                    <w:bottom w:w="20" w:type="dxa"/>
                    <w:left w:w="50" w:type="dxa"/>
                    <w:right w:w="50" w:type="dxa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5"/>
                    </w:rPr>
                    <w:t>密  级</w:t>
                  </w:r>
                </w:p>
              </w:tc>
              <w:tc>
                <w:tcPr>
                  <w:tcW w:type="dxa" w:w="2041"/>
                  <w:tcMar>
                    <w:top w:w="20" w:type="dxa"/>
                    <w:bottom w:w="20" w:type="dxa"/>
                    <w:left w:w="50" w:type="dxa"/>
                    <w:right w:w="50" w:type="dxa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5"/>
                    </w:rPr>
                  </w:r>
                </w:p>
              </w:tc>
            </w:tr>
          </w:tbl>
          <w:p/>
          <w:p>
            <w:pPr>
              <w:spacing w:after="12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8"/>
              </w:rPr>
            </w:r>
          </w:p>
          <w:p>
            <w:pPr>
              <w:spacing w:after="12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8"/>
              </w:rPr>
            </w:r>
          </w:p>
          <w:p>
            <w:pPr>
              <w:spacing w:after="12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8"/>
              </w:rPr>
            </w:r>
          </w:p>
          <w:p>
            <w:pPr>
              <w:spacing w:after="12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8"/>
              </w:rPr>
            </w:r>
          </w:p>
          <w:p>
            <w:pPr>
              <w:spacing w:after="400" w:line="324" w:lineRule="auto"/>
              <w:jc w:val="center"/>
              <w:snapToGrid w:val="0"/>
            </w:pPr>
            <w:r>
              <w:rPr>
                <w:rFonts w:ascii="Times New Roman" w:hAnsi="Times New Roman" w:eastAsia="黑体"/>
                <w:b/>
                <w:color w:val="000000"/>
                <w:sz w:val="38"/>
              </w:rPr>
              <w:t>智慧医养大数据公共服务平台</w:t>
            </w:r>
            <w:r>
              <w:br/>
            </w:r>
            <w:r>
              <w:rPr>
                <w:rFonts w:ascii="Times New Roman" w:hAnsi="Times New Roman" w:eastAsia="黑体"/>
                <w:b/>
                <w:color w:val="000000"/>
                <w:sz w:val="38"/>
              </w:rPr>
              <w:t>大数据决策分析系统</w:t>
            </w:r>
          </w:p>
          <w:p>
            <w:pPr>
              <w:pStyle w:val="Title"/>
              <w:spacing w:after="560" w:line="324" w:lineRule="auto"/>
              <w:jc w:val="center"/>
              <w:snapToGrid w:val="0"/>
            </w:pPr>
            <w:r>
              <w:rPr>
                <w:rFonts w:ascii="Times New Roman" w:hAnsi="Times New Roman" w:eastAsia="黑体"/>
                <w:b/>
                <w:color w:val="000000"/>
                <w:sz w:val="50"/>
              </w:rPr>
              <w:t>项目部署环境说明书</w:t>
            </w:r>
          </w:p>
          <w:p>
            <w:pPr>
              <w:spacing w:after="16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项 目 承 担 部 门：  软件工程实训项目组</w:t>
            </w:r>
          </w:p>
          <w:p>
            <w:pPr>
              <w:spacing w:after="16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撰 写 人（签名）：  胡吉涵主责，钟毓林协助</w:t>
            </w:r>
          </w:p>
          <w:p>
            <w:pPr>
              <w:spacing w:after="16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完 成 日 期：  2026年9月9日</w:t>
            </w:r>
          </w:p>
          <w:p>
            <w:pPr>
              <w:spacing w:after="16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本文档使用部门：  ■项目组  □主管领导  □维护人员  □用户</w:t>
            </w:r>
          </w:p>
          <w:p>
            <w:pPr>
              <w:spacing w:after="16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评审负责人（签名）：  周虹宏</w:t>
            </w:r>
          </w:p>
          <w:p>
            <w:pPr>
              <w:spacing w:after="16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评 审 日 期：  2026年9月9日</w:t>
            </w:r>
          </w:p>
        </w:tc>
      </w:tr>
    </w:tbl>
    <w:p>
      <w:r>
        <w:br w:type="page"/>
      </w:r>
    </w:p>
    <w:p>
      <w:pPr>
        <w:pStyle w:val="Heading1"/>
        <w:spacing w:after="280" w:line="324" w:lineRule="auto"/>
        <w:jc w:val="center"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文档信息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color="B7B7B7"/>
          <w:left w:val="single" w:sz="6" w:color="B7B7B7"/>
          <w:bottom w:val="single" w:sz="6" w:color="B7B7B7"/>
          <w:right w:val="single" w:sz="6" w:color="B7B7B7"/>
          <w:insideH w:val="single" w:sz="6" w:color="B7B7B7"/>
          <w:insideV w:val="single" w:sz="6" w:color="B7B7B7"/>
        </w:tblBorders>
      </w:tblPr>
      <w:tblGrid>
        <w:gridCol w:w="4513"/>
        <w:gridCol w:w="4513"/>
      </w:tblGrid>
      <w:tr>
        <w:trPr>
          <w:cantSplit/>
          <w:tblHeader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文档信息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标题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智慧医养大数据决策分析系统 项目部署环境说明书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作者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胡吉涵主责，钟毓林协助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创建日期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2026年9月9日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上次更新日期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2026年9月9日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版本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V1.1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部门名称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软件工程实训项目组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适用范围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说明系统软硬件运行环境基准、配置参数字典、初始化脚本执行、打包部署与运维手册</w:t>
            </w:r>
          </w:p>
        </w:tc>
      </w:tr>
    </w:tbl>
    <w:p>
      <w:pPr>
        <w:spacing w:after="0" w:line="324" w:lineRule="auto"/>
        <w:snapToGrid w:val="0"/>
      </w:pPr>
      <w:r>
        <w:rPr>
          <w:rFonts w:ascii="Times New Roman" w:hAnsi="Times New Roman" w:eastAsia="宋体"/>
          <w:color w:val="000000"/>
          <w:sz w:val="4"/>
        </w:rPr>
      </w:r>
    </w:p>
    <w:p>
      <w:pPr>
        <w:pStyle w:val="Heading1"/>
        <w:spacing w:after="120" w:line="324" w:lineRule="auto" w:before="360"/>
        <w:jc w:val="center"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修订文档历史记录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color="B7B7B7"/>
          <w:left w:val="single" w:sz="6" w:color="B7B7B7"/>
          <w:bottom w:val="single" w:sz="6" w:color="B7B7B7"/>
          <w:right w:val="single" w:sz="6" w:color="B7B7B7"/>
          <w:insideH w:val="single" w:sz="6" w:color="B7B7B7"/>
          <w:insideV w:val="single" w:sz="6" w:color="B7B7B7"/>
        </w:tblBorders>
      </w:tblPr>
      <w:tblGrid>
        <w:gridCol w:w="2256"/>
        <w:gridCol w:w="2256"/>
        <w:gridCol w:w="2256"/>
        <w:gridCol w:w="2256"/>
      </w:tblGrid>
      <w:tr>
        <w:trPr>
          <w:cantSplit/>
          <w:tblHeader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日期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版本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说明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作者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2026年9月9日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V1.1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按照三创谷实训项目交付规范编制，经全员交叉评审并与实际系统代码验证基线同步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软件工程实训项目组</w:t>
            </w:r>
          </w:p>
        </w:tc>
      </w:tr>
    </w:tbl>
    <w:p>
      <w:pPr>
        <w:spacing w:after="0" w:line="324" w:lineRule="auto"/>
        <w:snapToGrid w:val="0"/>
      </w:pPr>
      <w:r>
        <w:rPr>
          <w:rFonts w:ascii="Times New Roman" w:hAnsi="Times New Roman" w:eastAsia="宋体"/>
          <w:color w:val="000000"/>
          <w:sz w:val="4"/>
        </w:rPr>
      </w:r>
    </w:p>
    <w:p>
      <w:r>
        <w:br w:type="page"/>
      </w:r>
    </w:p>
    <w:p>
      <w:pPr>
        <w:pStyle w:val="Heading1"/>
        <w:spacing w:after="280" w:line="324" w:lineRule="auto"/>
        <w:jc w:val="center"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目  录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1 部署架构概述与软硬件环境基准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2 数据库初始化与升级规范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3 关键环境变量与核心配置字典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4 系统一键构建与打包流程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5 启动运行与常用 Profile 配置模式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6 常见部署故障与应急排查手册</w:t>
      </w:r>
    </w:p>
    <w:p>
      <w:pPr>
        <w:pStyle w:val="Heading1"/>
        <w:spacing w:after="140" w:line="324" w:lineRule="auto" w:before="160"/>
        <w:keepNext/>
        <w:pageBreakBefore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1 部署架构概述与软硬件环境基准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智慧医养大数据决策分析系统采用现代前后端同源集成的 Spring Boot 可执行 Fat-JAR 交付形态，前端构建产物内嵌于后端静态资源目录中，支持单实例一键部署运行。底层依赖一套 MySQL 8.0 关系型数据库。软硬件部署基准配置如下：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color="B7B7B7"/>
          <w:left w:val="single" w:sz="6" w:color="B7B7B7"/>
          <w:bottom w:val="single" w:sz="6" w:color="B7B7B7"/>
          <w:right w:val="single" w:sz="6" w:color="B7B7B7"/>
          <w:insideH w:val="single" w:sz="6" w:color="B7B7B7"/>
          <w:insideV w:val="single" w:sz="6" w:color="B7B7B7"/>
        </w:tblBorders>
      </w:tblPr>
      <w:tblGrid>
        <w:gridCol w:w="3009"/>
        <w:gridCol w:w="3009"/>
        <w:gridCol w:w="3009"/>
      </w:tblGrid>
      <w:tr>
        <w:trPr>
          <w:cantSplit/>
          <w:tblHeader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系统组件维度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推荐生产运行基准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实训开发与测试验证基准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操作系统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Ubuntu 22.04 LTS / CentOS 7.9 / Windows Server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Windows 11 x86_64 企业级开发环境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CPU 与内存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推荐 4 核 CPU 以上，8 GB 内存以上，配置高速 SSD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4 核 CPU，16 GB 内存（实训开发机）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Java 运行时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OpenJDK 17 LTS / Eclipse Temurin 17.0.12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Java 17 生产兼容编译目标，通过 Maven 3.9 构建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关系型数据库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MySQL 8.0.16 及以上（实测 8.0.46），utf8mb4 字符集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MySQL 8.0.46，统一配置 Asia/Shanghai 本地时区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前端运行环境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无需独立 Node.js 服务（构建后静态资源内置于 JAR）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编译期依赖 Node.js 22.12.0 及 Vite 7.3.6 构建工具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服务端口规划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应用主服务默认 8080 端口（可配置）；数据库 3306 端口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本地开发采用 8080，隔离测试验收采用 18081 与 13317 端口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终端浏览器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Google Chrome 120+、Microsoft Edge 等现代浏览器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Chrome 152 自动化测试环境全部通过</w:t>
            </w:r>
          </w:p>
        </w:tc>
      </w:tr>
    </w:tbl>
    <w:p>
      <w:pPr>
        <w:spacing w:after="0" w:line="324" w:lineRule="auto"/>
        <w:snapToGrid w:val="0"/>
      </w:pPr>
      <w:r>
        <w:rPr>
          <w:rFonts w:ascii="Times New Roman" w:hAnsi="Times New Roman" w:eastAsia="宋体"/>
          <w:color w:val="000000"/>
          <w:sz w:val="4"/>
        </w:rPr>
      </w:r>
    </w:p>
    <w:p>
      <w:pPr>
        <w:pStyle w:val="Heading1"/>
        <w:spacing w:after="140" w:line="324" w:lineRule="auto" w:before="160"/>
        <w:keepNext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2 数据库初始化与升级规范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1. 全新数据库初始化：在 MySQL 8.0 实例中，首先使用具备 DBA 权限的账号执行 database/00-create-database.sql 建立 smart_care 数据库并赋予专用连接用户权限；随后执行 database/01-schema.sql 顺序初始化全部 18 张表结构、外键与联合索引。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2. 权限隔离原则：生产环境下应用数据库账号仅授予 SELECT、INSERT、UPDATE、DELETE 数据操作权限，禁止授予 DROP 等破坏性 DDL 权限，确保底层数据库安全。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3. 时区配置强一致：数据库服务器时区必须明确设置为 +08:00，JDBC 连接串必须明确声明 connectionTimeZone=Asia/Shanghai，杜绝跨时区导致的体检与定位时间漂移。</w:t>
      </w:r>
    </w:p>
    <w:p>
      <w:pPr>
        <w:pStyle w:val="Heading1"/>
        <w:spacing w:after="140" w:line="324" w:lineRule="auto" w:before="160"/>
        <w:keepNext/>
        <w:pageBreakBefore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3 关键环境变量与核心配置字典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系统遵循 12-Factor 现代化云原生配置原则，核心配置支持通过系统环境变量解耦注入：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color="B7B7B7"/>
          <w:left w:val="single" w:sz="6" w:color="B7B7B7"/>
          <w:bottom w:val="single" w:sz="6" w:color="B7B7B7"/>
          <w:right w:val="single" w:sz="6" w:color="B7B7B7"/>
          <w:insideH w:val="single" w:sz="6" w:color="B7B7B7"/>
          <w:insideV w:val="single" w:sz="6" w:color="B7B7B7"/>
        </w:tblBorders>
      </w:tblPr>
      <w:tblGrid>
        <w:gridCol w:w="3009"/>
        <w:gridCol w:w="3009"/>
        <w:gridCol w:w="3009"/>
      </w:tblGrid>
      <w:tr>
        <w:trPr>
          <w:cantSplit/>
          <w:tblHeader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环境变量名称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默认值或配置示例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配置语义与安全加固说明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DB_URL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jdbc:mysql://127.0.0.1:3306/smart_care?useUnicode=true&amp;characterEncoding=UTF-8&amp;connectionTimeZone=Asia/Shanghai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数据库 JDBC 连接串，必须显式声明编码与上海时区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DB_USERNAME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smart_care_app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应用连接专用数据库操作账号，生产严禁使用 root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DB_PASSWORD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自定义强密码（交互式配置）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数据库账号访问密码，严禁明文硬编码至配置文件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APP_ADMIN_PASSWORD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自定义管理员初始化密码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仅首次空库创建 admin 时生效，要求 12~72 字符，包含大小写与数字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SERVER_PORT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8080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Spring Boot 应用监听端口，可按环境需要灵活重定向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SPRING_PROFILES_ACTIVE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demo（演示）/ local（本地）/ prod（生产）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运行 Profile 模式，demo 开放模拟入口，prod 强制安全加固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APP_SEED_DEMO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true / false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仅 demo 环境生效，首次启动时自动填充基础演示数据</w:t>
            </w:r>
          </w:p>
        </w:tc>
      </w:tr>
    </w:tbl>
    <w:p>
      <w:pPr>
        <w:spacing w:after="0" w:line="324" w:lineRule="auto"/>
        <w:snapToGrid w:val="0"/>
      </w:pPr>
      <w:r>
        <w:rPr>
          <w:rFonts w:ascii="Times New Roman" w:hAnsi="Times New Roman" w:eastAsia="宋体"/>
          <w:color w:val="000000"/>
          <w:sz w:val="4"/>
        </w:rPr>
      </w:r>
    </w:p>
    <w:p>
      <w:pPr>
        <w:pStyle w:val="Heading1"/>
        <w:spacing w:after="140" w:line="324" w:lineRule="auto" w:before="160"/>
        <w:keepNext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4 系统一键构建与打包流程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项目根目录下提供了自动化打包脚本 scripts/build.ps1，在 PowerShell 中执行该脚本即可完成端到端自动化编译打包：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1. 脚本首先进入 frontend 目录执行 npm ci 与 npm run build，通过 Vite 7 编译生成优化压缩后的前端静态文件；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2. 将前端 dist 产物自动化复制至后端 src/main/resources/static 目录中；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3. 调用 Maven Wrapper（mvnw.cmd）执行标准构建打包，全量运行 28 项自动化测试；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4. 在 target 目录下生成开箱即用的可执行文件 dev-0.0.1-SNAPSHOT.jar，实现零依赖一键运行。</w:t>
      </w:r>
    </w:p>
    <w:p>
      <w:pPr>
        <w:pStyle w:val="Heading1"/>
        <w:spacing w:after="140" w:line="324" w:lineRule="auto" w:before="160"/>
        <w:keepNext/>
        <w:pageBreakBefore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5 启动运行与常用 Profile 配置模式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1. 演示模式启动（面向实训结项答辩与现场演示）：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执行命令：.\scripts\start.ps1 -Profile demo -Port 8080。该模式会自动初始化内置示例老人、健康体检与围栏数据，并开放 SimulationPanel 轨迹模拟注入工具，方便现场交互演示。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2. 生产模式启动（面向机构正式部署）：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执行命令：java -Dspring.profiles.active=prod -jar target/dev-0.0.1-SNAPSHOT.jar。生产模式下自动屏蔽任何模拟注入端点，强制启用严格的 HTTPS Cookie 安全策略与敏感信息审计日志。</w:t>
      </w:r>
    </w:p>
    <w:p>
      <w:pPr>
        <w:pStyle w:val="Heading1"/>
        <w:spacing w:after="140" w:line="324" w:lineRule="auto" w:before="160"/>
        <w:keepNext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6 常见部署故障与应急排查手册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测试与运维团队总结了常见的部署环境故障与标准应对处置方案：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color="B7B7B7"/>
          <w:left w:val="single" w:sz="6" w:color="B7B7B7"/>
          <w:bottom w:val="single" w:sz="6" w:color="B7B7B7"/>
          <w:right w:val="single" w:sz="6" w:color="B7B7B7"/>
          <w:insideH w:val="single" w:sz="6" w:color="B7B7B7"/>
          <w:insideV w:val="single" w:sz="6" w:color="B7B7B7"/>
        </w:tblBorders>
      </w:tblPr>
      <w:tblGrid>
        <w:gridCol w:w="3009"/>
        <w:gridCol w:w="3009"/>
        <w:gridCol w:w="3009"/>
      </w:tblGrid>
      <w:tr>
        <w:trPr>
          <w:cantSplit/>
          <w:tblHeader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故障现象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常见根因分析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标准处置与排查步骤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启动提示缺少 APP_ADMIN_PASSWORD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首次初始化空库时未提供管理员初始密码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在环境变量中显式配置满足长度复杂度要求的 APP_ADMIN_PASSWORD 后重新启动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Access denied for user 连接失败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数据库账号密码错误或未授予远程授权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核对 DB_USERNAME 与密码，检查 MySQL 用户主机白名单（如 % 或 localhost）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Web 端口 8080 Address already in use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8080 端口已被本机其他后台服务占用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修改环境变量 SERVER_PORT=18080，使用备用端口启动应用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JAR 文件重命名失败（Text file busy）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Windows 系统锁定了正在运行中的旧 JAR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在任务管理器中正常终止原 Java 进程，再执行构建打包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设备定位接口返回 401 Unauthorized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穿戴设备未在请求头携带合法 X-Device-Key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在管理员腕表管理界面重新签发密钥，并将新密钥配置进硬件网关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历史健康图表时间显示异常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数据库时区与应用系统时区未对齐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检查 MySQL 数据库参数 time_zone，并在 DB_URL 中声明 Asia/Shanghai</w:t>
            </w:r>
          </w:p>
        </w:tc>
      </w:tr>
    </w:tbl>
    <w:p>
      <w:pPr>
        <w:spacing w:after="0" w:line="324" w:lineRule="auto"/>
        <w:snapToGrid w:val="0"/>
      </w:pPr>
      <w:r>
        <w:rPr>
          <w:rFonts w:ascii="Times New Roman" w:hAnsi="Times New Roman" w:eastAsia="宋体"/>
          <w:color w:val="000000"/>
          <w:sz w:val="4"/>
        </w:rPr>
      </w:r>
    </w:p>
    <w:sectPr w:rsidR="00FC693F" w:rsidRPr="0006063C" w:rsidSect="00034616">
      <w:footerReference w:type="default" r:id="rId9"/>
      <w:pgSz w:w="11906" w:h="16838"/>
      <w:pgMar w:top="1440" w:right="1440" w:bottom="1440" w:left="1440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color w:val="666666"/>
        <w:sz w:val="16"/>
      </w:rPr>
      <w:t xml:space="preserve">智慧医养大数据决策分析系统  V1.1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黑体"/>
      <w:b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智慧医养大数据决策分析系统 项目部署环境说明书</dc:title>
  <dc:subject>说明系统软硬件运行环境基准、配置参数字典、初始化脚本执行、打包部署与运维手册</dc:subject>
  <dc:creator>软件工程实训项目组</dc:creator>
  <cp:keywords/>
  <dc:description>依据三创谷实训项目规范编制，内容与当前系统代码实现和工程质量证据保持严格一致。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