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HelveticaNeue-bold.ttf" ContentType="application/x-font-ttf"/>
  <Override PartName="/word/fonts/HelveticaNeue-boldItalic.ttf" ContentType="application/x-font-ttf"/>
  <Override PartName="/word/fonts/HelveticaNeue-italic.ttf" ContentType="application/x-font-ttf"/>
  <Override PartName="/word/fonts/HelveticaNeue-regular.ttf" ContentType="application/x-font-ttf"/>
  <Override PartName="/word/fonts/HelveticaNeueLight-bold.ttf" ContentType="application/x-font-ttf"/>
  <Override PartName="/word/fonts/HelveticaNeueLight-boldItalic.ttf" ContentType="application/x-font-ttf"/>
  <Override PartName="/word/fonts/HelveticaNeueLight-italic.ttf" ContentType="application/x-font-ttf"/>
  <Override PartName="/word/fonts/HelveticaNeueLight-regular.ttf" ContentType="application/x-font-ttf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>
      <w:pPr>
        <w:spacing w:after="2500" w:line="283" w:lineRule="auto"/>
        <w:snapToGrid w:val="0"/>
      </w:pPr>
      <w:r>
        <w:rPr>
          <w:rFonts w:ascii="Georgia" w:hAnsi="Georgia" w:eastAsia="Microsoft YaHei"/>
          <w:sz w:val="20"/>
        </w:rPr>
      </w:r>
    </w:p>
    <w:p>
      <w:pPr>
        <w:pStyle w:val="Title"/>
        <w:spacing w:after="340" w:line="283" w:lineRule="auto"/>
        <w:snapToGrid w:val="0"/>
      </w:pPr>
      <w:r>
        <w:rPr>
          <w:rFonts w:ascii="Georgia" w:hAnsi="Georgia" w:eastAsia="Microsoft YaHei"/>
          <w:b w:val="0"/>
          <w:color w:val="5E758A"/>
          <w:sz w:val="50"/>
        </w:rPr>
        <w:t>智慧医养大数据</w:t>
      </w:r>
      <w:r>
        <w:rPr>
          <w:rFonts w:ascii="Georgia" w:hAnsi="Georgia" w:eastAsia="Microsoft YaHei"/>
          <w:b w:val="0"/>
          <w:color w:val="5E758A"/>
          <w:sz w:val="50"/>
        </w:rPr>
        <w:br/>
      </w:r>
      <w:r>
        <w:rPr>
          <w:rFonts w:ascii="Georgia" w:hAnsi="Georgia" w:eastAsia="Microsoft YaHei"/>
          <w:b w:val="0"/>
          <w:color w:val="5E758A"/>
          <w:sz w:val="50"/>
        </w:rPr>
        <w:t>公共服务平台</w:t>
      </w:r>
    </w:p>
    <w:p>
      <w:pPr>
        <w:pStyle w:val="Title"/>
        <w:spacing w:after="1800" w:line="283" w:lineRule="auto"/>
        <w:snapToGrid w:val="0"/>
      </w:pPr>
      <w:r>
        <w:rPr>
          <w:rFonts w:ascii="Georgia" w:hAnsi="Georgia" w:eastAsia="Microsoft YaHei"/>
          <w:b/>
          <w:color w:val="000000"/>
          <w:sz w:val="58"/>
        </w:rPr>
        <w:t>测试用例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版本与状态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责任人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更新日期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V1.0 课程版交付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 组织 B C D 执行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2026年9月8日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tbl>
      <w:tblPr>
        <w:tblStyle w:val="Table3"/>
        <w:tblW w:w="10224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5112"/>
        <w:gridCol w:w="5112"/>
        <w:tblGridChange w:id="0">
          <w:tblGrid>
            <w:gridCol w:w="5112"/>
            <w:gridCol w:w="5112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文档信息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内容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系统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智慧医养大数据决策分析系统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给出真实自动测试映射和人工补充用例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读者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项目组成员 指导教师 验收人员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说明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姓名与实际签收信息由团队补充；测试结论按事实记录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1 用例说明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自动化用例以实际 src/test/java 中的方法为准。除登录类特例外，BusinessTests 每项在独立回滚事务中建立一位未知信息老人、一位医生、一只设备和三天前开始的有效绑定。测试管理员密码只用于 H2 测试，不是部署账号密码。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TC01 至 TC23 已于 2026年9月8日执行通过。涉及 HTTP 状态的用例通过 MockMvc 断言；直接业务调用用例断言 Api.Failure 或数据状态，不将其冒充跨网络 HTTP 测试。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级别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范围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执行方式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自动化功能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认证、统计、历史、围栏边界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mvnw.cmd test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MySQL 联调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实际会话、查询、注销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scripts/smoke_http.py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浏览器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导航、表单打开、窄屏和只读按钮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scripts/browser-qa.mjs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负载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四端点 20 并发 60 秒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scripts/performance_test.py，仅本任务隔离库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1 至 4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TC01 未认证读取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需求：FR01。步骤：不带会话 GET /elders。预期：HTTP 401。结果：通过。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方法：anonymousCannotReadData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TC02 登录注销闭环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需求：FR01。步骤：获取 CSRF；admin 正确密码登录；GET me；POST logout。预期：登录 200 且无密码字段；me 200；旧 Session 失效。结果：通过。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方法：realLoginAndLogoutInvalidateSession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TC03 错误密码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需求：FR01。步骤：带 CSRF 用 admin 和错误密码登录。预期：HTTP 401。结果：通过。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方法：invalidPasswordIsRejected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TC04 写权限与 CSRF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需求：FR01。步骤：管理员写入不带 CSRF；ANALYST 带 CSRF 写入；ANALYST 查询。预期：两次写入 403；查询 200。结果：通过。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方法：csrfAndReadOnlyRoleAreEnforced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5 至 8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TC05 会话降权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需求：FR01。步骤：创建 OPERATOR 保存认证对象；降为 ANALYST；用旧认证访问。预期：HTTP 401。结果：通过。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方法：roleChangeInvalidatesExistingAuthentication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TC06 最后管理员保护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需求：FR01。步骤：仅一名有效管理员时尝试停用该账号。预期：409 业务冲突；管理员保留。结果：通过。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方法：lastAdministratorCannotBeDisabled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TC07 参数边界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需求：FR03。步骤：GET elders?size=101；POST elders 提交不允许的 id 字段。预期：均为 400。结果：通过。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方法：paginationAndMassAssignmentAreRejected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TC08 人口未知与归档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需求：FR03。步骤：创建未知性别出生日期的有效老人；核对总数；归档后重查。预期：初始总数 1 且年龄未知；归档后 0。结果：通过。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方法：populationIncludesUnknownAndExcludesArchived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9 至 12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TC09 过期版本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需求：FR03。步骤：对 version=0 档案提交 version=4。预期：409 并提示刷新。结果：通过。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方法：staleElderUpdateIsRejected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TC10 健康计数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需求：FR04。步骤：同一老人录入 160 收缩压和 70 心率两条记录。预期：检测 2 次、1 人、异常 1 人。结果：通过。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方法：healthCountsPeopleAndRecordsSeparately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TC11 缺测与未来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需求：FR04。步骤：所有指标缺省提交；再以明天时间和血氧 99 提交。预期：均拒绝，不入库。结果：通过。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方法：healthMissingMetricsAndFutureDataAreRejected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TC12 随访完成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需求：FR05。步骤：创建一条到期计划；完成；用相同内容再次完成。预期：第二次冲突；只有一条完成记录；完成率 100。结果：通过。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方法：completionIsAtomicAndCannotBeRepeated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13 至 16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TC13 零计划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需求：FR05。步骤：空计划集查询随访统计。预期：completionRate 为 null。结果：通过。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方法：noPlansHaveNoArtificialCompletionRate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TC14 重复绑定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需求：FR06。步骤：设备已绑定该老人，再绑定一次。预期：业务冲突，无重复有效绑定。结果：通过。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方法：duplicateBindingIsRejected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TC15 越界生命周期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需求：FR07。步骤：500 米圆；连续两个外点；一个内点；再一个外点。预期：事件数 1、1；返回时间写入；最终 2。结果：通过。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方法：persistentOutsideOnlyCreatesOneAlertAndReturnAllowsAnother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TC16 重传与乱序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需求：FR07。步骤：外点同内容重传；更早内点；原 eventId 改内容重传。预期：只存两个点；外部状态不回退；改内容 409。结果：通过。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方法：duplicateAndOutOfOrderPointsDoNotCorruptMonitoring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17 至 20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TC17 轨迹顺序与范围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需求：FR08。步骤：先写较晚点再写较早点；查 1 小时；再查 48 小时。预期：升序返回；48 小时拒绝。结果：通过。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方法：trajectoryIsSortedAndRestricted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TC18 换绑历史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需求：FR06 FR08。步骤：解绑老人甲，绑定乙，补传甲绑定期间的定位。预期：历史定位归甲；乙当前定位不被污染。结果：通过。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方法：rebindingPreservesHistoricalOwner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TC19 旧心跳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需求：FR06。步骤：先更新较新心跳，再写更旧心跳。预期：lastSeenAt 不后退。结果：通过。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方法：heartbeatDoesNotMoveBackwards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TC20 演示边界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需求：FR07。步骤：非 demo 配置，ADMIN 带 CSRF 调用模拟定位入口。预期：HTTP 404。结果：通过。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方法：productionDoesNotExposeDemoIngestion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2 自动化用例 21 至 23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TC21 统计响应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需求：FR02。步骤：认证后访问 dashboard 和三个统计端点。预期：均为 200 且 code=OK。结果：通过。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方法：dashboardAndStatisticsContractsWork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TC22 球面距离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需求：FR07。步骤：计算同点与赤道纬度相差 1 度的距离。预期：同点 0；后一结果 111000 至 111300 米。结果：通过。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方法：distanceHasCorrectScale</w:t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TC23 应用上下文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需求：工程。步骤：加载默认测试配置与 H2 结构。预期：Spring 上下文启动成功。结果：通过。</w:t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方法：contextLoads</w:t>
      </w:r>
    </w:p>
    <w:p>
      <w:r>
        <w:br w:type="page"/>
      </w:r>
    </w:p>
    <w:p>
      <w:pPr>
        <w:pStyle w:val="Heading1"/>
        <w:spacing w:after="160" w:line="283" w:lineRule="auto" w:before="200"/>
        <w:keepNext/>
        <w:snapToGrid w:val="0"/>
      </w:pPr>
      <w:r>
        <w:rPr>
          <w:rFonts w:ascii="Georgia" w:hAnsi="Georgia" w:eastAsia="Microsoft YaHei"/>
          <w:b/>
          <w:color w:val="0B2C48"/>
          <w:sz w:val="30"/>
        </w:rPr>
        <w:t>3 浏览器和人工复核用例</w:t>
      </w:r>
    </w:p>
    <w:tbl>
      <w:tblPr>
        <w:tblStyle w:val="Table6"/>
        <w:tblW w:w="10440.0" w:type="dxa"/>
        <w:jc w:val="center"/>
        <w:tblBorders>
          <w:top w:color="ffffff" w:space="0" w:sz="4" w:val="single"/>
          <w:left w:color="ffffff" w:space="0" w:sz="4" w:val="single"/>
          <w:bottom w:color="ffffff" w:space="0" w:sz="4" w:val="single"/>
          <w:right w:color="ffffff" w:space="0" w:sz="4" w:val="single"/>
          <w:insideH w:color="ffffff" w:space="0" w:sz="4" w:val="single"/>
          <w:insideV w:color="ffffff" w:space="0" w:sz="4" w:val="single"/>
        </w:tblBorders>
        <w:tblLayout w:type="fixed"/>
        <w:tblLook w:val="0400"/>
      </w:tblPr>
      <w:tblGrid>
        <w:gridCol w:w="3337"/>
        <w:gridCol w:w="3722"/>
        <w:gridCol w:w="3381"/>
        <w:tblGridChange w:id="0">
          <w:tblGrid>
            <w:gridCol w:w="3337"/>
            <w:gridCol w:w="3722"/>
            <w:gridCol w:w="3381"/>
          </w:tblGrid>
        </w:tblGridChange>
      </w:tblGrid>
      <w:tr>
        <w:trPr>
          <w:cantSplit w:val="1"/>
          <w:tblHeader w:val="1"/>
          <w:cantSplit/>
          <w:tblHeader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编号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操作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0B2C4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/>
                <w:color w:val="FFFFFF"/>
                <w:sz w:val="19"/>
              </w:rPr>
              <w:t>预期与状态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UI01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逐项进入九个业务导航页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页面加载并可见，无 500 和脚本异常；已通过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UI02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人口页打开新增老人对话框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字段及保存取消可见；已通过，不代表所有写表单均端到端提交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UI03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390 像素窗口检查人口页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文档无整体横向溢出；已通过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UI04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ANALYST 登录人口页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无新增按钮；已通过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MAN01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IDEA 选择 JDK 17，右键运行两个测试类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应发现 JUnit 5 并通过；未执行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MAN02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轨迹播放 暂停 倍速 拖动进度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时间和点位一致；需团队人工演示复核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MAN03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归档 包含设备绑定和待随访的老人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历史保留 绑定关闭 待随访取消；需团队 MySQL 人工复核</w:t>
            </w:r>
          </w:p>
        </w:tc>
      </w:tr>
      <w:tr>
        <w:trPr>
          <w:cantSplit w:val="1"/>
          <w:tblHeader w:val="0"/>
          <w:cantSplit/>
        </w:trPr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e6f0f8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MAN04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新建专用库进行备份恢复演练</w:t>
            </w:r>
          </w:p>
        </w:tc>
        <w:tc>
          <w:tcPr>
            <w:tcBorders>
              <w:top w:color="ffffff" w:space="0" w:sz="6" w:val="single"/>
              <w:left w:color="ffffff" w:space="0" w:sz="6" w:val="single"/>
              <w:bottom w:color="ffffff" w:space="0" w:sz="6" w:val="single"/>
              <w:right w:color="ffffff" w:space="0" w:sz="6" w:val="single"/>
            </w:tcBorders>
            <w:shd w:fill="ffffff" w:val="clear"/>
            <w:tcMar>
              <w:top w:w="110.0" w:type="dxa"/>
              <w:left w:w="120.0" w:type="dxa"/>
              <w:bottom w:w="110.0" w:type="dxa"/>
              <w:right w:w="120.0" w:type="dxa"/>
              <w:top w:w="45" w:type="dxa"/>
              <w:bottom w:w="45" w:type="dxa"/>
              <w:left w:w="85" w:type="dxa"/>
              <w:right w:w="85" w:type="dxa"/>
            </w:tcMar>
            <w:vAlign w:val="center"/>
          </w:tcPr>
          <w:p>
            <w:pPr>
              <w:spacing w:before="20" w:after="20" w:line="269" w:lineRule="auto"/>
              <w:snapToGrid w:val="0"/>
            </w:pPr>
            <w:r>
              <w:rPr>
                <w:rFonts w:ascii="Georgia" w:hAnsi="Georgia" w:eastAsia="Microsoft YaHei"/>
                <w:b w:val="0"/>
                <w:color w:val="263C50"/>
                <w:sz w:val="19"/>
              </w:rPr>
              <w:t>恢复后表数和关键计数一致；未执行</w:t>
            </w:r>
          </w:p>
        </w:tc>
      </w:tr>
    </w:tbl>
    <w:p>
      <w:pPr>
        <w:spacing w:after="0" w:line="283" w:lineRule="auto"/>
        <w:snapToGrid w:val="0"/>
      </w:pPr>
      <w:r>
        <w:rPr>
          <w:rFonts w:ascii="Georgia" w:hAnsi="Georgia" w:eastAsia="Microsoft YaHei"/>
          <w:sz w:val="6"/>
        </w:rPr>
      </w:r>
    </w:p>
    <w:p>
      <w:pPr>
        <w:spacing w:after="140" w:line="283" w:lineRule="auto"/>
        <w:snapToGrid w:val="0"/>
      </w:pPr>
      <w:r>
        <w:rPr>
          <w:rFonts w:ascii="Georgia" w:hAnsi="Georgia" w:eastAsia="Microsoft YaHei"/>
          <w:sz w:val="22"/>
        </w:rPr>
        <w:t>正式验收时由 A 将人工实际结果、执行人、日期和截图位置写入测试日志。失败项应附复现数据及服务端 requestId，修复后先回归相关用例，再执行核心冒烟。</w:t>
      </w:r>
    </w:p>
    <w:sectPr>
      <w:headerReference r:id="rId10" w:type="default"/>
      <w:headerReference r:id="rId11" w:type="first"/>
      <w:footerReference r:id="rId12" w:type="default"/>
      <w:footerReference r:id="rId13" w:type="first"/>
      <w:pgSz w:h="15840" w:w="12240" w:orient="portrait"/>
      <w:pgMar w:bottom="893" w:top="1008" w:left="1008" w:right="1008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Helvetica Neue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Helvetica Neue Ligh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7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680"/>
        <w:tab w:val="right" w:leader="none" w:pos="9360"/>
      </w:tabs>
      <w:spacing w:after="0" w:before="0" w:line="26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5b7085"/>
        <w:sz w:val="20"/>
        <w:szCs w:val="20"/>
        <w:u w:val="none"/>
        <w:shd w:fill="auto" w:val="clear"/>
        <w:vertAlign w:val="baseline"/>
      </w:rPr>
    </w:pPr>
    <w:r/>
    <w:r>
      <w:rPr>
        <w:rFonts w:ascii="Georgia" w:hAnsi="Georgia" w:eastAsia="Microsoft YaHei"/>
        <w:color w:val="5E758A"/>
        <w:sz w:val="16"/>
      </w:rPr>
      <w:t xml:space="preserve">智慧医养大数据决策分析系统  /  V1.0  /  </w:t>
    </w:r>
    <w:fldSimple w:instr="PAGE"/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9">
    <w:pPr>
      <w:rPr/>
    </w:pPr>
    <w:r>
      <w:rPr>
        <w:rtl w:val="0"/>
      </w:rPr>
    </w:r>
  </w:p>
</w:ftr>
</file>

<file path=word/footnotes.xml><?xml version="1.0" encoding="utf-8"?>
<w:footnot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otnote w:id="0">
    <w:p w14:paraId="000000F5">
      <w:pPr>
        <w:spacing w:after="0" w:line="270" w:lineRule="auto"/>
        <w:jc w:val="both"/>
        <w:rPr/>
      </w:pPr>
      <w:r>
        <w:rPr>
          <w:rStyle w:val="FootnoteReference"/>
          <w:vertAlign w:val="superscript"/>
        </w:rPr>
        <w:footnoteRef/>
      </w:r>
      <w:r>
        <w:rPr>
          <w:color w:val="233447"/>
          <w:rtl w:val="0"/>
        </w:rPr>
        <w:t xml:space="preserve"> Use footnotes for definitions, assumptions, or terms that need precision without interrupting the main narrative.</w:t>
      </w:r>
      <w:r>
        <w:rPr>
          <w:rtl w:val="0"/>
        </w:rPr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6">
    <w:pPr>
      <w:rPr/>
    </w:pPr>
    <w:r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14:paraId="000000F8">
    <w:pPr>
      <w:rPr/>
    </w:pPr>
    <w:r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lowerLetter"/>
      <w:lvlText w:val="%1."/>
      <w:lvlJc w:val="left"/>
      <w:pPr>
        <w:ind w:left="72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abstractNum w:abstractNumId="2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3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lowerLetter"/>
      <w:lvlText w:val="%2)"/>
      <w:lvlJc w:val="left"/>
      <w:pPr>
        <w:ind w:left="720" w:hanging="360"/>
      </w:pPr>
      <w:rPr/>
    </w:lvl>
    <w:lvl w:ilvl="2">
      <w:start w:val="1"/>
      <w:numFmt w:val="lowerRoman"/>
      <w:lvlText w:val="%3)"/>
      <w:lvlJc w:val="left"/>
      <w:pPr>
        <w:ind w:left="1080" w:hanging="360"/>
      </w:pPr>
      <w:rPr/>
    </w:lvl>
    <w:lvl w:ilvl="3">
      <w:start w:val="1"/>
      <w:numFmt w:val="decimal"/>
      <w:lvlText w:val="(%4)"/>
      <w:lvlJc w:val="left"/>
      <w:pPr>
        <w:ind w:left="1440" w:hanging="360"/>
      </w:pPr>
      <w:rPr/>
    </w:lvl>
    <w:lvl w:ilvl="4">
      <w:start w:val="1"/>
      <w:numFmt w:val="lowerLetter"/>
      <w:lvlText w:val="(%5)"/>
      <w:lvlJc w:val="left"/>
      <w:pPr>
        <w:ind w:left="1800" w:hanging="360"/>
      </w:pPr>
      <w:rPr/>
    </w:lvl>
    <w:lvl w:ilvl="5">
      <w:start w:val="1"/>
      <w:numFmt w:val="lowerRoman"/>
      <w:lvlText w:val="(%6)"/>
      <w:lvlJc w:val="left"/>
      <w:pPr>
        <w:ind w:left="2160" w:hanging="360"/>
      </w:pPr>
      <w:rPr/>
    </w:lvl>
    <w:lvl w:ilvl="6">
      <w:start w:val="1"/>
      <w:numFmt w:val="decimal"/>
      <w:lvlText w:val="%7."/>
      <w:lvlJc w:val="left"/>
      <w:pPr>
        <w:ind w:left="2520" w:hanging="360"/>
      </w:pPr>
      <w:rPr/>
    </w:lvl>
    <w:lvl w:ilvl="7">
      <w:start w:val="1"/>
      <w:numFmt w:val="lowerLetter"/>
      <w:lvlText w:val="%8."/>
      <w:lvlJc w:val="left"/>
      <w:pPr>
        <w:ind w:left="2880" w:hanging="360"/>
      </w:pPr>
      <w:rPr/>
    </w:lvl>
    <w:lvl w:ilvl="8">
      <w:start w:val="1"/>
      <w:numFmt w:val="lowerRoman"/>
      <w:lvlText w:val="%9."/>
      <w:lvlJc w:val="left"/>
      <w:pPr>
        <w:ind w:left="3240" w:hanging="360"/>
      </w:pPr>
      <w:rPr/>
    </w:lvl>
  </w:abstractNum>
  <w:abstractNum w:abstractNumId="4">
    <w:lvl w:ilvl="0">
      <w:start w:val="1"/>
      <w:numFmt w:val="lowerLetter"/>
      <w:lvlText w:val="%1."/>
      <w:lvlJc w:val="left"/>
      <w:pPr>
        <w:ind w:left="360" w:hanging="360"/>
      </w:pPr>
      <w:rPr/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color w:val="233447"/>
        <w:lang w:val="en"/>
      </w:rPr>
    </w:rPrDefault>
    <w:pPrDefault>
      <w:pPr>
        <w:spacing w:after="110" w:line="300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Bdr>
        <w:top w:color="2f6b9a" w:space="2" w:sz="0" w:val="none"/>
        <w:left w:color="2f6b9a" w:space="2" w:sz="0" w:val="none"/>
        <w:bottom w:color="2f6b9a" w:space="2" w:sz="0" w:val="none"/>
        <w:right w:color="2f6b9a" w:space="2" w:sz="0" w:val="none"/>
      </w:pBdr>
      <w:spacing w:after="130" w:line="285" w:lineRule="auto"/>
    </w:pPr>
    <w:rPr>
      <w:b w:val="1"/>
      <w:bCs w:val="1"/>
      <w:color w:val="082a4a"/>
      <w:sz w:val="27"/>
      <w:szCs w:val="27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smallCaps w:val="1"/>
      <w:color w:val="082a4a"/>
      <w:sz w:val="19"/>
      <w:szCs w:val="19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Helvetica Neue" w:cs="Helvetica Neue" w:eastAsia="Helvetica Neue" w:hAnsi="Helvetica Neue"/>
      <w:b w:val="1"/>
      <w:bCs w:val="1"/>
      <w:color w:val="5b7085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082a4a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082a4a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082a4a"/>
    </w:rPr>
  </w:style>
  <w:style w:type="paragraph" w:styleId="Title">
    <w:name w:val="Title"/>
    <w:basedOn w:val="Normal"/>
    <w:next w:val="Normal"/>
    <w:pPr>
      <w:spacing w:after="150" w:lineRule="auto"/>
    </w:pPr>
    <w:rPr>
      <w:b w:val="1"/>
      <w:bCs w:val="1"/>
      <w:color w:val="082a4a"/>
      <w:sz w:val="44"/>
      <w:szCs w:val="44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082a4a"/>
      <w:sz w:val="24"/>
      <w:szCs w:val="24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4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5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6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7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8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  <w:style w:type="table" w:styleId="Table9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'1.0' encoding='UTF-8' standalone='yes'?>
<Relationships xmlns="http://schemas.openxmlformats.org/package/2006/relationships"><Relationship Id="rId11" Type="http://schemas.openxmlformats.org/officeDocument/2006/relationships/header" Target="header2.xml"/><Relationship Id="rId10" Type="http://schemas.openxmlformats.org/officeDocument/2006/relationships/header" Target="header1.xml"/><Relationship Id="rId13" Type="http://schemas.openxmlformats.org/officeDocument/2006/relationships/footer" Target="footer2.xml"/><Relationship Id="rId12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footnotes" Target="footnotes.xml"/><Relationship Id="rId9" Type="http://schemas.openxmlformats.org/officeDocument/2006/relationships/hyperlink" Target="https://example.com/system-design/contracts" TargetMode="External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8" Type="http://schemas.openxmlformats.org/officeDocument/2006/relationships/image" Target="media/image1.png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HelveticaNeue-regular.ttf"/><Relationship Id="rId2" Type="http://schemas.openxmlformats.org/officeDocument/2006/relationships/font" Target="fonts/HelveticaNeue-bold.ttf"/><Relationship Id="rId3" Type="http://schemas.openxmlformats.org/officeDocument/2006/relationships/font" Target="fonts/HelveticaNeue-italic.ttf"/><Relationship Id="rId4" Type="http://schemas.openxmlformats.org/officeDocument/2006/relationships/font" Target="fonts/HelveticaNeue-boldItalic.ttf"/><Relationship Id="rId5" Type="http://schemas.openxmlformats.org/officeDocument/2006/relationships/font" Target="fonts/HelveticaNeueLight-regular.ttf"/><Relationship Id="rId6" Type="http://schemas.openxmlformats.org/officeDocument/2006/relationships/font" Target="fonts/HelveticaNeueLight-bold.ttf"/><Relationship Id="rId7" Type="http://schemas.openxmlformats.org/officeDocument/2006/relationships/font" Target="fonts/HelveticaNeueLight-italic.ttf"/><Relationship Id="rId8" Type="http://schemas.openxmlformats.org/officeDocument/2006/relationships/font" Target="fonts/HelveticaNeueLight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智慧医养大数据决策分析系统 测试用例</dc:title>
  <cp:lastModifiedBy>python-docx</cp:lastModifiedBy>
  <cp:revision>1</cp:revision>
  <dcterms:modified xsi:type="dcterms:W3CDTF">2026-09-08T01:24:23Z</dcterms:modified>
  <dc:creator>智慧医养项目组</dc:creator>
  <dc:subject>给出真实自动测试映射和人工补充用例</dc:subject>
  <dc:description>Generated from verified repository sources. Team review pending.</dc:description>
</cp:coreProperties>
</file>