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500" w:line="283" w:lineRule="auto"/>
        <w:snapToGrid w:val="0"/>
      </w:pPr>
      <w:r>
        <w:rPr>
          <w:rFonts w:ascii="Georgia" w:hAnsi="Georgia" w:eastAsia="Microsoft YaHei"/>
          <w:sz w:val="20"/>
        </w:rPr>
      </w:r>
    </w:p>
    <w:p>
      <w:pPr>
        <w:pStyle w:val="Title"/>
        <w:spacing w:after="340" w:line="283" w:lineRule="auto"/>
        <w:snapToGrid w:val="0"/>
      </w:pPr>
      <w:r>
        <w:rPr>
          <w:rFonts w:ascii="Georgia" w:hAnsi="Georgia" w:eastAsia="Microsoft YaHei"/>
          <w:b w:val="0"/>
          <w:color w:val="5E758A"/>
          <w:sz w:val="50"/>
        </w:rPr>
        <w:t>智慧医养大数据</w:t>
      </w:r>
      <w:r>
        <w:rPr>
          <w:rFonts w:ascii="Georgia" w:hAnsi="Georgia" w:eastAsia="Microsoft YaHei"/>
          <w:b w:val="0"/>
          <w:color w:val="5E758A"/>
          <w:sz w:val="50"/>
        </w:rPr>
        <w:br/>
      </w:r>
      <w:r>
        <w:rPr>
          <w:rFonts w:ascii="Georgia" w:hAnsi="Georgia" w:eastAsia="Microsoft YaHei"/>
          <w:b w:val="0"/>
          <w:color w:val="5E758A"/>
          <w:sz w:val="50"/>
        </w:rPr>
        <w:t>公共服务平台</w:t>
      </w:r>
    </w:p>
    <w:p>
      <w:pPr>
        <w:pStyle w:val="Title"/>
        <w:spacing w:after="1800" w:line="283" w:lineRule="auto"/>
        <w:snapToGrid w:val="0"/>
      </w:pPr>
      <w:r>
        <w:rPr>
          <w:rFonts w:ascii="Georgia" w:hAnsi="Georgia" w:eastAsia="Microsoft YaHei"/>
          <w:b/>
          <w:color w:val="000000"/>
          <w:sz w:val="58"/>
        </w:rPr>
        <w:t>系统详细设计说明书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版本与状态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责任人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更新日期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V1.0 课程版交付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B C D 工程师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2026年9月8日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文档信息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系统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智慧医养大数据决策分析系统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范围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描述接口规范 输入字段 状态流转 算法与前端实现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读者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项目组成员 指导教师 验收人员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说明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姓名与实际签收信息由团队补充；测试结论按事实记录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r>
        <w:br w:type="page"/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1 接口总则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接口前缀 /api/v1，JSON UTF-8。成功返回 {code:"OK",message:"成功",data:...}，列表 data 为 records、total、page、size。Long 值序列化为字符串；时间返回带 +08:00 的 ISO 格式。业务异常含业务码、消息和 requestId；安全过滤器错误仅含业务码和消息。HTTP 状态与错误类型一致。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方法与路径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权限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GET /auth/csrf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获取 token 和 headerName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匿名可访问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POST /auth/login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username password，携带 CSRF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匿名可访问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GET /auth/me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当前账号信息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已认证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POST /auth/logout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注销 Session，携带 CSRF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已认证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GET /dashboard /statistics/*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汇总与图表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三角色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POST PUT 业务资源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字段白名单、版本和事务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ADMIN OPERATOR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/users 及其子路径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账号列表、维护、密码重置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ADMIN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POST /demo/locations /demo/heartbeats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单条模拟事件，仅 demo profile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ADMIN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首次登录流程为 GET csrf、POST login、再次 GET csrf。前端每次写入使用最新 token；401 通知界面退回登录。不要在浏览器 localStorage 保存密码或 Session 凭据。</w:t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2 分页与筛选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分页 page 默认 1，size 默认 20，最大 100。地区与老人、医生 id 为可选查询条件。统计和记录时间默认近 30 天；轨迹必须显式提供 start 与 end。细分异常或状态筛选作用于明细，页面汇总仍按地区与日期显示，使用时注意分母。</w:t>
      </w:r>
    </w:p>
    <w:p>
      <w:r>
        <w:br w:type="page"/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3 写入请求字段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资源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必需字段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可选字段或编辑约束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老人 /elders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code name gender regionId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birthDate phone；编辑必带 version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医生 /doctors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code name department enabled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phone；编辑必带 version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健康 /health-records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elderId measuredAt；至少一个指标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systolic diastolic heartRate oxygen temperature eventId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随访 /followup-plans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elderId doctorId dueAt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完成提交 completedAt content result；取消提交 reason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设备 /devices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serialNo model enabled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编辑必带 version；绑定提交 elderId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围栏 /geofences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name centerLon centerLat radiusM enabled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编辑必带 version；成员提交 elderIds 数组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告警处理 /geofence-alerts/{id}/handle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version note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处理人由服务端当前账号决定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账号 /users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username displayName role enabled password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编辑不改 username、不带 password；独立重置接口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4 字段校验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健康指标输入边界：收缩压 20～300、舒张压 10～200、心率 10～300、血氧 0～100、体温 25～45；同时填写血压时收缩压须大于舒张压。检测时间和随访完成时间不可晚于当前时间。所有这些输入边界均是工程校验，不表示临床正常范围。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教学判定阈值由 health_rule 初始化：收缩压 90～139 mmHg、舒张压 60～89 mmHg、心率 60～100 次/分、血氧 95～100%、体温 36～37.3℃。边界包含，超出即标记；只判断有值指标；保存版本和快照。当前无阈值维护页面，改规则需数据库版本维护与重新验证。</w:t>
      </w:r>
    </w:p>
    <w:p>
      <w:r>
        <w:br w:type="page"/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5 定位与围栏算法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单点请求字段 deviceId、eventId、longitude、latitude、recordedAt。经度 -180～180，纬度 -90～90，四舍五入到 7 位小数。查询事件时间对应的 [bound_at,unbound_at) 绑定，写入绑定及老人主键；不存在有效历史绑定则拒收。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距离采用 Haversine：先将纬度和经度差转弧度，a = sin²(Δφ/2) + cos(φ1)cos(φ2)sin²(Δλ/2)，d = 2R atan2(√a,√(1-a))，R 取 6371000 米。d 大于 radiusM 为外部，否则内部。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原状态与新点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数据库操作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效果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未知或内部收到外点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创建告警，state.active_alert_id 指向新告警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开始一次越界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外部收到较新外点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更新最后点，不新增告警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持续越界不重复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外部收到较新内点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写 returned_at 与关闭原因，清空活动告警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结束本次越界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旧时间定位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入历史表，不推进当前状态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避免迟到点造成假返回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围栏修改或停用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关闭原监测并清理状态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下一点依新范围重新判断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人工处理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写 handled_by handled_at handling_note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不修改实际 returned_at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同设备相同 eventId 相同内容返回已存记录；内容冲突返回 409。相同时间使用较大主键决定最新点。状态与事件在同一事务写入，锁顺序保持一致。</w:t>
      </w:r>
    </w:p>
    <w:p>
      <w:r>
        <w:br w:type="page"/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6 前端交互设计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App.vue 以 hash 导航管理页面与筛选、分页、弹窗；api.js 统一 fetch、CSRF 与会话过期；Chart.vue 封装 ECharts 并根据 ResizeObserver 调整尺寸；GeoCanvas.vue 将 WGS84 局部投影成坐标画布。地图注明无道路底图，在线状态与定位时刻分别显示。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页面组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交互与状态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人口 医生 账号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分页列表、维护弹窗、必填校验、版本冲突提示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健康 随访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地区日期筛选、汇总图、明细、记录录入或计划完成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设备 围栏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坐标选择、详情、绑定及成员配置、告警处理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轨迹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老人和日期查询、点数与时间展示、播放暂停倍速和进度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通用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加载 失败 空数据；只读用户隐藏写入口；窄屏导航和局部表格滚动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7 事务与错误恢复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前端遇到 409 提示刷新，不自动覆盖版本；收到 400 提示修正字段；写入发生网络超时时先查询结果再决定是否重试。定位有事件去重，随访有计划唯一结果；普通新增档案依业务编码唯一约束，不能假定所有 POST 都幂等。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源码中的 CareService.enrich 与设备分布存在按条补查，当前数据量已验证，扩大规模时需批量查询并重测。审计只保存动作对象与操作者，不存密码、Session 或整份敏感请求。</w:t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8 开发者入口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完整端点目录与请求示例见 docs/API.md。数据字段以 database/01-schema.sql 为准；演示和普通启动参数见 scripts/start.ps1 与项目部署环境说明书。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/>
    <w:r>
      <w:rPr>
        <w:rFonts w:ascii="Georgia" w:hAnsi="Georgia" w:eastAsia="Microsoft YaHei"/>
        <w:color w:val="5E758A"/>
        <w:sz w:val="16"/>
      </w:rPr>
      <w:t xml:space="preserve">智慧医养大数据决策分析系统  /  V1.0  /  </w:t>
    </w:r>
    <w:fldSimple w:instr="PAGE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智慧医养大数据决策分析系统 系统详细设计说明书</dc:title>
  <cp:lastModifiedBy>python-docx</cp:lastModifiedBy>
  <cp:revision>1</cp:revision>
  <dcterms:modified xsi:type="dcterms:W3CDTF">2026-09-08T01:24:23Z</dcterms:modified>
  <dc:creator>智慧医养项目组</dc:creator>
  <dc:subject>描述接口规范 输入字段 状态流转 算法与前端实现</dc:subject>
  <dc:description>Generated from verified repository sources. Team review pending.</dc:description>
</cp:coreProperties>
</file>