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483"/>
      </w:tblGrid>
      <w:tr>
        <w:trPr>
          <w:trHeight w:val="12359" w:hRule="exact"/>
        </w:trPr>
        <w:tc>
          <w:tcPr>
            <w:tcW w:type="dxa" w:w="1417"/>
            <w:shd w:fill="D9D9D9"/>
            <w:vAlign w:val="bottom"/>
            <w:tcMar>
              <w:top w:w="100" w:type="dxa"/>
              <w:bottom w:w="160" w:type="dxa"/>
              <w:left w:w="110" w:type="dxa"/>
              <w:right w:w="110" w:type="dxa"/>
            </w:tcMar>
          </w:tcPr>
          <w:p>
            <w:pPr>
              <w:jc w:val="left"/>
            </w:pPr>
            <w:r>
              <w:rPr>
                <w:rFonts w:ascii="Times New Roman" w:hAnsi="Times New Roman" w:eastAsia="宋体"/>
                <w:color w:val="000000"/>
                <w:sz w:val="15"/>
              </w:rPr>
              <w:t>分  类：项目交付文档</w:t>
              <w:br/>
              <w:t>使用者：项目组</w:t>
              <w:br/>
              <w:t>文档编号：</w:t>
              <w:br/>
              <w:t>SC-2026-01-03</w:t>
              <w:br/>
              <w:br/>
              <w:t>软件工程项目组</w:t>
            </w:r>
          </w:p>
        </w:tc>
        <w:tc>
          <w:tcPr>
            <w:tcW w:type="dxa" w:w="7483"/>
            <w:vAlign w:val="top"/>
            <w:tcMar>
              <w:top w:w="20" w:type="dxa"/>
              <w:bottom w:w="20" w:type="dxa"/>
              <w:left w:w="240" w:type="dxa"/>
              <w:right w:w="80" w:type="dxa"/>
            </w:tcMar>
          </w:tcPr>
          <w:p>
            <w:pPr>
              <w:spacing w:after="0"/>
            </w:pPr>
          </w:p>
          <w:tbl>
            <w:tblPr>
              <w:tblW w:type="auto" w:w="0"/>
              <w:jc w:val="right"/>
              <w:tblLayout w:type="fixed"/>
              <w:tblLook w:firstColumn="1" w:firstRow="1" w:lastColumn="0" w:lastRow="0" w:noHBand="0" w:noVBand="1" w:val="04A0"/>
              <w:tblBorders>
                <w:top w:val="single" w:sz="5" w:color="8A8A8A"/>
                <w:left w:val="single" w:sz="5" w:color="8A8A8A"/>
                <w:bottom w:val="single" w:sz="5" w:color="8A8A8A"/>
                <w:right w:val="single" w:sz="5" w:color="8A8A8A"/>
                <w:insideH w:val="single" w:sz="5" w:color="8A8A8A"/>
                <w:insideV w:val="single" w:sz="5" w:color="8A8A8A"/>
              </w:tblBorders>
            </w:tblPr>
            <w:tblGrid>
              <w:gridCol w:w="3741"/>
              <w:gridCol w:w="3741"/>
            </w:tblGrid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  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卷内编号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  <w:tr>
              <w:tc>
                <w:tcPr>
                  <w:tcW w:type="dxa" w:w="119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  <w:t>密  级</w:t>
                  </w:r>
                </w:p>
              </w:tc>
              <w:tc>
                <w:tcPr>
                  <w:tcW w:type="dxa" w:w="2041"/>
                  <w:tcMar>
                    <w:top w:w="20" w:type="dxa"/>
                    <w:bottom w:w="20" w:type="dxa"/>
                    <w:left w:w="50" w:type="dxa"/>
                    <w:right w:w="50" w:type="dxa"/>
                  </w:tcMar>
                </w:tcPr>
                <w:p>
                  <w:pPr>
                    <w:jc w:val="center"/>
                  </w:pPr>
                  <w:r>
                    <w:rPr>
                      <w:rFonts w:ascii="Times New Roman" w:hAnsi="Times New Roman" w:eastAsia="宋体"/>
                      <w:b w:val="0"/>
                      <w:color w:val="000000"/>
                      <w:sz w:val="15"/>
                    </w:rPr>
                  </w:r>
                </w:p>
              </w:tc>
            </w:tr>
          </w:tbl>
          <w:p/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12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8"/>
              </w:rPr>
            </w:r>
          </w:p>
          <w:p>
            <w:pPr>
              <w:spacing w:after="40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智慧医养大数据公共服务平台</w:t>
            </w:r>
            <w:r>
              <w:br/>
            </w:r>
            <w:r>
              <w:rPr>
                <w:rFonts w:ascii="Times New Roman" w:hAnsi="Times New Roman" w:eastAsia="黑体"/>
                <w:b/>
                <w:color w:val="000000"/>
                <w:sz w:val="38"/>
              </w:rPr>
              <w:t>大数据决策分析系统</w:t>
            </w:r>
          </w:p>
          <w:p>
            <w:pPr>
              <w:pStyle w:val="Title"/>
              <w:spacing w:after="560" w:line="324" w:lineRule="auto"/>
              <w:jc w:val="center"/>
              <w:snapToGrid w:val="0"/>
            </w:pPr>
            <w:r>
              <w:rPr>
                <w:rFonts w:ascii="Times New Roman" w:hAnsi="Times New Roman" w:eastAsia="黑体"/>
                <w:b/>
                <w:color w:val="000000"/>
                <w:sz w:val="50"/>
              </w:rPr>
              <w:t>测试日志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项 目 承 担 部 门：  软件工程项目组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撰 写 人（签名）：  周虹宏汇总，全员执行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完 成 日 期：  2026年9月9日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本文档使用部门：  ■项目组  □主管领导  □维护人员  □用户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评审负责人（签名）：  待项目组评审</w:t>
            </w:r>
          </w:p>
          <w:p>
            <w:pPr>
              <w:spacing w:after="160" w:line="324" w:lineRule="auto"/>
              <w:snapToGrid w:val="0"/>
            </w:pPr>
            <w:r>
              <w:rPr>
                <w:rFonts w:ascii="Times New Roman" w:hAnsi="Times New Roman" w:eastAsia="宋体"/>
                <w:color w:val="000000"/>
                <w:sz w:val="21"/>
              </w:rPr>
              <w:t>评 审 日 期：  待填写</w:t>
            </w:r>
          </w:p>
        </w:tc>
      </w:tr>
    </w:tbl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文档信息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文档信息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标题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智慧医养大数据决策分析系统 测试日志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作者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周虹宏汇总，全员执行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创建日期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上次更新日期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版本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部门名称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软件工程项目组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适用范围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记录真实构建 联调 缺陷回归及未执行项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20" w:line="324" w:lineRule="auto" w:before="360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修订文档历史记录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日期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版本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说明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作者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2026年9月9日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按三创谷交付模板重排并与当前代码和验证证据同步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智慧医养项目组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r>
        <w:br w:type="page"/>
      </w:r>
    </w:p>
    <w:p>
      <w:pPr>
        <w:pStyle w:val="Heading1"/>
        <w:spacing w:after="280" w:line="324" w:lineRule="auto"/>
        <w:jc w:val="center"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目  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1 测试结论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2 执行环境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3 实际测试过程与修复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4 本次构建记录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5 性能实测</w:t>
      </w:r>
    </w:p>
    <w:p>
      <w:pPr>
        <w:spacing w:after="80" w:line="324" w:lineRule="auto"/>
        <w:snapToGrid w:val="0"/>
        <w:ind w:left="0"/>
      </w:pPr>
      <w:r>
        <w:rPr>
          <w:rFonts w:ascii="Times New Roman" w:hAnsi="Times New Roman" w:eastAsia="宋体"/>
          <w:color w:val="000000"/>
          <w:sz w:val="21"/>
        </w:rPr>
        <w:t>6 未执行和待签收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1 测试结论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截至 2026年9月8日，V1.1 Maven 回归共 28 项通过，覆盖批量定位、持久心跳幂等、受限删除和设备密钥认证。全新 18 表结构、从 16 表升级到 18 表、V1.1 实际 HTTP 写路径及新增页面浏览器复核均在隔离 MySQL 实例通过。此结论不等同腕表厂商硬件或公开生产环境验收。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结果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证据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Maven JUnit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28 项通过 0 失败 0 错误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docs/evidence/maven-tests.json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 MySQL 实际 HTTP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原 16 项冒烟与新增 5 项写路径通过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docs/evidence/http-smoke-v11.json、v11-http-qa.json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 Chrome 页面检查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4 项通过 无页面脚本异常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docs/evidence/v11-browser-qa.json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 数据库结构与升级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全新 18 表；16 表升级后 18 表且哨兵数据保留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docs/evidence/mysql-v11-schema.json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V1.0 负载测试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2664 请求 0 错误 四端点 P95 &lt; 2 秒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docs/evidence/performance.json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2 执行环境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4513"/>
        <w:gridCol w:w="4513"/>
      </w:tblGrid>
      <w:tr>
        <w:trPr>
          <w:cantSplit/>
          <w:tblHeader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实测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操作系统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Windows 11 10.0.26100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CPU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Intel Core i7-13650HX 14 核 20 逻辑处理器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Java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Zulu 25.0.1 编译 release 17；未冒充 JDK 17 实测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数据库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H2 18 表；MySQL 8.0.46 全新结构和升级路径通过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应用和浏览器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V1.1 JAR 端口 18081；Chrome 152.0.7977.83</w:t>
            </w:r>
          </w:p>
        </w:tc>
      </w:tr>
      <w:tr>
        <w:trPr>
          <w:cantSplit/>
        </w:trPr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构建</w:t>
            </w:r>
          </w:p>
        </w:tc>
        <w:tc>
          <w:tcPr>
            <w:tcW w:type="dxa" w:w="4513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Maven 3.9.16；Vite 7.3.6；Element Plus 2.14.5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3 实际测试过程与修复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记录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问题与原因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修复及回归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D01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统计 value 别名与 H2 保留字冲突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为别名加反引号；统计测试与 MySQL 冒烟通过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D02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先添加 ORDER BY 再调用 selectCount 导致计数 SQL 不兼容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计数后再添加排序；分页与轨迹测试通过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D03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Java 纳秒与数据库微秒精度不同导致同事件比较不一致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输入与当前时间统一截断微秒；重传与乱序测试通过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D04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窄屏饼图标签越出图表边界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取消外侧标签，图例显示名称和值；重新截图检查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D05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Windows 运行中的演示 JAR 阻止重新打包改名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停止本任务进程后打包成功；部署说明写明先停止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D06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窄屏设备详情被样式隐藏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详情改为在地图下方显示；前端构建与窄屏复核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D07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原隔离 MySQL 未运行且项目路径含中文不能作为新数据目录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在用户临时目录启动 13317 独立实例；18 表、升级脚本、HTTP 与 Chrome 复核通过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D08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浏览器脚本只等待页面导航，未等待 SPA 数据接口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改为等待对应 API 响应后断言按钮并截图；4 项复核通过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以上为开发过程中的实际缺陷和环境问题，不补造发现人的姓名、工时或线下会议。测试执行与页面检查由开发自动化完成，项目经理周虹宏负责后续人工复核与签收。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4 本次构建记录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2026年9月8日，27 项 BusinessTests 与 1 项应用上下文测试通过。测试覆盖原功能以及批量轨迹、心跳事件幂等、受限删除、管理员删除权限和设备独立密钥。前端 Vite 生产构建通过；MySQL HTTP 与 Chrome 页面复核随后通过。</w:t>
      </w:r>
    </w:p>
    <w:p>
      <w:pPr>
        <w:pStyle w:val="Heading1"/>
        <w:spacing w:after="140" w:line="324" w:lineRule="auto" w:before="160"/>
        <w:keepNext/>
        <w:pageBreakBefore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5 性能实测</w:t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2026年9月8日 00时28分开始。原库 1080 条健康、648 条定位；各加入 100000 条带本次唯一前缀的模拟记录，测试时分别为 101080 和 100648 条。20 个工作线程持续约 60.371 秒，默认近 30 天范围、首页 20 条、无地区过滤。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2256"/>
        <w:gridCol w:w="2256"/>
        <w:gridCol w:w="2256"/>
        <w:gridCol w:w="2256"/>
      </w:tblGrid>
      <w:tr>
        <w:trPr>
          <w:cantSplit/>
          <w:tblHeader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端点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样本数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P95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错误数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/health-records?size=20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662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363.27 ms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/statistics/health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665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386.37 ms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/dashboard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670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1104.8 ms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</w:t>
            </w:r>
          </w:p>
        </w:tc>
      </w:tr>
      <w:tr>
        <w:trPr>
          <w:cantSplit/>
        </w:trPr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/devices/distribution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667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744.57 ms</w:t>
            </w:r>
          </w:p>
        </w:tc>
        <w:tc>
          <w:tcPr>
            <w:tcW w:type="dxa" w:w="2256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0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端点均满足 P95 ≤ 2000 ms、错误率 &lt; 1%。结果仅代表本机、本数据分布与这四类只读端点，不包含 V1.1 批量写入吞吐。测试脚本在 finally 中删除本次专属记录，已核对恢复为 1080 和 648 条。</w:t>
      </w:r>
    </w:p>
    <w:p>
      <w:pPr>
        <w:pStyle w:val="Heading1"/>
        <w:spacing w:after="140" w:line="324" w:lineRule="auto" w:before="160"/>
        <w:keepNext/>
        <w:snapToGrid w:val="0"/>
      </w:pPr>
      <w:r>
        <w:rPr>
          <w:rFonts w:ascii="Times New Roman" w:hAnsi="Times New Roman" w:eastAsia="黑体"/>
          <w:b/>
          <w:color w:val="000000"/>
          <w:sz w:val="32"/>
        </w:rPr>
        <w:t>6 未执行和待签收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6" w:color="B7B7B7"/>
          <w:left w:val="single" w:sz="6" w:color="B7B7B7"/>
          <w:bottom w:val="single" w:sz="6" w:color="B7B7B7"/>
          <w:right w:val="single" w:sz="6" w:color="B7B7B7"/>
          <w:insideH w:val="single" w:sz="6" w:color="B7B7B7"/>
          <w:insideV w:val="single" w:sz="6" w:color="B7B7B7"/>
        </w:tblBorders>
      </w:tblPr>
      <w:tblGrid>
        <w:gridCol w:w="3009"/>
        <w:gridCol w:w="3009"/>
        <w:gridCol w:w="3009"/>
      </w:tblGrid>
      <w:tr>
        <w:trPr>
          <w:cantSplit/>
          <w:tblHeader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检查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当前状态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D9D9D9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黑体"/>
                <w:b/>
                <w:color w:val="000000"/>
                <w:sz w:val="18"/>
              </w:rPr>
              <w:t>后续负责人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JDK 17 真正运行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未执行；当前机器测试 JVM 为 25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钟毓林配置团队 JDK 17 后运行 mvnw test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IDEA 内置 JUnit 运行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本机识别 IDEA 2024.3.4；尚未右键运行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钟毓林使用团队 JDK 17 记录结果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Word 模板版页面渲染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10 份 Word 已由 LibreOffice 转 PDF 并逐页复核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周虹宏、李治宏完成最终内容签收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腕表厂商硬件联调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通用接口已实现，真实硬件未执行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  <w:shd w:fill="F7F7F7"/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胡吉涵获取厂商协议和样机后联调</w:t>
            </w:r>
          </w:p>
        </w:tc>
      </w:tr>
      <w:tr>
        <w:trPr>
          <w:cantSplit/>
        </w:trPr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正式部署 恢复演练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未执行公开部署及备份恢复</w:t>
            </w:r>
          </w:p>
        </w:tc>
        <w:tc>
          <w:tcPr>
            <w:tcW w:type="dxa" w:w="3009"/>
            <w:vAlign w:val="center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76" w:lineRule="auto"/>
            </w:pPr>
            <w:r>
              <w:rPr>
                <w:rFonts w:ascii="Times New Roman" w:hAnsi="Times New Roman" w:eastAsia="宋体"/>
                <w:b w:val="0"/>
                <w:color w:val="000000"/>
                <w:sz w:val="18"/>
              </w:rPr>
              <w:t>周虹宏、胡吉涵确认目标环境后执行</w:t>
            </w:r>
          </w:p>
        </w:tc>
      </w:tr>
    </w:tbl>
    <w:p>
      <w:pPr>
        <w:spacing w:after="0" w:line="324" w:lineRule="auto"/>
        <w:snapToGrid w:val="0"/>
      </w:pPr>
      <w:r>
        <w:rPr>
          <w:rFonts w:ascii="Times New Roman" w:hAnsi="Times New Roman" w:eastAsia="宋体"/>
          <w:color w:val="000000"/>
          <w:sz w:val="4"/>
        </w:rPr>
      </w:r>
    </w:p>
    <w:p>
      <w:pPr>
        <w:spacing w:after="120" w:line="324" w:lineRule="auto"/>
        <w:snapToGrid w:val="0"/>
      </w:pPr>
      <w:r>
        <w:rPr>
          <w:rFonts w:ascii="Times New Roman" w:hAnsi="Times New Roman" w:eastAsia="宋体"/>
          <w:color w:val="000000"/>
          <w:sz w:val="21"/>
        </w:rPr>
        <w:t>人工复核人：待团队填写。验收日期与签字：待团队实际验收后填写。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666666"/>
        <w:sz w:val="16"/>
      </w:rPr>
      <w:t xml:space="preserve">智慧医养大数据决策分析系统  V1.1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黑体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智慧医养大数据决策分析系统 测试日志</dc:title>
  <dc:subject>记录真实构建 联调 缺陷回归及未执行项</dc:subject>
  <dc:creator>智慧医养项目组</dc:creator>
  <cp:keywords/>
  <dc:description>依据用户提供的三创谷格式模板重排，内容以当前仓库实现和验证证据为准。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