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17"/>
        <w:gridCol w:w="7483"/>
      </w:tblGrid>
      <w:tr>
        <w:trPr>
          <w:trHeight w:val="12359" w:hRule="exact"/>
        </w:trPr>
        <w:tc>
          <w:tcPr>
            <w:tcW w:type="dxa" w:w="1417"/>
            <w:shd w:fill="D9D9D9"/>
            <w:vAlign w:val="bottom"/>
            <w:tcMar>
              <w:top w:w="100" w:type="dxa"/>
              <w:bottom w:w="16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分  类：项目交付文档</w:t>
              <w:br/>
              <w:t>使用者：项目组</w:t>
              <w:br/>
              <w:t>文档编号：</w:t>
              <w:br/>
              <w:t>SC-2026-01-04</w:t>
              <w:br/>
              <w:br/>
              <w:t>软件工程项目组</w:t>
            </w:r>
          </w:p>
        </w:tc>
        <w:tc>
          <w:tcPr>
            <w:tcW w:type="dxa" w:w="7483"/>
            <w:vAlign w:val="top"/>
            <w:tcMar>
              <w:top w:w="20" w:type="dxa"/>
              <w:bottom w:w="20" w:type="dxa"/>
              <w:left w:w="240" w:type="dxa"/>
              <w:right w:w="80" w:type="dxa"/>
            </w:tcMar>
          </w:tcPr>
          <w:p>
            <w:pPr>
              <w:spacing w:after="0"/>
            </w:pP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  <w:tblBorders>
                <w:top w:val="single" w:sz="5" w:color="8A8A8A"/>
                <w:left w:val="single" w:sz="5" w:color="8A8A8A"/>
                <w:bottom w:val="single" w:sz="5" w:color="8A8A8A"/>
                <w:right w:val="single" w:sz="5" w:color="8A8A8A"/>
                <w:insideH w:val="single" w:sz="5" w:color="8A8A8A"/>
                <w:insideV w:val="single" w:sz="5" w:color="8A8A8A"/>
              </w:tblBorders>
            </w:tblPr>
            <w:tblGrid>
              <w:gridCol w:w="3741"/>
              <w:gridCol w:w="3741"/>
            </w:tblGrid>
            <w:tr>
              <w:tc>
                <w:tcPr>
                  <w:tcW w:type="dxa" w:w="1191"/>
                  <w:tcMar>
                    <w:top w:w="20" w:type="dxa"/>
                    <w:bottom w:w="20" w:type="dxa"/>
                    <w:left w:w="5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5"/>
                    </w:rPr>
                    <w:t>卷  号</w:t>
                  </w:r>
                </w:p>
              </w:tc>
              <w:tc>
                <w:tcPr>
                  <w:tcW w:type="dxa" w:w="2041"/>
                  <w:tcMar>
                    <w:top w:w="20" w:type="dxa"/>
                    <w:bottom w:w="20" w:type="dxa"/>
                    <w:left w:w="5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5"/>
                    </w:rPr>
                  </w:r>
                </w:p>
              </w:tc>
            </w:tr>
            <w:tr>
              <w:tc>
                <w:tcPr>
                  <w:tcW w:type="dxa" w:w="1191"/>
                  <w:tcMar>
                    <w:top w:w="20" w:type="dxa"/>
                    <w:bottom w:w="20" w:type="dxa"/>
                    <w:left w:w="5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5"/>
                    </w:rPr>
                    <w:t>卷内编号</w:t>
                  </w:r>
                </w:p>
              </w:tc>
              <w:tc>
                <w:tcPr>
                  <w:tcW w:type="dxa" w:w="2041"/>
                  <w:tcMar>
                    <w:top w:w="20" w:type="dxa"/>
                    <w:bottom w:w="20" w:type="dxa"/>
                    <w:left w:w="5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5"/>
                    </w:rPr>
                  </w:r>
                </w:p>
              </w:tc>
            </w:tr>
            <w:tr>
              <w:tc>
                <w:tcPr>
                  <w:tcW w:type="dxa" w:w="1191"/>
                  <w:tcMar>
                    <w:top w:w="20" w:type="dxa"/>
                    <w:bottom w:w="20" w:type="dxa"/>
                    <w:left w:w="5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5"/>
                    </w:rPr>
                    <w:t>密  级</w:t>
                  </w:r>
                </w:p>
              </w:tc>
              <w:tc>
                <w:tcPr>
                  <w:tcW w:type="dxa" w:w="2041"/>
                  <w:tcMar>
                    <w:top w:w="20" w:type="dxa"/>
                    <w:bottom w:w="20" w:type="dxa"/>
                    <w:left w:w="5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5"/>
                    </w:rPr>
                  </w:r>
                </w:p>
              </w:tc>
            </w:tr>
          </w:tbl>
          <w:p/>
          <w:p>
            <w:pPr>
              <w:spacing w:after="12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8"/>
              </w:rPr>
            </w:r>
          </w:p>
          <w:p>
            <w:pPr>
              <w:spacing w:after="12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8"/>
              </w:rPr>
            </w:r>
          </w:p>
          <w:p>
            <w:pPr>
              <w:spacing w:after="12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8"/>
              </w:rPr>
            </w:r>
          </w:p>
          <w:p>
            <w:pPr>
              <w:spacing w:after="12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8"/>
              </w:rPr>
            </w:r>
          </w:p>
          <w:p>
            <w:pPr>
              <w:spacing w:after="400" w:line="324" w:lineRule="auto"/>
              <w:jc w:val="center"/>
              <w:snapToGrid w:val="0"/>
            </w:pPr>
            <w:r>
              <w:rPr>
                <w:rFonts w:ascii="Times New Roman" w:hAnsi="Times New Roman" w:eastAsia="黑体"/>
                <w:b/>
                <w:color w:val="000000"/>
                <w:sz w:val="38"/>
              </w:rPr>
              <w:t>智慧医养大数据公共服务平台</w:t>
            </w:r>
            <w:r>
              <w:br/>
            </w:r>
            <w:r>
              <w:rPr>
                <w:rFonts w:ascii="Times New Roman" w:hAnsi="Times New Roman" w:eastAsia="黑体"/>
                <w:b/>
                <w:color w:val="000000"/>
                <w:sz w:val="38"/>
              </w:rPr>
              <w:t>大数据决策分析系统</w:t>
            </w:r>
          </w:p>
          <w:p>
            <w:pPr>
              <w:pStyle w:val="Title"/>
              <w:spacing w:after="560" w:line="324" w:lineRule="auto"/>
              <w:jc w:val="center"/>
              <w:snapToGrid w:val="0"/>
            </w:pPr>
            <w:r>
              <w:rPr>
                <w:rFonts w:ascii="Times New Roman" w:hAnsi="Times New Roman" w:eastAsia="黑体"/>
                <w:b/>
                <w:color w:val="000000"/>
                <w:sz w:val="50"/>
              </w:rPr>
              <w:t>系统架构设计说明书</w:t>
            </w:r>
          </w:p>
          <w:p>
            <w:pPr>
              <w:spacing w:after="16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项 目 承 担 部 门：  软件工程项目组</w:t>
            </w:r>
          </w:p>
          <w:p>
            <w:pPr>
              <w:spacing w:after="16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撰 写 人（签名）：  钟毓林、胡吉涵</w:t>
            </w:r>
          </w:p>
          <w:p>
            <w:pPr>
              <w:spacing w:after="16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完 成 日 期：  2026年9月9日</w:t>
            </w:r>
          </w:p>
          <w:p>
            <w:pPr>
              <w:spacing w:after="16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本文档使用部门：  ■项目组  □主管领导  □维护人员  □用户</w:t>
            </w:r>
          </w:p>
          <w:p>
            <w:pPr>
              <w:spacing w:after="16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评审负责人（签名）：  待项目组评审</w:t>
            </w:r>
          </w:p>
          <w:p>
            <w:pPr>
              <w:spacing w:after="16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评 审 日 期：  待填写</w:t>
            </w:r>
          </w:p>
        </w:tc>
      </w:tr>
    </w:tbl>
    <w:p>
      <w:r>
        <w:br w:type="page"/>
      </w:r>
    </w:p>
    <w:p>
      <w:pPr>
        <w:pStyle w:val="Heading1"/>
        <w:spacing w:after="280" w:line="324" w:lineRule="auto"/>
        <w:jc w:val="center"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文档信息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文档信息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标题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智慧医养大数据决策分析系统 系统架构设计说明书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作者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钟毓林、胡吉涵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创建日期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2026年9月9日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上次更新日期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2026年9月9日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版本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V1.1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部门名称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软件工程项目组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适用范围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 UML 用例视图 逻辑视图 类图 动态视图和部署视图说明当前系统</w:t>
            </w:r>
          </w:p>
        </w:tc>
      </w:tr>
    </w:tbl>
    <w:p>
      <w:pPr>
        <w:spacing w:after="0" w:line="324" w:lineRule="auto"/>
        <w:snapToGrid w:val="0"/>
      </w:pPr>
      <w:r>
        <w:rPr>
          <w:rFonts w:ascii="Times New Roman" w:hAnsi="Times New Roman" w:eastAsia="宋体"/>
          <w:color w:val="000000"/>
          <w:sz w:val="4"/>
        </w:rPr>
      </w:r>
    </w:p>
    <w:p>
      <w:pPr>
        <w:pStyle w:val="Heading1"/>
        <w:spacing w:after="120" w:line="324" w:lineRule="auto" w:before="360"/>
        <w:jc w:val="center"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修订文档历史记录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日期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版本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作者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2026年9月9日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V1.1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按三创谷交付模板重排并与当前代码和验证证据同步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智慧医养项目组</w:t>
            </w:r>
          </w:p>
        </w:tc>
      </w:tr>
    </w:tbl>
    <w:p>
      <w:pPr>
        <w:spacing w:after="0" w:line="324" w:lineRule="auto"/>
        <w:snapToGrid w:val="0"/>
      </w:pPr>
      <w:r>
        <w:rPr>
          <w:rFonts w:ascii="Times New Roman" w:hAnsi="Times New Roman" w:eastAsia="宋体"/>
          <w:color w:val="000000"/>
          <w:sz w:val="4"/>
        </w:rPr>
      </w:r>
    </w:p>
    <w:p>
      <w:r>
        <w:br w:type="page"/>
      </w:r>
    </w:p>
    <w:p>
      <w:pPr>
        <w:pStyle w:val="Heading1"/>
        <w:spacing w:after="280" w:line="324" w:lineRule="auto"/>
        <w:jc w:val="center"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目  录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1 简介</w:t>
      </w:r>
    </w:p>
    <w:p>
      <w:pPr>
        <w:spacing w:after="80" w:line="324" w:lineRule="auto"/>
        <w:snapToGrid w:val="0"/>
        <w:ind w:left="369"/>
      </w:pPr>
      <w:r>
        <w:rPr>
          <w:rFonts w:ascii="Times New Roman" w:hAnsi="Times New Roman" w:eastAsia="宋体"/>
          <w:color w:val="000000"/>
          <w:sz w:val="21"/>
        </w:rPr>
        <w:t>1.1 目的</w:t>
      </w:r>
    </w:p>
    <w:p>
      <w:pPr>
        <w:spacing w:after="80" w:line="324" w:lineRule="auto"/>
        <w:snapToGrid w:val="0"/>
        <w:ind w:left="369"/>
      </w:pPr>
      <w:r>
        <w:rPr>
          <w:rFonts w:ascii="Times New Roman" w:hAnsi="Times New Roman" w:eastAsia="宋体"/>
          <w:color w:val="000000"/>
          <w:sz w:val="21"/>
        </w:rPr>
        <w:t>1.2 范围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2 架构表示方式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3 架构目标和约束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4 关键用例视图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5 层次结构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6 逻辑视图</w:t>
      </w:r>
    </w:p>
    <w:p>
      <w:pPr>
        <w:spacing w:after="80" w:line="324" w:lineRule="auto"/>
        <w:snapToGrid w:val="0"/>
        <w:ind w:left="369"/>
      </w:pPr>
      <w:r>
        <w:rPr>
          <w:rFonts w:ascii="Times New Roman" w:hAnsi="Times New Roman" w:eastAsia="宋体"/>
          <w:color w:val="000000"/>
          <w:sz w:val="21"/>
        </w:rPr>
        <w:t>6.1 人口 健康与随访领域</w:t>
      </w:r>
    </w:p>
    <w:p>
      <w:pPr>
        <w:spacing w:after="80" w:line="324" w:lineRule="auto"/>
        <w:snapToGrid w:val="0"/>
        <w:ind w:left="369"/>
      </w:pPr>
      <w:r>
        <w:rPr>
          <w:rFonts w:ascii="Times New Roman" w:hAnsi="Times New Roman" w:eastAsia="宋体"/>
          <w:color w:val="000000"/>
          <w:sz w:val="21"/>
        </w:rPr>
        <w:t>6.2 设备 定位与围栏领域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7 动态视图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8 部署视图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9 接口设计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10 关键技术决策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11 图源与维护</w:t>
      </w:r>
    </w:p>
    <w:p>
      <w:pPr>
        <w:pStyle w:val="Heading1"/>
        <w:spacing w:after="140" w:line="324" w:lineRule="auto" w:before="160"/>
        <w:keepNext/>
        <w:pageBreakBefore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1 简介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本文档面向项目组成员、指导教师和后续维护人员，说明智慧医养大数据决策分析系统的结构、关键约束、模块边界、核心数据关系和部署方式。所有图均根据当前仓库生成，模板中的原项目名称、类名和部署节点只用于识别格式与图类型，不作为本系统需求。</w:t>
      </w:r>
    </w:p>
    <w:p>
      <w:pPr>
        <w:pStyle w:val="Heading1"/>
        <w:spacing w:after="140" w:line="324" w:lineRule="auto" w:before="160"/>
        <w:keepNext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1.1 目的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系统采用 Vue 3 单页前端与 Spring Boot 3.5.16 模块化单体。构建后把前端静态资源纳入可执行 JAR，由同一应用提供后台接口和设备接口；MySQL 8 保存业务事实。该结构适合四人小组开发、课程演示和单机部署。</w:t>
      </w:r>
    </w:p>
    <w:p>
      <w:pPr>
        <w:pStyle w:val="Heading1"/>
        <w:spacing w:after="140" w:line="324" w:lineRule="auto" w:before="160"/>
        <w:keepNext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1.2 范围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本文覆盖登录、首页、人口、健康、随访、腕表分布、电子围栏、轨迹回放、数据模拟、批量轨迹注入、受限删除以及通用 GPS 和心跳接口。问答 Agent、真实道路地图、腕表厂商协议适配、短信和多租户不在当前实现范围。</w:t>
      </w:r>
    </w:p>
    <w:p>
      <w:pPr>
        <w:pStyle w:val="Heading1"/>
        <w:spacing w:after="140" w:line="324" w:lineRule="auto" w:before="160"/>
        <w:keepNext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2 架构表示方式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参照交付模板，使用 UML 用例视图、逻辑分层与包视图、核心类图和部署视图。为解释真实设备接口的认证、幂等与围栏处理，补充一张顺序图；模板没有要求活动图，本版不为普通 CRUD 重复绘制活动图。</w:t>
      </w:r>
    </w:p>
    <w:p>
      <w:pPr>
        <w:pStyle w:val="Heading1"/>
        <w:spacing w:after="140" w:line="324" w:lineRule="auto" w:before="160"/>
        <w:keepNext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3 架构目标和约束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目标或约束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设计响应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IDEA 2024 及以下开发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采用 Spring Boot 3.5.16 与 Java 17 编译目标，不引入 Spring Boot 4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四人协作与简化部署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使用模块化单体和 Maven，前后端可分开开发、交付时同源运行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数据一致性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事务、行锁、乐观锁、唯一约束和事件幂等共同保护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权限与隐私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后台 Session、CSRF、三角色 RBAC、电话脱敏；设备使用独立密钥摘要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演示和设备并存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demo 数据模拟与真实设备接口分开，模拟入口仅管理员且仅 demo 环境可用</w:t>
            </w:r>
          </w:p>
        </w:tc>
      </w:tr>
    </w:tbl>
    <w:p>
      <w:pPr>
        <w:spacing w:after="0" w:line="324" w:lineRule="auto"/>
        <w:snapToGrid w:val="0"/>
      </w:pPr>
      <w:r>
        <w:rPr>
          <w:rFonts w:ascii="Times New Roman" w:hAnsi="Times New Roman" w:eastAsia="宋体"/>
          <w:color w:val="000000"/>
          <w:sz w:val="4"/>
        </w:rPr>
      </w:r>
    </w:p>
    <w:p>
      <w:pPr>
        <w:pStyle w:val="Heading1"/>
        <w:spacing w:after="140" w:line="324" w:lineRule="auto" w:before="160"/>
        <w:keepNext/>
        <w:pageBreakBefore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4 关键用例视图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系统包含三类后台用户和一类设备调用方。管理员可以执行全部查询和维护、账号与密钥管理、数据模拟及受限删除；业务人员可以查询并维护业务资料；分析员只读；腕表或设备网关只调用 GPS 与心跳接口。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37210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ystem-use-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21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24" w:lineRule="auto"/>
        <w:jc w:val="center"/>
        <w:keepNext/>
        <w:snapToGrid w:val="0"/>
      </w:pPr>
      <w:r>
        <w:rPr>
          <w:rFonts w:ascii="Times New Roman" w:hAnsi="Times New Roman" w:eastAsia="宋体"/>
          <w:color w:val="000000"/>
          <w:sz w:val="18"/>
        </w:rPr>
        <w:t>图 4-1 系统关键用例视图</w:t>
      </w:r>
    </w:p>
    <w:p>
      <w:pPr>
        <w:pStyle w:val="Heading1"/>
        <w:spacing w:after="140" w:line="324" w:lineRule="auto" w:before="160"/>
        <w:keepNext/>
        <w:pageBreakBefore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5 层次结构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整体分为展示、访问与接口、业务、持久化和数据存储五个层次。Vue 页面通过 api.js 调用 REST 接口；Spring Security 区分后台 Session 与设备密钥；Service 维护事务和业务不变量；MyBatis-Plus 处理常规 CRUD，MyBatis XML 处理聚合统计。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9495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ogical-layer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49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24" w:lineRule="auto"/>
        <w:jc w:val="center"/>
        <w:keepNext/>
        <w:snapToGrid w:val="0"/>
      </w:pPr>
      <w:r>
        <w:rPr>
          <w:rFonts w:ascii="Times New Roman" w:hAnsi="Times New Roman" w:eastAsia="宋体"/>
          <w:color w:val="000000"/>
          <w:sz w:val="18"/>
        </w:rPr>
        <w:t>图 5-1 系统分层架构图</w:t>
      </w:r>
    </w:p>
    <w:p>
      <w:pPr>
        <w:pStyle w:val="Heading1"/>
        <w:spacing w:after="140" w:line="324" w:lineRule="auto" w:before="160"/>
        <w:keepNext/>
        <w:pageBreakBefore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6 逻辑视图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逻辑视图按 Java 包表达代码组织。auth 负责身份和授权，web 只处理 HTTP 契约，service 落实业务规则，mapper 访问数据，domain 对应数据库实体，config 完成初始化和 JSON 规则。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00600" cy="57786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backend-module-packag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778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24" w:lineRule="auto"/>
        <w:jc w:val="center"/>
        <w:keepNext/>
        <w:snapToGrid w:val="0"/>
      </w:pPr>
      <w:r>
        <w:rPr>
          <w:rFonts w:ascii="Times New Roman" w:hAnsi="Times New Roman" w:eastAsia="宋体"/>
          <w:color w:val="000000"/>
          <w:sz w:val="18"/>
        </w:rPr>
        <w:t>图 6-1 后端包与依赖关系图</w:t>
      </w:r>
    </w:p>
    <w:p>
      <w:pPr>
        <w:pStyle w:val="Heading1"/>
        <w:spacing w:after="140" w:line="324" w:lineRule="auto" w:before="160"/>
        <w:keepNext/>
        <w:pageBreakBefore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6.1 人口 健康与随访领域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Region、Elder、Doctor、HealthRule、HealthRecord、FollowupPlan 和 FollowupRecord 构成核心医养业务对象。归档老人不再进入人口统计且不提供恢复操作；有健康、随访、设备绑定、定位或围栏关系时禁止物理删除。随访计划最多对应一条完成记录。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53961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are-domain-cla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96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24" w:lineRule="auto"/>
        <w:jc w:val="center"/>
        <w:keepNext/>
        <w:snapToGrid w:val="0"/>
      </w:pPr>
      <w:r>
        <w:rPr>
          <w:rFonts w:ascii="Times New Roman" w:hAnsi="Times New Roman" w:eastAsia="宋体"/>
          <w:color w:val="000000"/>
          <w:sz w:val="18"/>
        </w:rPr>
        <w:t>图 6-2 人口 健康与随访领域类图</w:t>
      </w:r>
    </w:p>
    <w:p>
      <w:pPr>
        <w:pStyle w:val="Heading1"/>
        <w:spacing w:after="140" w:line="324" w:lineRule="auto" w:before="160"/>
        <w:keepNext/>
        <w:pageBreakBefore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6.2 设备 定位与围栏领域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Device、DeviceCredential、HeartbeatEvent、Binding、Location、Fence、FenceMember、FenceState 和 Alert 构成设备空间领域。定位同时保存设备、发生时绑定与老人主键，换绑不改变历史归属；设备加 eventId 唯一，持续越界仅保留一个活动事件。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40908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evice-geo-domain-cla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090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24" w:lineRule="auto"/>
        <w:jc w:val="center"/>
        <w:keepNext/>
        <w:snapToGrid w:val="0"/>
      </w:pPr>
      <w:r>
        <w:rPr>
          <w:rFonts w:ascii="Times New Roman" w:hAnsi="Times New Roman" w:eastAsia="宋体"/>
          <w:color w:val="000000"/>
          <w:sz w:val="18"/>
        </w:rPr>
        <w:t>图 6-3 设备 定位 围栏与告警领域类图</w:t>
      </w:r>
    </w:p>
    <w:p>
      <w:pPr>
        <w:pStyle w:val="Heading1"/>
        <w:spacing w:after="140" w:line="324" w:lineRule="auto" w:before="160"/>
        <w:keepNext/>
        <w:pageBreakBefore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7 动态视图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设备接口不使用浏览器 Session。设备网关在 HTTPS 请求头携带设备编号和独立密钥；服务端只保存 SHA-256 摘要。新定位在事务内查重、解析发生时绑定、写入定位并推进围栏状态。相同事件同内容可安全重传，相同事件编号改内容返回 409。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47183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device-gps-ingest-sequ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18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24" w:lineRule="auto"/>
        <w:jc w:val="center"/>
        <w:keepNext/>
        <w:snapToGrid w:val="0"/>
      </w:pPr>
      <w:r>
        <w:rPr>
          <w:rFonts w:ascii="Times New Roman" w:hAnsi="Times New Roman" w:eastAsia="宋体"/>
          <w:color w:val="000000"/>
          <w:sz w:val="18"/>
        </w:rPr>
        <w:t>图 7-1 GPS 定位接入顺序图</w:t>
      </w:r>
    </w:p>
    <w:p>
      <w:pPr>
        <w:pStyle w:val="Heading1"/>
        <w:spacing w:after="140" w:line="324" w:lineRule="auto" w:before="160"/>
        <w:keepNext/>
        <w:pageBreakBefore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8 部署视图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开发态由 Vite 代理后台接口；交付态为浏览器和设备网关共同访问 Spring Boot JAR，JAR 同时提供 Vue 静态资源和 REST 接口，并通过 JDBC 连接 MySQL。生产环境需要在 JAR 前配置 HTTPS 反向代理，当前项目不自动配置公网域名、证书或防火墙。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023360" cy="55224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eployment-topolog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5522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24" w:lineRule="auto"/>
        <w:jc w:val="center"/>
        <w:keepNext/>
        <w:snapToGrid w:val="0"/>
      </w:pPr>
      <w:r>
        <w:rPr>
          <w:rFonts w:ascii="Times New Roman" w:hAnsi="Times New Roman" w:eastAsia="宋体"/>
          <w:color w:val="000000"/>
          <w:sz w:val="18"/>
        </w:rPr>
        <w:t>图 8-1 系统部署拓扑图</w:t>
      </w:r>
    </w:p>
    <w:p>
      <w:pPr>
        <w:pStyle w:val="Heading1"/>
        <w:spacing w:after="140" w:line="324" w:lineRule="auto" w:before="160"/>
        <w:keepNext/>
        <w:pageBreakBefore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9 接口设计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边界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路径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认证和责任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后台认证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/api/v1/auth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Session、CSRF、登录注销和认证版本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业务与统计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/api/v1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三角色权限、分页筛选、业务事务和统计口径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演示注入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/api/v1/demo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仅 demo 环境和管理员，单批最多 500 点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真实设备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/api/device/v1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X-Device-Key，GPS 与心跳 eventId 幂等</w:t>
            </w:r>
          </w:p>
        </w:tc>
      </w:tr>
    </w:tbl>
    <w:p>
      <w:pPr>
        <w:spacing w:after="0" w:line="324" w:lineRule="auto"/>
        <w:snapToGrid w:val="0"/>
      </w:pPr>
      <w:r>
        <w:rPr>
          <w:rFonts w:ascii="Times New Roman" w:hAnsi="Times New Roman" w:eastAsia="宋体"/>
          <w:color w:val="000000"/>
          <w:sz w:val="4"/>
        </w:rPr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浏览器先取得 CSRF 再登录；设备接口不携带 Cookie。普通增删改查经 MyBatis-Plus Mapper，统计聚合经 StatisticsMapper XML。后台和设备接口共享 GeoService 的定位、绑定和围栏业务规则，避免两套逻辑产生差异。</w:t>
      </w:r>
    </w:p>
    <w:p>
      <w:pPr>
        <w:pStyle w:val="Heading1"/>
        <w:spacing w:after="140" w:line="324" w:lineRule="auto" w:before="160"/>
        <w:keepNext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10 关键技术决策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决策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原因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影响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Spring Boot 3.5.16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满足团队 IDEA 与 JUnit 5 使用习惯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由 Boot BOM 管理测试组件版本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模块化单体加 MySQL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控制四人小组部署和事务复杂度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当前不是微服务，不支持跨节点 Session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Element Plus 为前端组件库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满足表单、选择器、日期和提示等交互要求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SimulationPanel 已实际使用；ECharts 是当前图表实现而非强制框架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不设 Agent 工程师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当前功能是确定性查询、统计和规则处理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问答 Agent 仅作为明确新增需求后的扩展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通用设备接口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先形成厂商无关契约、密钥和幂等机制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尚未与具体腕表硬件联调</w:t>
            </w:r>
          </w:p>
        </w:tc>
      </w:tr>
    </w:tbl>
    <w:p>
      <w:pPr>
        <w:spacing w:after="0" w:line="324" w:lineRule="auto"/>
        <w:snapToGrid w:val="0"/>
      </w:pPr>
      <w:r>
        <w:rPr>
          <w:rFonts w:ascii="Times New Roman" w:hAnsi="Times New Roman" w:eastAsia="宋体"/>
          <w:color w:val="000000"/>
          <w:sz w:val="4"/>
        </w:rPr>
      </w:r>
    </w:p>
    <w:p>
      <w:pPr>
        <w:pStyle w:val="Heading1"/>
        <w:spacing w:after="140" w:line="324" w:lineRule="auto" w:before="160"/>
        <w:keepNext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11 图源与维护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图源位于 docs/diagrams/*.puml，PNG 位于 docs/diagrams/rendered。IDEA 2024.3 可通过 PlantUML 预览插件直接打开；也可运行 scripts/render-diagrams.ps1。修改类名、表结构或接口边界后，应同步更新图源、重新渲染并复核本说明书。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666666"/>
        <w:sz w:val="16"/>
      </w:rPr>
      <w:t xml:space="preserve">智慧医养大数据决策分析系统  V1.1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智慧医养大数据决策分析系统 系统架构设计说明书</dc:title>
  <dc:subject>按 UML 用例视图 逻辑视图 类图 动态视图和部署视图说明当前系统</dc:subject>
  <dc:creator>智慧医养项目组</dc:creator>
  <cp:keywords/>
  <dc:description>依据用户提供的三创谷格式模板重排，内容以当前仓库实现和验证证据为准。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