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17"/>
        <w:gridCol w:w="7483"/>
      </w:tblGrid>
      <w:tr>
        <w:trPr>
          <w:trHeight w:val="12359" w:hRule="exact"/>
        </w:trPr>
        <w:tc>
          <w:tcPr>
            <w:tcW w:type="dxa" w:w="1417"/>
            <w:shd w:fill="D9D9D9"/>
            <w:vAlign w:val="bottom"/>
            <w:tcMar>
              <w:top w:w="100" w:type="dxa"/>
              <w:bottom w:w="160" w:type="dxa"/>
              <w:left w:w="110" w:type="dxa"/>
              <w:right w:w="110" w:type="dxa"/>
            </w:tcMar>
          </w:tcPr>
          <w:p>
            <w:pPr>
              <w:jc w:val="left"/>
            </w:pPr>
            <w:r>
              <w:rPr>
                <w:rFonts w:ascii="Times New Roman" w:hAnsi="Times New Roman" w:eastAsia="宋体"/>
                <w:color w:val="000000"/>
                <w:sz w:val="15"/>
              </w:rPr>
              <w:t>分  类：项目交付文档</w:t>
              <w:br/>
              <w:t>使用者：项目组</w:t>
              <w:br/>
              <w:t>文档编号：</w:t>
              <w:br/>
              <w:t>SC-2026-01-06</w:t>
              <w:br/>
              <w:br/>
              <w:t>软件工程项目组</w:t>
            </w:r>
          </w:p>
        </w:tc>
        <w:tc>
          <w:tcPr>
            <w:tcW w:type="dxa" w:w="7483"/>
            <w:vAlign w:val="top"/>
            <w:tcMar>
              <w:top w:w="20" w:type="dxa"/>
              <w:bottom w:w="20" w:type="dxa"/>
              <w:left w:w="240" w:type="dxa"/>
              <w:right w:w="80" w:type="dxa"/>
            </w:tcMar>
          </w:tcPr>
          <w:p>
            <w:pPr>
              <w:spacing w:after="0"/>
            </w:pPr>
          </w:p>
          <w:tbl>
            <w:tblPr>
              <w:tblW w:type="auto" w:w="0"/>
              <w:jc w:val="right"/>
              <w:tblLayout w:type="fixed"/>
              <w:tblLook w:firstColumn="1" w:firstRow="1" w:lastColumn="0" w:lastRow="0" w:noHBand="0" w:noVBand="1" w:val="04A0"/>
              <w:tblBorders>
                <w:top w:val="single" w:sz="5" w:color="8A8A8A"/>
                <w:left w:val="single" w:sz="5" w:color="8A8A8A"/>
                <w:bottom w:val="single" w:sz="5" w:color="8A8A8A"/>
                <w:right w:val="single" w:sz="5" w:color="8A8A8A"/>
                <w:insideH w:val="single" w:sz="5" w:color="8A8A8A"/>
                <w:insideV w:val="single" w:sz="5" w:color="8A8A8A"/>
              </w:tblBorders>
            </w:tblPr>
            <w:tblGrid>
              <w:gridCol w:w="3741"/>
              <w:gridCol w:w="3741"/>
            </w:tblGrid>
            <w:tr>
              <w:tc>
                <w:tcPr>
                  <w:tcW w:type="dxa" w:w="1191"/>
                  <w:tcMar>
                    <w:top w:w="20" w:type="dxa"/>
                    <w:bottom w:w="20" w:type="dxa"/>
                    <w:left w:w="50" w:type="dxa"/>
                    <w:right w:w="50" w:type="dxa"/>
                  </w:tcMar>
                </w:tcPr>
                <w:p>
                  <w:pPr>
                    <w:jc w:val="center"/>
                  </w:pPr>
                  <w:r>
                    <w:rPr>
                      <w:rFonts w:ascii="Times New Roman" w:hAnsi="Times New Roman" w:eastAsia="宋体"/>
                      <w:b w:val="0"/>
                      <w:color w:val="000000"/>
                      <w:sz w:val="15"/>
                    </w:rPr>
                    <w:t>卷  号</w:t>
                  </w:r>
                </w:p>
              </w:tc>
              <w:tc>
                <w:tcPr>
                  <w:tcW w:type="dxa" w:w="2041"/>
                  <w:tcMar>
                    <w:top w:w="20" w:type="dxa"/>
                    <w:bottom w:w="20" w:type="dxa"/>
                    <w:left w:w="50" w:type="dxa"/>
                    <w:right w:w="50" w:type="dxa"/>
                  </w:tcMar>
                </w:tcPr>
                <w:p>
                  <w:pPr>
                    <w:jc w:val="center"/>
                  </w:pPr>
                  <w:r>
                    <w:rPr>
                      <w:rFonts w:ascii="Times New Roman" w:hAnsi="Times New Roman" w:eastAsia="宋体"/>
                      <w:b w:val="0"/>
                      <w:color w:val="000000"/>
                      <w:sz w:val="15"/>
                    </w:rPr>
                  </w:r>
                </w:p>
              </w:tc>
            </w:tr>
            <w:tr>
              <w:tc>
                <w:tcPr>
                  <w:tcW w:type="dxa" w:w="1191"/>
                  <w:tcMar>
                    <w:top w:w="20" w:type="dxa"/>
                    <w:bottom w:w="20" w:type="dxa"/>
                    <w:left w:w="50" w:type="dxa"/>
                    <w:right w:w="50" w:type="dxa"/>
                  </w:tcMar>
                </w:tcPr>
                <w:p>
                  <w:pPr>
                    <w:jc w:val="center"/>
                  </w:pPr>
                  <w:r>
                    <w:rPr>
                      <w:rFonts w:ascii="Times New Roman" w:hAnsi="Times New Roman" w:eastAsia="宋体"/>
                      <w:b w:val="0"/>
                      <w:color w:val="000000"/>
                      <w:sz w:val="15"/>
                    </w:rPr>
                    <w:t>卷内编号</w:t>
                  </w:r>
                </w:p>
              </w:tc>
              <w:tc>
                <w:tcPr>
                  <w:tcW w:type="dxa" w:w="2041"/>
                  <w:tcMar>
                    <w:top w:w="20" w:type="dxa"/>
                    <w:bottom w:w="20" w:type="dxa"/>
                    <w:left w:w="50" w:type="dxa"/>
                    <w:right w:w="50" w:type="dxa"/>
                  </w:tcMar>
                </w:tcPr>
                <w:p>
                  <w:pPr>
                    <w:jc w:val="center"/>
                  </w:pPr>
                  <w:r>
                    <w:rPr>
                      <w:rFonts w:ascii="Times New Roman" w:hAnsi="Times New Roman" w:eastAsia="宋体"/>
                      <w:b w:val="0"/>
                      <w:color w:val="000000"/>
                      <w:sz w:val="15"/>
                    </w:rPr>
                  </w:r>
                </w:p>
              </w:tc>
            </w:tr>
            <w:tr>
              <w:tc>
                <w:tcPr>
                  <w:tcW w:type="dxa" w:w="1191"/>
                  <w:tcMar>
                    <w:top w:w="20" w:type="dxa"/>
                    <w:bottom w:w="20" w:type="dxa"/>
                    <w:left w:w="50" w:type="dxa"/>
                    <w:right w:w="50" w:type="dxa"/>
                  </w:tcMar>
                </w:tcPr>
                <w:p>
                  <w:pPr>
                    <w:jc w:val="center"/>
                  </w:pPr>
                  <w:r>
                    <w:rPr>
                      <w:rFonts w:ascii="Times New Roman" w:hAnsi="Times New Roman" w:eastAsia="宋体"/>
                      <w:b w:val="0"/>
                      <w:color w:val="000000"/>
                      <w:sz w:val="15"/>
                    </w:rPr>
                    <w:t>密  级</w:t>
                  </w:r>
                </w:p>
              </w:tc>
              <w:tc>
                <w:tcPr>
                  <w:tcW w:type="dxa" w:w="2041"/>
                  <w:tcMar>
                    <w:top w:w="20" w:type="dxa"/>
                    <w:bottom w:w="20" w:type="dxa"/>
                    <w:left w:w="50" w:type="dxa"/>
                    <w:right w:w="50" w:type="dxa"/>
                  </w:tcMar>
                </w:tcPr>
                <w:p>
                  <w:pPr>
                    <w:jc w:val="center"/>
                  </w:pPr>
                  <w:r>
                    <w:rPr>
                      <w:rFonts w:ascii="Times New Roman" w:hAnsi="Times New Roman" w:eastAsia="宋体"/>
                      <w:b w:val="0"/>
                      <w:color w:val="000000"/>
                      <w:sz w:val="15"/>
                    </w:rPr>
                  </w:r>
                </w:p>
              </w:tc>
            </w:tr>
          </w:tbl>
          <w:p/>
          <w:p>
            <w:pPr>
              <w:spacing w:after="120" w:line="324" w:lineRule="auto"/>
              <w:snapToGrid w:val="0"/>
            </w:pPr>
            <w:r>
              <w:rPr>
                <w:rFonts w:ascii="Times New Roman" w:hAnsi="Times New Roman" w:eastAsia="宋体"/>
                <w:color w:val="000000"/>
                <w:sz w:val="8"/>
              </w:rPr>
            </w:r>
          </w:p>
          <w:p>
            <w:pPr>
              <w:spacing w:after="120" w:line="324" w:lineRule="auto"/>
              <w:snapToGrid w:val="0"/>
            </w:pPr>
            <w:r>
              <w:rPr>
                <w:rFonts w:ascii="Times New Roman" w:hAnsi="Times New Roman" w:eastAsia="宋体"/>
                <w:color w:val="000000"/>
                <w:sz w:val="8"/>
              </w:rPr>
            </w:r>
          </w:p>
          <w:p>
            <w:pPr>
              <w:spacing w:after="120" w:line="324" w:lineRule="auto"/>
              <w:snapToGrid w:val="0"/>
            </w:pPr>
            <w:r>
              <w:rPr>
                <w:rFonts w:ascii="Times New Roman" w:hAnsi="Times New Roman" w:eastAsia="宋体"/>
                <w:color w:val="000000"/>
                <w:sz w:val="8"/>
              </w:rPr>
            </w:r>
          </w:p>
          <w:p>
            <w:pPr>
              <w:spacing w:after="120" w:line="324" w:lineRule="auto"/>
              <w:snapToGrid w:val="0"/>
            </w:pPr>
            <w:r>
              <w:rPr>
                <w:rFonts w:ascii="Times New Roman" w:hAnsi="Times New Roman" w:eastAsia="宋体"/>
                <w:color w:val="000000"/>
                <w:sz w:val="8"/>
              </w:rPr>
            </w:r>
          </w:p>
          <w:p>
            <w:pPr>
              <w:spacing w:after="400" w:line="324" w:lineRule="auto"/>
              <w:jc w:val="center"/>
              <w:snapToGrid w:val="0"/>
            </w:pPr>
            <w:r>
              <w:rPr>
                <w:rFonts w:ascii="Times New Roman" w:hAnsi="Times New Roman" w:eastAsia="黑体"/>
                <w:b/>
                <w:color w:val="000000"/>
                <w:sz w:val="38"/>
              </w:rPr>
              <w:t>智慧医养大数据公共服务平台</w:t>
            </w:r>
            <w:r>
              <w:br/>
            </w:r>
            <w:r>
              <w:rPr>
                <w:rFonts w:ascii="Times New Roman" w:hAnsi="Times New Roman" w:eastAsia="黑体"/>
                <w:b/>
                <w:color w:val="000000"/>
                <w:sz w:val="38"/>
              </w:rPr>
              <w:t>大数据决策分析系统</w:t>
            </w:r>
          </w:p>
          <w:p>
            <w:pPr>
              <w:pStyle w:val="Title"/>
              <w:spacing w:after="560" w:line="324" w:lineRule="auto"/>
              <w:jc w:val="center"/>
              <w:snapToGrid w:val="0"/>
            </w:pPr>
            <w:r>
              <w:rPr>
                <w:rFonts w:ascii="Times New Roman" w:hAnsi="Times New Roman" w:eastAsia="黑体"/>
                <w:b/>
                <w:color w:val="000000"/>
                <w:sz w:val="50"/>
              </w:rPr>
              <w:t>测试计划</w:t>
            </w:r>
          </w:p>
          <w:p>
            <w:pPr>
              <w:spacing w:after="160" w:line="324" w:lineRule="auto"/>
              <w:snapToGrid w:val="0"/>
            </w:pPr>
            <w:r>
              <w:rPr>
                <w:rFonts w:ascii="Times New Roman" w:hAnsi="Times New Roman" w:eastAsia="宋体"/>
                <w:color w:val="000000"/>
                <w:sz w:val="21"/>
              </w:rPr>
              <w:t>项 目 承 担 部 门：  软件工程项目组</w:t>
            </w:r>
          </w:p>
          <w:p>
            <w:pPr>
              <w:spacing w:after="160" w:line="324" w:lineRule="auto"/>
              <w:snapToGrid w:val="0"/>
            </w:pPr>
            <w:r>
              <w:rPr>
                <w:rFonts w:ascii="Times New Roman" w:hAnsi="Times New Roman" w:eastAsia="宋体"/>
                <w:color w:val="000000"/>
                <w:sz w:val="21"/>
              </w:rPr>
              <w:t>撰 写 人（签名）：  周虹宏</w:t>
            </w:r>
          </w:p>
          <w:p>
            <w:pPr>
              <w:spacing w:after="160" w:line="324" w:lineRule="auto"/>
              <w:snapToGrid w:val="0"/>
            </w:pPr>
            <w:r>
              <w:rPr>
                <w:rFonts w:ascii="Times New Roman" w:hAnsi="Times New Roman" w:eastAsia="宋体"/>
                <w:color w:val="000000"/>
                <w:sz w:val="21"/>
              </w:rPr>
              <w:t>完 成 日 期：  2026年9月9日</w:t>
            </w:r>
          </w:p>
          <w:p>
            <w:pPr>
              <w:spacing w:after="160" w:line="324" w:lineRule="auto"/>
              <w:snapToGrid w:val="0"/>
            </w:pPr>
            <w:r>
              <w:rPr>
                <w:rFonts w:ascii="Times New Roman" w:hAnsi="Times New Roman" w:eastAsia="宋体"/>
                <w:color w:val="000000"/>
                <w:sz w:val="21"/>
              </w:rPr>
              <w:t>本文档使用部门：  ■项目组  □主管领导  □维护人员  □用户</w:t>
            </w:r>
          </w:p>
          <w:p>
            <w:pPr>
              <w:spacing w:after="160" w:line="324" w:lineRule="auto"/>
              <w:snapToGrid w:val="0"/>
            </w:pPr>
            <w:r>
              <w:rPr>
                <w:rFonts w:ascii="Times New Roman" w:hAnsi="Times New Roman" w:eastAsia="宋体"/>
                <w:color w:val="000000"/>
                <w:sz w:val="21"/>
              </w:rPr>
              <w:t>评审负责人（签名）：  待项目组评审</w:t>
            </w:r>
          </w:p>
          <w:p>
            <w:pPr>
              <w:spacing w:after="160" w:line="324" w:lineRule="auto"/>
              <w:snapToGrid w:val="0"/>
            </w:pPr>
            <w:r>
              <w:rPr>
                <w:rFonts w:ascii="Times New Roman" w:hAnsi="Times New Roman" w:eastAsia="宋体"/>
                <w:color w:val="000000"/>
                <w:sz w:val="21"/>
              </w:rPr>
              <w:t>评 审 日 期：  待填写</w:t>
            </w:r>
          </w:p>
        </w:tc>
      </w:tr>
    </w:tbl>
    <w:p>
      <w:r>
        <w:br w:type="page"/>
      </w:r>
    </w:p>
    <w:p>
      <w:pPr>
        <w:pStyle w:val="Heading1"/>
        <w:spacing w:after="280" w:line="324" w:lineRule="auto"/>
        <w:jc w:val="center"/>
        <w:snapToGrid w:val="0"/>
      </w:pPr>
      <w:r>
        <w:rPr>
          <w:rFonts w:ascii="Times New Roman" w:hAnsi="Times New Roman" w:eastAsia="黑体"/>
          <w:b/>
          <w:color w:val="000000"/>
          <w:sz w:val="32"/>
        </w:rPr>
        <w:t>文档信息</w:t>
      </w:r>
    </w:p>
    <w:tbl>
      <w:tblPr>
        <w:tblW w:type="auto" w:w="0"/>
        <w:jc w:val="center"/>
        <w:tblLayout w:type="autofit"/>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513"/>
        <w:gridCol w:w="4513"/>
      </w:tblGrid>
      <w:tr>
        <w:trPr>
          <w:cantSplit/>
          <w:tblHeader/>
        </w:trPr>
        <w:tc>
          <w:tcPr>
            <w:tcW w:type="dxa" w:w="4513"/>
            <w:vAlign w:val="center"/>
            <w:tcMar>
              <w:top w:w="70" w:type="dxa"/>
              <w:bottom w:w="70" w:type="dxa"/>
              <w:left w:w="90" w:type="dxa"/>
              <w:right w:w="90" w:type="dxa"/>
            </w:tcMar>
            <w:shd w:fill="D9D9D9"/>
          </w:tcPr>
          <w:p>
            <w:pPr>
              <w:spacing w:before="20" w:after="20" w:line="276" w:lineRule="auto"/>
              <w:jc w:val="center"/>
            </w:pPr>
            <w:r>
              <w:rPr>
                <w:rFonts w:ascii="Times New Roman" w:hAnsi="Times New Roman" w:eastAsia="黑体"/>
                <w:b/>
                <w:color w:val="000000"/>
                <w:sz w:val="18"/>
              </w:rPr>
              <w:t>文档信息</w:t>
            </w:r>
          </w:p>
        </w:tc>
        <w:tc>
          <w:tcPr>
            <w:tcW w:type="dxa" w:w="4513"/>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内容</w:t>
            </w:r>
          </w:p>
        </w:tc>
      </w:tr>
      <w:tr>
        <w:trPr>
          <w:cantSplit/>
        </w:trPr>
        <w:tc>
          <w:tcPr>
            <w:tcW w:type="dxa" w:w="4513"/>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标题</w:t>
            </w:r>
          </w:p>
        </w:tc>
        <w:tc>
          <w:tcPr>
            <w:tcW w:type="dxa" w:w="4513"/>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智慧医养大数据决策分析系统 测试计划</w:t>
            </w:r>
          </w:p>
        </w:tc>
      </w:tr>
      <w:tr>
        <w:trPr>
          <w:cantSplit/>
        </w:trPr>
        <w:tc>
          <w:tcPr>
            <w:tcW w:type="dxa" w:w="4513"/>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作者</w:t>
            </w:r>
          </w:p>
        </w:tc>
        <w:tc>
          <w:tcPr>
            <w:tcW w:type="dxa" w:w="4513"/>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周虹宏</w:t>
            </w:r>
          </w:p>
        </w:tc>
      </w:tr>
      <w:tr>
        <w:trPr>
          <w:cantSplit/>
        </w:trPr>
        <w:tc>
          <w:tcPr>
            <w:tcW w:type="dxa" w:w="4513"/>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创建日期</w:t>
            </w:r>
          </w:p>
        </w:tc>
        <w:tc>
          <w:tcPr>
            <w:tcW w:type="dxa" w:w="4513"/>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2026年9月9日</w:t>
            </w:r>
          </w:p>
        </w:tc>
      </w:tr>
      <w:tr>
        <w:trPr>
          <w:cantSplit/>
        </w:trPr>
        <w:tc>
          <w:tcPr>
            <w:tcW w:type="dxa" w:w="4513"/>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上次更新日期</w:t>
            </w:r>
          </w:p>
        </w:tc>
        <w:tc>
          <w:tcPr>
            <w:tcW w:type="dxa" w:w="4513"/>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2026年9月9日</w:t>
            </w:r>
          </w:p>
        </w:tc>
      </w:tr>
      <w:tr>
        <w:trPr>
          <w:cantSplit/>
        </w:trPr>
        <w:tc>
          <w:tcPr>
            <w:tcW w:type="dxa" w:w="4513"/>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版本</w:t>
            </w:r>
          </w:p>
        </w:tc>
        <w:tc>
          <w:tcPr>
            <w:tcW w:type="dxa" w:w="4513"/>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V1.1</w:t>
            </w:r>
          </w:p>
        </w:tc>
      </w:tr>
      <w:tr>
        <w:trPr>
          <w:cantSplit/>
        </w:trPr>
        <w:tc>
          <w:tcPr>
            <w:tcW w:type="dxa" w:w="4513"/>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部门名称</w:t>
            </w:r>
          </w:p>
        </w:tc>
        <w:tc>
          <w:tcPr>
            <w:tcW w:type="dxa" w:w="4513"/>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软件工程项目组</w:t>
            </w:r>
          </w:p>
        </w:tc>
      </w:tr>
      <w:tr>
        <w:trPr>
          <w:cantSplit/>
        </w:trPr>
        <w:tc>
          <w:tcPr>
            <w:tcW w:type="dxa" w:w="4513"/>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适用范围</w:t>
            </w:r>
          </w:p>
        </w:tc>
        <w:tc>
          <w:tcPr>
            <w:tcW w:type="dxa" w:w="4513"/>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规定测试范围 资源 顺序 准入准出和缺陷处理</w:t>
            </w:r>
          </w:p>
        </w:tc>
      </w:tr>
    </w:tbl>
    <w:p>
      <w:pPr>
        <w:spacing w:after="0" w:line="324" w:lineRule="auto"/>
        <w:snapToGrid w:val="0"/>
      </w:pPr>
      <w:r>
        <w:rPr>
          <w:rFonts w:ascii="Times New Roman" w:hAnsi="Times New Roman" w:eastAsia="宋体"/>
          <w:color w:val="000000"/>
          <w:sz w:val="4"/>
        </w:rPr>
      </w:r>
    </w:p>
    <w:p>
      <w:pPr>
        <w:pStyle w:val="Heading1"/>
        <w:spacing w:after="120" w:line="324" w:lineRule="auto" w:before="360"/>
        <w:jc w:val="center"/>
        <w:snapToGrid w:val="0"/>
      </w:pPr>
      <w:r>
        <w:rPr>
          <w:rFonts w:ascii="Times New Roman" w:hAnsi="Times New Roman" w:eastAsia="黑体"/>
          <w:b/>
          <w:color w:val="000000"/>
          <w:sz w:val="32"/>
        </w:rPr>
        <w:t>修订文档历史记录</w:t>
      </w:r>
    </w:p>
    <w:tbl>
      <w:tblPr>
        <w:tblW w:type="auto" w:w="0"/>
        <w:jc w:val="center"/>
        <w:tblLayout w:type="autofit"/>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256"/>
        <w:gridCol w:w="2256"/>
        <w:gridCol w:w="2256"/>
        <w:gridCol w:w="2256"/>
      </w:tblGrid>
      <w:tr>
        <w:trPr>
          <w:cantSplit/>
          <w:tblHeader/>
        </w:trPr>
        <w:tc>
          <w:tcPr>
            <w:tcW w:type="dxa" w:w="2256"/>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日期</w:t>
            </w:r>
          </w:p>
        </w:tc>
        <w:tc>
          <w:tcPr>
            <w:tcW w:type="dxa" w:w="2256"/>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版本</w:t>
            </w:r>
          </w:p>
        </w:tc>
        <w:tc>
          <w:tcPr>
            <w:tcW w:type="dxa" w:w="2256"/>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说明</w:t>
            </w:r>
          </w:p>
        </w:tc>
        <w:tc>
          <w:tcPr>
            <w:tcW w:type="dxa" w:w="2256"/>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作者</w:t>
            </w:r>
          </w:p>
        </w:tc>
      </w:tr>
      <w:tr>
        <w:trPr>
          <w:cantSplit/>
        </w:trPr>
        <w:tc>
          <w:tcPr>
            <w:tcW w:type="dxa" w:w="2256"/>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2026年9月9日</w:t>
            </w:r>
          </w:p>
        </w:tc>
        <w:tc>
          <w:tcPr>
            <w:tcW w:type="dxa" w:w="2256"/>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V1.1</w:t>
            </w:r>
          </w:p>
        </w:tc>
        <w:tc>
          <w:tcPr>
            <w:tcW w:type="dxa" w:w="2256"/>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按三创谷交付模板重排并与当前代码和验证证据同步</w:t>
            </w:r>
          </w:p>
        </w:tc>
        <w:tc>
          <w:tcPr>
            <w:tcW w:type="dxa" w:w="2256"/>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智慧医养项目组</w:t>
            </w:r>
          </w:p>
        </w:tc>
      </w:tr>
    </w:tbl>
    <w:p>
      <w:pPr>
        <w:spacing w:after="0" w:line="324" w:lineRule="auto"/>
        <w:snapToGrid w:val="0"/>
      </w:pPr>
      <w:r>
        <w:rPr>
          <w:rFonts w:ascii="Times New Roman" w:hAnsi="Times New Roman" w:eastAsia="宋体"/>
          <w:color w:val="000000"/>
          <w:sz w:val="4"/>
        </w:rPr>
      </w:r>
    </w:p>
    <w:p>
      <w:r>
        <w:br w:type="page"/>
      </w:r>
    </w:p>
    <w:p>
      <w:pPr>
        <w:pStyle w:val="Heading1"/>
        <w:spacing w:after="280" w:line="324" w:lineRule="auto"/>
        <w:jc w:val="center"/>
        <w:snapToGrid w:val="0"/>
      </w:pPr>
      <w:r>
        <w:rPr>
          <w:rFonts w:ascii="Times New Roman" w:hAnsi="Times New Roman" w:eastAsia="黑体"/>
          <w:b/>
          <w:color w:val="000000"/>
          <w:sz w:val="32"/>
        </w:rPr>
        <w:t>目  录</w:t>
      </w:r>
    </w:p>
    <w:p>
      <w:pPr>
        <w:spacing w:after="80" w:line="324" w:lineRule="auto"/>
        <w:snapToGrid w:val="0"/>
        <w:ind w:left="0"/>
      </w:pPr>
      <w:r>
        <w:rPr>
          <w:rFonts w:ascii="Times New Roman" w:hAnsi="Times New Roman" w:eastAsia="宋体"/>
          <w:color w:val="000000"/>
          <w:sz w:val="21"/>
        </w:rPr>
        <w:t>1 目标与范围</w:t>
      </w:r>
    </w:p>
    <w:p>
      <w:pPr>
        <w:spacing w:after="80" w:line="324" w:lineRule="auto"/>
        <w:snapToGrid w:val="0"/>
        <w:ind w:left="0"/>
      </w:pPr>
      <w:r>
        <w:rPr>
          <w:rFonts w:ascii="Times New Roman" w:hAnsi="Times New Roman" w:eastAsia="宋体"/>
          <w:color w:val="000000"/>
          <w:sz w:val="21"/>
        </w:rPr>
        <w:t>2 角色与资源</w:t>
      </w:r>
    </w:p>
    <w:p>
      <w:pPr>
        <w:spacing w:after="80" w:line="324" w:lineRule="auto"/>
        <w:snapToGrid w:val="0"/>
        <w:ind w:left="0"/>
      </w:pPr>
      <w:r>
        <w:rPr>
          <w:rFonts w:ascii="Times New Roman" w:hAnsi="Times New Roman" w:eastAsia="宋体"/>
          <w:color w:val="000000"/>
          <w:sz w:val="21"/>
        </w:rPr>
        <w:t>3 准入与准出</w:t>
      </w:r>
    </w:p>
    <w:p>
      <w:pPr>
        <w:spacing w:after="80" w:line="324" w:lineRule="auto"/>
        <w:snapToGrid w:val="0"/>
        <w:ind w:left="0"/>
      </w:pPr>
      <w:r>
        <w:rPr>
          <w:rFonts w:ascii="Times New Roman" w:hAnsi="Times New Roman" w:eastAsia="宋体"/>
          <w:color w:val="000000"/>
          <w:sz w:val="21"/>
        </w:rPr>
        <w:t>4 缺陷处理</w:t>
      </w:r>
    </w:p>
    <w:p>
      <w:pPr>
        <w:spacing w:after="80" w:line="324" w:lineRule="auto"/>
        <w:snapToGrid w:val="0"/>
        <w:ind w:left="0"/>
      </w:pPr>
      <w:r>
        <w:rPr>
          <w:rFonts w:ascii="Times New Roman" w:hAnsi="Times New Roman" w:eastAsia="宋体"/>
          <w:color w:val="000000"/>
          <w:sz w:val="21"/>
        </w:rPr>
        <w:t>5 相对排期</w:t>
      </w:r>
    </w:p>
    <w:p>
      <w:pPr>
        <w:pStyle w:val="Heading1"/>
        <w:spacing w:after="140" w:line="324" w:lineRule="auto" w:before="160"/>
        <w:keepNext/>
        <w:pageBreakBefore/>
        <w:snapToGrid w:val="0"/>
      </w:pPr>
      <w:r>
        <w:rPr>
          <w:rFonts w:ascii="Times New Roman" w:hAnsi="Times New Roman" w:eastAsia="黑体"/>
          <w:b/>
          <w:color w:val="000000"/>
          <w:sz w:val="32"/>
        </w:rPr>
        <w:t>1 目标与范围</w:t>
      </w:r>
    </w:p>
    <w:p>
      <w:pPr>
        <w:spacing w:after="120" w:line="324" w:lineRule="auto"/>
        <w:snapToGrid w:val="0"/>
      </w:pPr>
      <w:r>
        <w:rPr>
          <w:rFonts w:ascii="Times New Roman" w:hAnsi="Times New Roman" w:eastAsia="宋体"/>
          <w:color w:val="000000"/>
          <w:sz w:val="21"/>
        </w:rPr>
        <w:t>本计划用于课程版持续回归与团队验收。验证十项功能、角色隔离、统计口径、设备历史归属、数据模拟、受限删除和设备认证，并通过隔离 MySQL 检查实际 SQL。临床准确性、具体腕表厂商硬件和公开生产安全验收不属于当前已通过范围。</w:t>
      </w:r>
    </w:p>
    <w:tbl>
      <w:tblPr>
        <w:tblW w:type="auto" w:w="0"/>
        <w:jc w:val="center"/>
        <w:tblLayout w:type="autofit"/>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009"/>
        <w:gridCol w:w="3009"/>
        <w:gridCol w:w="3009"/>
      </w:tblGrid>
      <w:tr>
        <w:trPr>
          <w:cantSplit/>
          <w:tblHeader/>
        </w:trPr>
        <w:tc>
          <w:tcPr>
            <w:tcW w:type="dxa" w:w="3009"/>
            <w:vAlign w:val="center"/>
            <w:tcMar>
              <w:top w:w="70" w:type="dxa"/>
              <w:bottom w:w="70" w:type="dxa"/>
              <w:left w:w="90" w:type="dxa"/>
              <w:right w:w="90" w:type="dxa"/>
            </w:tcMar>
            <w:shd w:fill="D9D9D9"/>
          </w:tcPr>
          <w:p>
            <w:pPr>
              <w:spacing w:before="20" w:after="20" w:line="276" w:lineRule="auto"/>
              <w:jc w:val="center"/>
            </w:pPr>
            <w:r>
              <w:rPr>
                <w:rFonts w:ascii="Times New Roman" w:hAnsi="Times New Roman" w:eastAsia="黑体"/>
                <w:b/>
                <w:color w:val="000000"/>
                <w:sz w:val="18"/>
              </w:rPr>
              <w:t>阶段</w:t>
            </w:r>
          </w:p>
        </w:tc>
        <w:tc>
          <w:tcPr>
            <w:tcW w:type="dxa" w:w="3009"/>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输入</w:t>
            </w:r>
          </w:p>
        </w:tc>
        <w:tc>
          <w:tcPr>
            <w:tcW w:type="dxa" w:w="3009"/>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活动和产物</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环境确认</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代码、pom、专用数据库</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记录 Java Maven Node MySQL IDEA 完整版本</w:t>
            </w:r>
          </w:p>
        </w:tc>
      </w:tr>
      <w:tr>
        <w:trPr>
          <w:cantSplit/>
        </w:trPr>
        <w:tc>
          <w:tcPr>
            <w:tcW w:type="dxa" w:w="3009"/>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单体回归</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编译成功</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28 项 JUnit 业务及 MockMvc；Surefire 报告</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数据库联调</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18 表与模拟数据</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升级、设备密钥、批量定位、删除与原功能冒烟</w:t>
            </w:r>
          </w:p>
        </w:tc>
      </w:tr>
      <w:tr>
        <w:trPr>
          <w:cantSplit/>
        </w:trPr>
        <w:tc>
          <w:tcPr>
            <w:tcW w:type="dxa" w:w="3009"/>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页面验收</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可运行 JAR</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数据模拟、误录删除、密钥显示及原页面</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性能测试</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隔离环境可清理专属数据</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原只读基线；新增批量写入另行测量</w:t>
            </w:r>
          </w:p>
        </w:tc>
      </w:tr>
      <w:tr>
        <w:trPr>
          <w:cantSplit/>
        </w:trPr>
        <w:tc>
          <w:tcPr>
            <w:tcW w:type="dxa" w:w="3009"/>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交付复核</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代码文档冻结</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部署命令、文件完整性、答辩演示与签收</w:t>
            </w:r>
          </w:p>
        </w:tc>
      </w:tr>
    </w:tbl>
    <w:p>
      <w:pPr>
        <w:spacing w:after="0" w:line="324" w:lineRule="auto"/>
        <w:snapToGrid w:val="0"/>
      </w:pPr>
      <w:r>
        <w:rPr>
          <w:rFonts w:ascii="Times New Roman" w:hAnsi="Times New Roman" w:eastAsia="宋体"/>
          <w:color w:val="000000"/>
          <w:sz w:val="4"/>
        </w:rPr>
      </w:r>
    </w:p>
    <w:p>
      <w:pPr>
        <w:pStyle w:val="Heading1"/>
        <w:spacing w:after="140" w:line="324" w:lineRule="auto" w:before="160"/>
        <w:keepNext/>
        <w:snapToGrid w:val="0"/>
      </w:pPr>
      <w:r>
        <w:rPr>
          <w:rFonts w:ascii="Times New Roman" w:hAnsi="Times New Roman" w:eastAsia="黑体"/>
          <w:b/>
          <w:color w:val="000000"/>
          <w:sz w:val="32"/>
        </w:rPr>
        <w:t>2 角色与资源</w:t>
      </w:r>
    </w:p>
    <w:p>
      <w:pPr>
        <w:spacing w:after="120" w:line="324" w:lineRule="auto"/>
        <w:snapToGrid w:val="0"/>
      </w:pPr>
      <w:r>
        <w:rPr>
          <w:rFonts w:ascii="Times New Roman" w:hAnsi="Times New Roman" w:eastAsia="宋体"/>
          <w:color w:val="000000"/>
          <w:sz w:val="21"/>
        </w:rPr>
        <w:t>周虹宏维护计划、用例、缺陷单与验收结论；钟毓林负责认证、健康、随访和删除权限测试；胡吉涵负责 SQL、设备密钥、批量定位、围栏和负载；李治宏负责模拟页面与浏览器联调。使用虚构数据，不引入个人真实健康或轨迹信息。</w:t>
      </w:r>
    </w:p>
    <w:p>
      <w:pPr>
        <w:pStyle w:val="Heading1"/>
        <w:spacing w:after="140" w:line="324" w:lineRule="auto" w:before="160"/>
        <w:keepNext/>
        <w:pageBreakBefore/>
        <w:snapToGrid w:val="0"/>
      </w:pPr>
      <w:r>
        <w:rPr>
          <w:rFonts w:ascii="Times New Roman" w:hAnsi="Times New Roman" w:eastAsia="黑体"/>
          <w:b/>
          <w:color w:val="000000"/>
          <w:sz w:val="32"/>
        </w:rPr>
        <w:t>3 准入与准出</w:t>
      </w:r>
    </w:p>
    <w:tbl>
      <w:tblPr>
        <w:tblW w:type="auto" w:w="0"/>
        <w:jc w:val="center"/>
        <w:tblLayout w:type="autofit"/>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009"/>
        <w:gridCol w:w="3009"/>
        <w:gridCol w:w="3009"/>
      </w:tblGrid>
      <w:tr>
        <w:trPr>
          <w:cantSplit/>
          <w:tblHeader/>
        </w:trPr>
        <w:tc>
          <w:tcPr>
            <w:tcW w:type="dxa" w:w="3009"/>
            <w:vAlign w:val="center"/>
            <w:tcMar>
              <w:top w:w="70" w:type="dxa"/>
              <w:bottom w:w="70" w:type="dxa"/>
              <w:left w:w="90" w:type="dxa"/>
              <w:right w:w="90" w:type="dxa"/>
            </w:tcMar>
            <w:shd w:fill="D9D9D9"/>
          </w:tcPr>
          <w:p>
            <w:pPr>
              <w:spacing w:before="20" w:after="20" w:line="276" w:lineRule="auto"/>
              <w:jc w:val="center"/>
            </w:pPr>
            <w:r>
              <w:rPr>
                <w:rFonts w:ascii="Times New Roman" w:hAnsi="Times New Roman" w:eastAsia="黑体"/>
                <w:b/>
                <w:color w:val="000000"/>
                <w:sz w:val="18"/>
              </w:rPr>
              <w:t>环节</w:t>
            </w:r>
          </w:p>
        </w:tc>
        <w:tc>
          <w:tcPr>
            <w:tcW w:type="dxa" w:w="3009"/>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准入条件</w:t>
            </w:r>
          </w:p>
        </w:tc>
        <w:tc>
          <w:tcPr>
            <w:tcW w:type="dxa" w:w="3009"/>
            <w:vAlign w:val="center"/>
            <w:tcMar>
              <w:top w:w="70" w:type="dxa"/>
              <w:bottom w:w="70" w:type="dxa"/>
              <w:left w:w="90" w:type="dxa"/>
              <w:right w:w="90" w:type="dxa"/>
            </w:tcMar>
            <w:shd w:fill="D9D9D9"/>
          </w:tcPr>
          <w:p>
            <w:pPr>
              <w:spacing w:before="20" w:after="20" w:line="276" w:lineRule="auto"/>
            </w:pPr>
            <w:r>
              <w:rPr>
                <w:rFonts w:ascii="Times New Roman" w:hAnsi="Times New Roman" w:eastAsia="黑体"/>
                <w:b/>
                <w:color w:val="000000"/>
                <w:sz w:val="18"/>
              </w:rPr>
              <w:t>准出条件</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功能测试</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依赖下载、测试库可用</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全部核心自动测试通过；失败有定位记录</w:t>
            </w:r>
          </w:p>
        </w:tc>
      </w:tr>
      <w:tr>
        <w:trPr>
          <w:cantSplit/>
        </w:trPr>
        <w:tc>
          <w:tcPr>
            <w:tcW w:type="dxa" w:w="3009"/>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接口联调</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仅专用库初始化、服务启动成功</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16 项冒烟通过；SQL 无方言错误</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页面验收</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前端构建和接口通过</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关键页面可使用；阻断与严重缺陷清零</w:t>
            </w:r>
          </w:p>
        </w:tc>
      </w:tr>
      <w:tr>
        <w:trPr>
          <w:cantSplit/>
        </w:trPr>
        <w:tc>
          <w:tcPr>
            <w:tcW w:type="dxa" w:w="3009"/>
            <w:vAlign w:val="center"/>
            <w:tcMar>
              <w:top w:w="70" w:type="dxa"/>
              <w:bottom w:w="70" w:type="dxa"/>
              <w:left w:w="90" w:type="dxa"/>
              <w:right w:w="90" w:type="dxa"/>
            </w:tcMar>
            <w:shd w:fill="F7F7F7"/>
          </w:tcPr>
          <w:p>
            <w:pPr>
              <w:spacing w:before="20" w:after="20" w:line="276" w:lineRule="auto"/>
              <w:jc w:val="center"/>
            </w:pPr>
            <w:r>
              <w:rPr>
                <w:rFonts w:ascii="Times New Roman" w:hAnsi="Times New Roman" w:eastAsia="宋体"/>
                <w:b w:val="0"/>
                <w:color w:val="000000"/>
                <w:sz w:val="18"/>
              </w:rPr>
              <w:t>性能</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记录硬件 数据量 端点 筛选</w:t>
            </w:r>
          </w:p>
        </w:tc>
        <w:tc>
          <w:tcPr>
            <w:tcW w:type="dxa" w:w="3009"/>
            <w:vAlign w:val="center"/>
            <w:tcMar>
              <w:top w:w="70" w:type="dxa"/>
              <w:bottom w:w="70" w:type="dxa"/>
              <w:left w:w="90" w:type="dxa"/>
              <w:right w:w="90" w:type="dxa"/>
            </w:tcMar>
            <w:shd w:fill="F7F7F7"/>
          </w:tcPr>
          <w:p>
            <w:pPr>
              <w:spacing w:before="20" w:after="20" w:line="276" w:lineRule="auto"/>
            </w:pPr>
            <w:r>
              <w:rPr>
                <w:rFonts w:ascii="Times New Roman" w:hAnsi="Times New Roman" w:eastAsia="宋体"/>
                <w:b w:val="0"/>
                <w:color w:val="000000"/>
                <w:sz w:val="18"/>
              </w:rPr>
              <w:t>P95 ≤ 2 秒、错误率 &lt; 1%；恢复原始测试数据</w:t>
            </w:r>
          </w:p>
        </w:tc>
      </w:tr>
      <w:tr>
        <w:trPr>
          <w:cantSplit/>
        </w:trPr>
        <w:tc>
          <w:tcPr>
            <w:tcW w:type="dxa" w:w="3009"/>
            <w:vAlign w:val="center"/>
            <w:tcMar>
              <w:top w:w="70" w:type="dxa"/>
              <w:bottom w:w="70" w:type="dxa"/>
              <w:left w:w="90" w:type="dxa"/>
              <w:right w:w="90" w:type="dxa"/>
            </w:tcMar>
          </w:tcPr>
          <w:p>
            <w:pPr>
              <w:spacing w:before="20" w:after="20" w:line="276" w:lineRule="auto"/>
              <w:jc w:val="center"/>
            </w:pPr>
            <w:r>
              <w:rPr>
                <w:rFonts w:ascii="Times New Roman" w:hAnsi="Times New Roman" w:eastAsia="宋体"/>
                <w:b w:val="0"/>
                <w:color w:val="000000"/>
                <w:sz w:val="18"/>
              </w:rPr>
              <w:t>交付</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文档与代码一致</w:t>
            </w:r>
          </w:p>
        </w:tc>
        <w:tc>
          <w:tcPr>
            <w:tcW w:type="dxa" w:w="3009"/>
            <w:vAlign w:val="center"/>
            <w:tcMar>
              <w:top w:w="70" w:type="dxa"/>
              <w:bottom w:w="70" w:type="dxa"/>
              <w:left w:w="90" w:type="dxa"/>
              <w:right w:w="90" w:type="dxa"/>
            </w:tcMar>
          </w:tcPr>
          <w:p>
            <w:pPr>
              <w:spacing w:before="20" w:after="20" w:line="276" w:lineRule="auto"/>
            </w:pPr>
            <w:r>
              <w:rPr>
                <w:rFonts w:ascii="Times New Roman" w:hAnsi="Times New Roman" w:eastAsia="宋体"/>
                <w:b w:val="0"/>
                <w:color w:val="000000"/>
                <w:sz w:val="18"/>
              </w:rPr>
              <w:t>所有交付文件打开与排版正常；剩余未测项明确列出</w:t>
            </w:r>
          </w:p>
        </w:tc>
      </w:tr>
    </w:tbl>
    <w:p>
      <w:pPr>
        <w:spacing w:after="0" w:line="324" w:lineRule="auto"/>
        <w:snapToGrid w:val="0"/>
      </w:pPr>
      <w:r>
        <w:rPr>
          <w:rFonts w:ascii="Times New Roman" w:hAnsi="Times New Roman" w:eastAsia="宋体"/>
          <w:color w:val="000000"/>
          <w:sz w:val="4"/>
        </w:rPr>
      </w:r>
    </w:p>
    <w:p>
      <w:pPr>
        <w:pStyle w:val="Heading1"/>
        <w:spacing w:after="140" w:line="324" w:lineRule="auto" w:before="160"/>
        <w:keepNext/>
        <w:snapToGrid w:val="0"/>
      </w:pPr>
      <w:r>
        <w:rPr>
          <w:rFonts w:ascii="Times New Roman" w:hAnsi="Times New Roman" w:eastAsia="黑体"/>
          <w:b/>
          <w:color w:val="000000"/>
          <w:sz w:val="32"/>
        </w:rPr>
        <w:t>4 缺陷处理</w:t>
      </w:r>
    </w:p>
    <w:p>
      <w:pPr>
        <w:spacing w:after="120" w:line="324" w:lineRule="auto"/>
        <w:snapToGrid w:val="0"/>
      </w:pPr>
      <w:r>
        <w:rPr>
          <w:rFonts w:ascii="Times New Roman" w:hAnsi="Times New Roman" w:eastAsia="宋体"/>
          <w:color w:val="000000"/>
          <w:sz w:val="21"/>
        </w:rPr>
        <w:t>缺陷记录包含编号、版本、前置数据、复现步骤、实际与期望、严重性、负责人及回归结果。阻断为无法登录或无法启动；严重为越权、数据串人、重复业务事实；一般为图表口径或操作错误；轻微为不阻断使用的排版问题。</w:t>
      </w:r>
    </w:p>
    <w:p>
      <w:pPr>
        <w:spacing w:after="120" w:line="324" w:lineRule="auto"/>
        <w:snapToGrid w:val="0"/>
      </w:pPr>
      <w:r>
        <w:rPr>
          <w:rFonts w:ascii="Times New Roman" w:hAnsi="Times New Roman" w:eastAsia="宋体"/>
          <w:color w:val="000000"/>
          <w:sz w:val="21"/>
        </w:rPr>
        <w:t>发现数据库污染、写入到非测试库或账号凭据泄漏时立即停止相关测试并保留最小证据。环境不可用属于未执行，不能计入通过率。并发写入正确性还需专门多连接测试，不以单事务测试替代。</w:t>
      </w:r>
    </w:p>
    <w:p>
      <w:pPr>
        <w:pStyle w:val="Heading1"/>
        <w:spacing w:after="140" w:line="324" w:lineRule="auto" w:before="160"/>
        <w:keepNext/>
        <w:snapToGrid w:val="0"/>
      </w:pPr>
      <w:r>
        <w:rPr>
          <w:rFonts w:ascii="Times New Roman" w:hAnsi="Times New Roman" w:eastAsia="黑体"/>
          <w:b/>
          <w:color w:val="000000"/>
          <w:sz w:val="32"/>
        </w:rPr>
        <w:t>5 相对排期</w:t>
      </w:r>
    </w:p>
    <w:p>
      <w:pPr>
        <w:spacing w:after="120" w:line="324" w:lineRule="auto"/>
        <w:snapToGrid w:val="0"/>
      </w:pPr>
      <w:r>
        <w:rPr>
          <w:rFonts w:ascii="Times New Roman" w:hAnsi="Times New Roman" w:eastAsia="宋体"/>
          <w:color w:val="000000"/>
          <w:sz w:val="21"/>
        </w:rPr>
        <w:t>截止日期未提供，不虚构日历。建议团队验收按 T1 环境与自动回归、T2 MySQL 与页面、T3 性能及缺陷修复、T4 部署与答辩顺序安排；任何失败按影响回退相关阶段。测试日志已记录开发过程实际结果，团队可以在此基础上补充人工验证。</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6"/>
      </w:rPr>
      <w:t xml:space="preserve">智慧医养大数据决策分析系统  V1.1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智慧医养大数据决策分析系统 测试计划</dc:title>
  <dc:subject>规定测试范围 资源 顺序 准入准出和缺陷处理</dc:subject>
  <dc:creator>智慧医养项目组</dc:creator>
  <cp:keywords/>
  <dc:description>依据用户提供的三创谷格式模板重排，内容以当前仓库实现和验证证据为准。</dc:description>
  <cp:lastModifiedBy/>
  <cp:revision>1</cp:revision>
  <dcterms:created xsi:type="dcterms:W3CDTF">2013-12-23T23:15:00Z</dcterms:created>
  <dcterms:modified xsi:type="dcterms:W3CDTF">2013-12-23T23:15:00Z</dcterms:modified>
  <cp:category/>
</cp:coreProperties>
</file>