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  <w:spacing w:before="1650" w:after="220"/>
        <w:jc w:val="center"/>
      </w:pPr>
      <w:r>
        <w:rPr>
          <w:color w:val="1F7A5A"/>
        </w:rPr>
        <w:t xml:space="preserve">GUIA PRÀCTICA D’USUARI</w:t>
      </w:r>
    </w:p>
    <w:p>
      <w:pPr>
        <w:pStyle w:val="Title"/>
        <w:spacing w:before="0" w:after="240"/>
        <w:jc w:val="center"/>
      </w:pPr>
      <w:r>
        <w:rPr/>
        <w:t xml:space="preserve">Manteniment de Cuina Central</w:t>
      </w:r>
    </w:p>
    <w:p>
      <w:pPr>
        <w:pStyle w:val="Subtitle"/>
        <w:spacing w:before="0" w:after="760"/>
        <w:jc w:val="center"/>
      </w:pPr>
      <w:r>
        <w:rPr/>
        <w:t xml:space="preserve">Gestió de tiquets, planificació de feines i seguiment</w:t>
      </w:r>
    </w:p>
    <w:tbl>
      <w:tblPr>
        <w:tblW w:w="5000" w:type="pct"/>
        <w:tblBorders>
          <w:left w:val="single" w:sz="18" w:color="1F7A5A"/>
        </w:tblBorders>
        <w:tblCellMar>
          <w:top w:w="130" w:type="dxa"/>
          <w:left w:w="180" w:type="dxa"/>
          <w:bottom w:w="130" w:type="dxa"/>
          <w:right w:w="180" w:type="dxa"/>
        </w:tblCellMar>
      </w:tblPr>
      <w:tr>
        <w:tc>
          <w:tcPr>
            <w:shd w:fill="EEF7F3"/>
          </w:tcPr>
          <w:p>
            <w:pPr>
              <w:spacing w:after="45"/>
            </w:pPr>
            <w:r>
              <w:rPr>
                <w:b/>
                <w:color w:val="1F7A5A"/>
              </w:rPr>
              <w:t>A qui va dirigida</w:t>
            </w:r>
          </w:p>
          <w:p>
            <w:pPr>
              <w:spacing w:after="0"/>
            </w:pPr>
            <w:r>
              <w:t>A la persona responsable de gestionar els tiquets de manteniment de Cuina Central, inicialment Laia Gómez.</w:t>
            </w:r>
          </w:p>
        </w:tc>
      </w:tr>
    </w:tbl>
    <w:p>
      <w:pPr>
        <w:spacing w:after="110"/>
      </w:pPr>
    </w:p>
    <w:p>
      <w:pPr>
        <w:pStyle w:val="Normal"/>
        <w:spacing w:before="520" w:after="80"/>
        <w:jc w:val="center"/>
      </w:pPr>
      <w:r>
        <w:rPr>
          <w:color w:val="64748B"/>
        </w:rPr>
        <w:t xml:space="preserve">Guia del funcionament previst · Versió 1.0 · 7 d’octubre de 2026</w:t>
      </w:r>
    </w:p>
    <w:p>
      <w:pPr>
        <w:pStyle w:val="Heading2"/>
        <w:spacing w:before="0" w:after="0"/>
        <w:jc w:val="center"/>
      </w:pPr>
      <w:r>
        <w:rPr/>
        <w:t xml:space="preserve">Cal Blay</w:t>
      </w:r>
    </w:p>
    <w:p>
      <w:r>
        <w:br w:type="page"/>
      </w:r>
    </w:p>
    <w:p>
      <w:pPr>
        <w:pStyle w:val="Heading1"/>
        <w:spacing w:before="0" w:after="120"/>
        <w:keepNext/>
      </w:pPr>
      <w:r>
        <w:rPr/>
        <w:t xml:space="preserve">1. Per a què serveix aquest espai?</w:t>
      </w:r>
    </w:p>
    <w:p>
      <w:pPr>
        <w:pStyle w:val="Normal"/>
        <w:spacing w:before="0" w:after="120"/>
      </w:pPr>
      <w:r>
        <w:rPr/>
        <w:t xml:space="preserve">L’espai de Manteniment de Cuina Central permet gestionar des d’un únic lloc totes les incidències i feines de manteniment del centre. La persona gestora podrà revisar els tiquets, organitzar les feines, enviar-les a un proveïdor quan sigui necessari i comprovar-ne el resultat abans de tancar-les.</w:t>
      </w:r>
    </w:p>
    <w:tbl>
      <w:tblPr>
        <w:tblW w:w="5000" w:type="pct"/>
        <w:tblBorders>
          <w:left w:val="single" w:sz="18" w:color="1F7A5A"/>
        </w:tblBorders>
        <w:tblCellMar>
          <w:top w:w="130" w:type="dxa"/>
          <w:left w:w="180" w:type="dxa"/>
          <w:bottom w:w="130" w:type="dxa"/>
          <w:right w:w="180" w:type="dxa"/>
        </w:tblCellMar>
      </w:tblPr>
      <w:tr>
        <w:tc>
          <w:tcPr>
            <w:shd w:fill="EEF7F3"/>
          </w:tcPr>
          <w:p>
            <w:pPr>
              <w:spacing w:after="45"/>
            </w:pPr>
            <w:r>
              <w:rPr>
                <w:b/>
                <w:color w:val="1F7A5A"/>
              </w:rPr>
              <w:t>Idea principal</w:t>
            </w:r>
          </w:p>
          <w:p>
            <w:pPr>
              <w:spacing w:after="0"/>
            </w:pPr>
            <w:r>
              <w:t>La persona gestora coordina la feina. Javi o el proveïdor l’executen. Finalment, la persona gestora comprova que tot hagi quedat correctament resolt.</w:t>
            </w:r>
          </w:p>
        </w:tc>
      </w:tr>
    </w:tbl>
    <w:p>
      <w:pPr>
        <w:spacing w:after="110"/>
      </w:pPr>
    </w:p>
    <w:p>
      <w:pPr>
        <w:pStyle w:val="Heading1"/>
        <w:spacing w:before="0" w:after="120"/>
        <w:keepNext/>
      </w:pPr>
      <w:r>
        <w:rPr/>
        <w:t xml:space="preserve">2. Com s’hi accedeix?</w:t>
      </w:r>
    </w:p>
    <w:p>
      <w:pPr>
        <w:pStyle w:val="Normal"/>
        <w:spacing w:before="0" w:after="120"/>
      </w:pPr>
      <w:r>
        <w:rPr/>
        <w:t xml:space="preserve">Dins del menú de Cuina Central hi haurà l’opció «Manteniment». En entrar-hi es trobaran dues àrees principals:</w:t>
      </w:r>
    </w:p>
    <w:tbl>
      <w:tblPr>
        <w:tblW w:w="5000" w:type="pct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tcW w:w="2600" w:type="dxa"/>
            <w:shd w:fill="1F7A5A"/>
          </w:tcPr>
          <w:p>
            <w:pPr>
              <w:spacing w:after="0"/>
            </w:pPr>
            <w:r>
              <w:rPr>
                <w:b/>
                <w:color w:val="FFFFFF"/>
              </w:rPr>
              <w:t>Àrea</w:t>
            </w:r>
          </w:p>
        </w:tc>
        <w:tc>
          <w:tcPr>
            <w:tcW w:w="6800" w:type="dxa"/>
            <w:shd w:fill="1F7A5A"/>
          </w:tcPr>
          <w:p>
            <w:pPr>
              <w:spacing w:after="0"/>
            </w:pPr>
            <w:r>
              <w:rPr>
                <w:b/>
                <w:color w:val="FFFFFF"/>
              </w:rPr>
              <w:t>Per a què serveix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Tiquets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Revisar incidències, completar informació, assignar, enviar a proveïdor, fer seguiment, validar o reobrir.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Planificador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Organitzar les feines de Javi i consultar quan està disponible o ocupat.</w:t>
            </w:r>
          </w:p>
        </w:tc>
      </w:tr>
    </w:tbl>
    <w:p>
      <w:pPr>
        <w:spacing w:after="130"/>
      </w:pPr>
    </w:p>
    <w:p>
      <w:pPr>
        <w:pStyle w:val="Heading1"/>
        <w:spacing w:before="0" w:after="120"/>
        <w:keepNext/>
      </w:pPr>
      <w:r>
        <w:rPr/>
        <w:t xml:space="preserve">3. Quins tiquets hi apareixeran?</w:t>
      </w:r>
    </w:p>
    <w:p>
      <w:pPr>
        <w:pStyle w:val="Normal"/>
        <w:spacing w:before="0" w:after="120"/>
      </w:pPr>
      <w:r>
        <w:rPr/>
        <w:t xml:space="preserve">La persona gestora veurà tots els tiquets de manteniment corresponents a Cuina Central, encara que els hagi creat una altra persona del centre.</w:t>
      </w:r>
    </w:p>
    <w:tbl>
      <w:tblPr>
        <w:tblW w:w="5000" w:type="pct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tcW w:w="2600" w:type="dxa"/>
            <w:shd w:fill="1F7A5A"/>
          </w:tcPr>
          <w:p>
            <w:pPr>
              <w:spacing w:after="0"/>
            </w:pPr>
            <w:r>
              <w:rPr>
                <w:b/>
                <w:color w:val="FFFFFF"/>
              </w:rPr>
              <w:t>Situació</w:t>
            </w:r>
          </w:p>
        </w:tc>
        <w:tc>
          <w:tcPr>
            <w:tcW w:w="6800" w:type="dxa"/>
            <w:shd w:fill="1F7A5A"/>
          </w:tcPr>
          <w:p>
            <w:pPr>
              <w:spacing w:after="0"/>
            </w:pPr>
            <w:r>
              <w:rPr>
                <w:b/>
                <w:color w:val="FFFFFF"/>
              </w:rPr>
              <w:t>Què significa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Nou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Encara s’ha de revisar i decidir com es gestionarà.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Assignat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La feina ja té una persona i una franja prevista.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En curs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La feina s’està executant.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En espera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Falta material, resposta, disponibilitat o actuació d’un proveïdor.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Fet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La feina s’ha acabat, però encara s’ha de comprovar.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Validat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La feina s’ha comprovat i el tiquet està tancat.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Reobert / no fet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La incidència continua o cal una nova actuació.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Externalitzat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La feina s’ha enviat a un proveïdor extern.</w:t>
            </w:r>
          </w:p>
        </w:tc>
      </w:tr>
    </w:tbl>
    <w:p>
      <w:pPr>
        <w:spacing w:after="130"/>
      </w:pPr>
    </w:p>
    <w:p>
      <w:pPr>
        <w:pStyle w:val="Heading1"/>
        <w:spacing w:before="0" w:after="120"/>
        <w:keepNext/>
      </w:pPr>
      <w:r>
        <w:rPr/>
        <w:t xml:space="preserve">4. Circuit habitual d’un tiquet</w:t>
      </w: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Obrir el tiquet</w:t>
            </w:r>
          </w:p>
          <w:p>
            <w:pPr>
              <w:spacing w:after="0"/>
            </w:pPr>
            <w:r>
              <w:t>Llegir la descripció i comprovar la màquina, la ubicació, la prioritat i els adjunts.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Completar la informació</w:t>
            </w:r>
          </w:p>
          <w:p>
            <w:pPr>
              <w:spacing w:after="0"/>
            </w:pPr>
            <w:r>
              <w:t>Corregir les dades o demanar aclariments si falta informació.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Decidir qui farà la feina</w:t>
            </w:r>
          </w:p>
          <w:p>
            <w:pPr>
              <w:spacing w:after="0"/>
            </w:pPr>
            <w:r>
              <w:t>Escollir entre una actuació interna de Javi o un proveïdor especialitzat.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Planificar o enviar</w:t>
            </w:r>
          </w:p>
          <w:p>
            <w:pPr>
              <w:spacing w:after="0"/>
            </w:pPr>
            <w:r>
              <w:t>Reservar una franja per a Javi o preparar l’enviament al proveïdor.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Fer-ne seguiment</w:t>
            </w:r>
          </w:p>
          <w:p>
            <w:pPr>
              <w:spacing w:after="0"/>
            </w:pPr>
            <w:r>
              <w:t>Controlar l’estat i actuar si falta una resposta o cal replanificar.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Comprovar el resultat</w:t>
            </w:r>
          </w:p>
          <w:p>
            <w:pPr>
              <w:spacing w:after="0"/>
            </w:pPr>
            <w:r>
              <w:t>Quan la feina consti com a feta, verificar que la incidència estigui resolta.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7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Validar o reobrir</w:t>
            </w:r>
          </w:p>
          <w:p>
            <w:pPr>
              <w:spacing w:after="0"/>
            </w:pPr>
            <w:r>
              <w:t>Validar si tot és correcte o reobrir explicant el motiu.</w:t>
            </w:r>
          </w:p>
        </w:tc>
      </w:tr>
    </w:tbl>
    <w:p>
      <w:pPr>
        <w:spacing w:after="90"/>
      </w:pPr>
    </w:p>
    <w:p>
      <w:r>
        <w:br w:type="page"/>
      </w:r>
    </w:p>
    <w:p>
      <w:pPr>
        <w:pStyle w:val="Heading1"/>
        <w:spacing w:before="0" w:after="120"/>
        <w:keepNext/>
      </w:pPr>
      <w:r>
        <w:rPr/>
        <w:t xml:space="preserve">5. Revisar un tiquet nou</w:t>
      </w:r>
    </w:p>
    <w:p>
      <w:pPr>
        <w:pStyle w:val="Normal"/>
        <w:spacing w:before="0" w:after="120"/>
      </w:pPr>
      <w:r>
        <w:rPr/>
        <w:t xml:space="preserve">Abans de decidir què fer, cal comprovar: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la ubicació sigui correcta.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la màquina o element estigui ben identificat.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la descripció expliqui clarament el problema.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la prioritat sigui adequada.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les fotografies o vídeos ajudin a entendre la incidència.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Qui ha comunicat la incidència, per demanar aclariments si cal.</w:t>
      </w:r>
    </w:p>
    <w:tbl>
      <w:tblPr>
        <w:tblW w:w="5000" w:type="pct"/>
        <w:tblBorders>
          <w:left w:val="single" w:sz="18" w:color="D97706"/>
        </w:tblBorders>
        <w:tblCellMar>
          <w:top w:w="130" w:type="dxa"/>
          <w:left w:w="180" w:type="dxa"/>
          <w:bottom w:w="130" w:type="dxa"/>
          <w:right w:w="180" w:type="dxa"/>
        </w:tblCellMar>
      </w:tblPr>
      <w:tr>
        <w:tc>
          <w:tcPr>
            <w:shd w:fill="FFF7E8"/>
          </w:tcPr>
          <w:p>
            <w:pPr>
              <w:spacing w:after="45"/>
            </w:pPr>
            <w:r>
              <w:rPr>
                <w:b/>
                <w:color w:val="D97706"/>
              </w:rPr>
              <w:t>Si falta informació</w:t>
            </w:r>
          </w:p>
          <w:p>
            <w:pPr>
              <w:spacing w:after="0"/>
            </w:pPr>
            <w:r>
              <w:t>No cal planificar immediatament. Primer s’ha de completar el tiquet o contactar amb la persona que ha comunicat la incidència.</w:t>
            </w:r>
          </w:p>
        </w:tc>
      </w:tr>
    </w:tbl>
    <w:p>
      <w:pPr>
        <w:spacing w:after="110"/>
      </w:pPr>
    </w:p>
    <w:p>
      <w:pPr>
        <w:pStyle w:val="Heading1"/>
        <w:spacing w:before="0" w:after="120"/>
        <w:keepNext/>
      </w:pPr>
      <w:r>
        <w:rPr/>
        <w:t xml:space="preserve">6. Escollir la prioritat</w:t>
      </w:r>
    </w:p>
    <w:tbl>
      <w:tblPr>
        <w:tblW w:w="5000" w:type="pct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tcW w:w="2200" w:type="dxa"/>
            <w:shd w:fill="1F7A5A"/>
          </w:tcPr>
          <w:p>
            <w:pPr>
              <w:spacing w:after="0"/>
            </w:pPr>
            <w:r>
              <w:rPr>
                <w:b/>
                <w:color w:val="FFFFFF"/>
              </w:rPr>
              <w:t>Prioritat</w:t>
            </w:r>
          </w:p>
        </w:tc>
        <w:tc>
          <w:tcPr>
            <w:tcW w:w="7200" w:type="dxa"/>
            <w:shd w:fill="1F7A5A"/>
          </w:tcPr>
          <w:p>
            <w:pPr>
              <w:spacing w:after="0"/>
            </w:pPr>
            <w:r>
              <w:rPr>
                <w:b/>
                <w:color w:val="FFFFFF"/>
              </w:rPr>
              <w:t>Quan utilitzar-la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Urgent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 xml:space="preserve">Hi ha risc per a persones, aliments, servei o instal·lacions, o l’activitat no pot continuar.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Alta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 xml:space="preserve">L’afectació és important i convé resoldre-la aviat, però hi ha una solució provisional.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Normal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 xml:space="preserve">Incidència habitual que es pot planificar dins de l’activitat ordinària.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Baixa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 xml:space="preserve">Millora, ajust o reparació sense impacte immediat en el servei.</w:t>
            </w:r>
          </w:p>
        </w:tc>
      </w:tr>
    </w:tbl>
    <w:p>
      <w:pPr>
        <w:spacing w:after="130"/>
      </w:pPr>
    </w:p>
    <w:p>
      <w:pPr>
        <w:pStyle w:val="Heading1"/>
        <w:spacing w:before="0" w:after="120"/>
        <w:keepNext/>
      </w:pPr>
      <w:r>
        <w:rPr/>
        <w:t xml:space="preserve">7. Planificar una feina interna amb Javi</w:t>
      </w: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Entrar al planificador</w:t>
            </w:r>
          </w:p>
          <w:p>
            <w:pPr>
              <w:spacing w:after="0"/>
            </w:pPr>
            <w:r>
              <w:t>Buscar una data adequada segons la prioritat.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Consultar la disponibilitat</w:t>
            </w:r>
          </w:p>
          <w:p>
            <w:pPr>
              <w:spacing w:after="0"/>
            </w:pPr>
            <w:r>
              <w:t>Comprovar les franges lliures de Javi. Les hores ocupades no es podran reservar.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Escollir la franja</w:t>
            </w:r>
          </w:p>
          <w:p>
            <w:pPr>
              <w:spacing w:after="0"/>
            </w:pPr>
            <w:r>
              <w:t>Indicar dia, hora d’inici i durada prevista.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Confirmar l’assignació</w:t>
            </w:r>
          </w:p>
          <w:p>
            <w:pPr>
              <w:spacing w:after="0"/>
            </w:pPr>
            <w:r>
              <w:t>Revisar la informació i deixar la feina assignada.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Gestionar els canvis</w:t>
            </w:r>
          </w:p>
          <w:p>
            <w:pPr>
              <w:spacing w:after="0"/>
            </w:pPr>
            <w:r>
              <w:t>Si cal replanificar, comprovar de nou la disponibilitat.</w:t>
            </w:r>
          </w:p>
        </w:tc>
      </w:tr>
    </w:tbl>
    <w:p>
      <w:pPr>
        <w:spacing w:after="90"/>
      </w:pPr>
    </w:p>
    <w:tbl>
      <w:tblPr>
        <w:tblW w:w="5000" w:type="pct"/>
        <w:tblBorders>
          <w:left w:val="single" w:sz="18" w:color="D97706"/>
        </w:tblBorders>
        <w:tblCellMar>
          <w:top w:w="130" w:type="dxa"/>
          <w:left w:w="180" w:type="dxa"/>
          <w:bottom w:w="130" w:type="dxa"/>
          <w:right w:w="180" w:type="dxa"/>
        </w:tblCellMar>
      </w:tblPr>
      <w:tr>
        <w:tc>
          <w:tcPr>
            <w:shd w:fill="FFF7E8"/>
          </w:tcPr>
          <w:p>
            <w:pPr>
              <w:spacing w:after="45"/>
            </w:pPr>
            <w:r>
              <w:rPr>
                <w:b/>
                <w:color w:val="D97706"/>
              </w:rPr>
              <w:t>Disponibilitat de Javi</w:t>
            </w:r>
          </w:p>
          <w:p>
            <w:pPr>
              <w:spacing w:after="0"/>
            </w:pPr>
            <w:r>
              <w:t>Una franja pot estar ocupada per una altra feina o per un manteniment preventiu. En aquest cas s’ha d’escollir un altre horari.</w:t>
            </w:r>
          </w:p>
        </w:tc>
      </w:tr>
    </w:tbl>
    <w:p>
      <w:pPr>
        <w:spacing w:after="110"/>
      </w:pPr>
    </w:p>
    <w:p>
      <w:pPr>
        <w:pStyle w:val="Heading1"/>
        <w:spacing w:before="0" w:after="120"/>
        <w:keepNext/>
      </w:pPr>
      <w:r>
        <w:rPr/>
        <w:t xml:space="preserve">8. Què es veurà al planificador?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Els tiquets de Cuina Central pendents de planificar.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Les feines de Cuina Central ja planificades.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Els manteniments preventius de Cuina Central.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Les franges en què Javi ja està ocupat.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Els treballs enviats a proveïdor que necessitin seguiment.</w:t>
      </w:r>
    </w:p>
    <w:p>
      <w:pPr>
        <w:pStyle w:val="Normal"/>
        <w:spacing w:before="0" w:after="120"/>
      </w:pPr>
      <w:r>
        <w:rPr/>
        <w:t xml:space="preserve">La informació dels preventius i de les altres ocupacions servirà per organitzar les feines i evitar solapaments.</w:t>
      </w:r>
    </w:p>
    <w:p>
      <w:pPr>
        <w:pStyle w:val="Heading1"/>
        <w:spacing w:before="0" w:after="120"/>
        <w:keepNext/>
      </w:pPr>
      <w:r>
        <w:rPr/>
        <w:t xml:space="preserve">9. Enviar una feina a un proveïdor</w:t>
      </w: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Seleccionar «Enviar a proveïdor»</w:t>
            </w:r>
          </w:p>
          <w:p>
            <w:pPr>
              <w:spacing w:after="0"/>
            </w:pPr>
            <w:r>
              <w:t>Obrir l’opció des del tiquet.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Revisar el proveïdor</w:t>
            </w:r>
          </w:p>
          <w:p>
            <w:pPr>
              <w:spacing w:after="0"/>
            </w:pPr>
            <w:r>
              <w:t>Comprovar el nom i el correu proposats per a la màquina o equip.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Preparar el missatge</w:t>
            </w:r>
          </w:p>
          <w:p>
            <w:pPr>
              <w:spacing w:after="0"/>
            </w:pPr>
            <w:r>
              <w:t>Explicar què passa, on és l’equip i quina actuació es demana.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Revisar els adjunts</w:t>
            </w:r>
          </w:p>
          <w:p>
            <w:pPr>
              <w:spacing w:after="0"/>
            </w:pPr>
            <w:r>
              <w:t>Afegir fotografies o documents útils.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Enviar</w:t>
            </w:r>
          </w:p>
          <w:p>
            <w:pPr>
              <w:spacing w:after="0"/>
            </w:pPr>
            <w:r>
              <w:t>El responsable de Manteniment quedarà sempre en còpia.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Fer seguiment</w:t>
            </w:r>
          </w:p>
          <w:p>
            <w:pPr>
              <w:spacing w:after="0"/>
            </w:pPr>
            <w:r>
              <w:t>Comprovar si hi ha resposta, data prevista o informació pendent.</w:t>
            </w:r>
          </w:p>
        </w:tc>
      </w:tr>
    </w:tbl>
    <w:p>
      <w:pPr>
        <w:spacing w:after="90"/>
      </w:pPr>
    </w:p>
    <w:p>
      <w:r>
        <w:br w:type="page"/>
      </w:r>
    </w:p>
    <w:p>
      <w:pPr>
        <w:pStyle w:val="Heading1"/>
        <w:spacing w:before="0" w:after="120"/>
        <w:keepNext/>
      </w:pPr>
      <w:r>
        <w:rPr/>
        <w:t xml:space="preserve">10. Seguiment de les feines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Tiquets urgents o d’alta prioritat encara sense assignar.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Feines planificades per al dia actual.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Feines en espera des de fa massa temps.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Proveïdors pendents de resposta o de confirmar una data.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Feines marcades com a fetes que encara no s’han comprovat.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Tiquets reoberts que necessiten una nova actuació.</w:t>
      </w:r>
    </w:p>
    <w:p>
      <w:pPr>
        <w:pStyle w:val="Heading1"/>
        <w:spacing w:before="0" w:after="120"/>
        <w:keepNext/>
      </w:pPr>
      <w:r>
        <w:rPr/>
        <w:t xml:space="preserve">11. Validar una feina acabada</w:t>
      </w:r>
    </w:p>
    <w:p>
      <w:pPr>
        <w:pStyle w:val="Normal"/>
        <w:spacing w:before="0" w:after="120"/>
      </w:pPr>
      <w:r>
        <w:rPr/>
        <w:t xml:space="preserve">Quan Javi o un proveïdor indiqui que la feina està feta, la persona gestora haurà de comprovar el resultat abans de tancar el tiquet.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la incidència original ja no es produeixi.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la màquina o instal·lació funcioni correctament.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la zona hagi quedat segura, neta i preparada per treballar.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no quedi cap actuació pendent.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 les observacions finals siguin suficients.</w:t>
      </w:r>
    </w:p>
    <w:tbl>
      <w:tblPr>
        <w:tblW w:w="5000" w:type="pct"/>
        <w:tblBorders>
          <w:left w:val="single" w:sz="18" w:color="1F7A5A"/>
        </w:tblBorders>
        <w:tblCellMar>
          <w:top w:w="130" w:type="dxa"/>
          <w:left w:w="180" w:type="dxa"/>
          <w:bottom w:w="130" w:type="dxa"/>
          <w:right w:w="180" w:type="dxa"/>
        </w:tblCellMar>
      </w:tblPr>
      <w:tr>
        <w:tc>
          <w:tcPr>
            <w:shd w:fill="EEF7F3"/>
          </w:tcPr>
          <w:p>
            <w:pPr>
              <w:spacing w:after="45"/>
            </w:pPr>
            <w:r>
              <w:rPr>
                <w:b/>
                <w:color w:val="1F7A5A"/>
              </w:rPr>
              <w:t>Resultat correcte</w:t>
            </w:r>
          </w:p>
          <w:p>
            <w:pPr>
              <w:spacing w:after="0"/>
            </w:pPr>
            <w:r>
              <w:t>Seleccionar «Validar». El tiquet quedarà tancat i se’n conservarà l’historial.</w:t>
            </w:r>
          </w:p>
        </w:tc>
      </w:tr>
    </w:tbl>
    <w:p>
      <w:pPr>
        <w:spacing w:after="110"/>
      </w:pPr>
    </w:p>
    <w:p>
      <w:pPr>
        <w:pStyle w:val="Heading1"/>
        <w:spacing w:before="0" w:after="120"/>
        <w:keepNext/>
      </w:pPr>
      <w:r>
        <w:rPr/>
        <w:t xml:space="preserve">12. Reobrir una feina</w:t>
      </w:r>
    </w:p>
    <w:p>
      <w:pPr>
        <w:pStyle w:val="Normal"/>
        <w:spacing w:before="0" w:after="120"/>
      </w:pPr>
      <w:r>
        <w:rPr/>
        <w:t xml:space="preserve">Si la incidència continua, la reparació és incompleta o el problema apareix de nou, s’ha de reobrir el tiquet.</w:t>
      </w: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Seleccionar «No és correcte» o «Reobrir»</w:t>
            </w:r>
          </w:p>
          <w:p>
            <w:pPr>
              <w:spacing w:after="0"/>
            </w:pPr>
            <w:r>
              <w:t>No validar una feina que encara presenta problemes.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Explicar el motiu</w:t>
            </w:r>
          </w:p>
          <w:p>
            <w:pPr>
              <w:spacing w:after="0"/>
            </w:pPr>
            <w:r>
              <w:t>Indicar què falla, què falta o què s’ha tornat a produir.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Adjuntar proves si cal</w:t>
            </w:r>
          </w:p>
          <w:p>
            <w:pPr>
              <w:spacing w:after="0"/>
            </w:pPr>
            <w:r>
              <w:t>Afegir una fotografia o vídeo actualitzat quan sigui útil.</w:t>
            </w:r>
          </w:p>
        </w:tc>
      </w:tr>
    </w:tbl>
    <w:p>
      <w:pPr>
        <w:spacing w:after="90"/>
      </w:pPr>
    </w:p>
    <w:tbl>
      <w:tblPr>
        <w:tblW w:w="5000" w:type="pct"/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650" w:type="dxa"/>
            <w:shd w:fill="1F7A5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shd w:fill="EEF7F3"/>
          </w:tcPr>
          <w:p>
            <w:pPr>
              <w:spacing w:after="35"/>
            </w:pPr>
            <w:r>
              <w:rPr>
                <w:b/>
                <w:color w:val="155E46"/>
              </w:rPr>
              <w:t>Decidir el següent pas</w:t>
            </w:r>
          </w:p>
          <w:p>
            <w:pPr>
              <w:spacing w:after="0"/>
            </w:pPr>
            <w:r>
              <w:t>Replanificar Javi, contactar de nou amb el proveïdor o demanar suport a Manteniment.</w:t>
            </w:r>
          </w:p>
        </w:tc>
      </w:tr>
    </w:tbl>
    <w:p>
      <w:pPr>
        <w:spacing w:after="90"/>
      </w:pPr>
    </w:p>
    <w:p>
      <w:pPr>
        <w:pStyle w:val="Heading1"/>
        <w:spacing w:before="0" w:after="120"/>
        <w:keepNext/>
      </w:pPr>
      <w:r>
        <w:rPr/>
        <w:t xml:space="preserve">13. Quan cal contactar amb el responsable de Manteniment?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Quan hi hagi una avaria greu o amb risc.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Quan calgui substituir una màquina o fer una inversió important.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Quan el proveïdor proposi una actuació o un cost no previst.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Quan una incidència es repeteixi després de diverses actuacions.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Quan hi hagi dubtes sobre qui ha d’assumir la feina.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Quan no sigui possible trobar una franja per a una feina prioritària.</w:t>
      </w:r>
    </w:p>
    <w:p>
      <w:pPr>
        <w:pStyle w:val="Heading1"/>
        <w:spacing w:before="0" w:after="120"/>
        <w:keepNext/>
      </w:pPr>
      <w:r>
        <w:rPr/>
        <w:t xml:space="preserve">14. Exemples pràctics</w:t>
      </w:r>
    </w:p>
    <w:p>
      <w:pPr>
        <w:pStyle w:val="Heading2"/>
        <w:spacing w:before="0" w:after="120"/>
        <w:keepNext/>
      </w:pPr>
      <w:r>
        <w:rPr/>
        <w:t xml:space="preserve">Feina interna</w:t>
      </w:r>
    </w:p>
    <w:p>
      <w:pPr>
        <w:pStyle w:val="Normal"/>
        <w:spacing w:before="0" w:after="120"/>
      </w:pPr>
      <w:r>
        <w:rPr/>
        <w:t xml:space="preserve">S’informa que un forn no escalfa correctament. Es revisa el tiquet, es busca una franja lliure i s’assigna a Javi. Quan Javi la marca com a feta, es comprova el forn. Si funciona correctament, es valida.</w:t>
      </w:r>
    </w:p>
    <w:p>
      <w:pPr>
        <w:pStyle w:val="Heading2"/>
        <w:spacing w:before="0" w:after="120"/>
        <w:keepNext/>
      </w:pPr>
      <w:r>
        <w:rPr/>
        <w:t xml:space="preserve">Javi està ocupat</w:t>
      </w:r>
    </w:p>
    <w:p>
      <w:pPr>
        <w:pStyle w:val="Normal"/>
        <w:spacing w:before="0" w:after="120"/>
      </w:pPr>
      <w:r>
        <w:rPr/>
        <w:t xml:space="preserve">Es vol planificar una reparació a les 10.00, però la franja apareix ocupada. S’escull una altra hora disponible i es confirma la planificació.</w:t>
      </w:r>
    </w:p>
    <w:p>
      <w:pPr>
        <w:pStyle w:val="Heading2"/>
        <w:spacing w:before="0" w:after="120"/>
        <w:keepNext/>
      </w:pPr>
      <w:r>
        <w:rPr/>
        <w:t xml:space="preserve">Proveïdor extern</w:t>
      </w:r>
    </w:p>
    <w:p>
      <w:pPr>
        <w:pStyle w:val="Normal"/>
        <w:spacing w:before="0" w:after="120"/>
      </w:pPr>
      <w:r>
        <w:rPr/>
        <w:t xml:space="preserve">Una cambra frigorífica necessita una intervenció especialitzada. Es revisa el proveïdor, s’envia el correu amb fotografies i Manteniment queda en còpia. Quan s’acaba, es comprova la cambra i es valida la feina.</w:t>
      </w:r>
    </w:p>
    <w:p>
      <w:pPr>
        <w:pStyle w:val="Heading2"/>
        <w:spacing w:before="0" w:after="120"/>
        <w:keepNext/>
      </w:pPr>
      <w:r>
        <w:rPr/>
        <w:t xml:space="preserve">Reparació incorrecta</w:t>
      </w:r>
    </w:p>
    <w:p>
      <w:pPr>
        <w:pStyle w:val="Normal"/>
        <w:spacing w:before="0" w:after="120"/>
      </w:pPr>
      <w:r>
        <w:rPr/>
        <w:t xml:space="preserve">Una feina figura com a feta, però la incidència continua. Es reobre el tiquet, s’explica el problema i s’afegeix una fotografia actual. Després es decideix si cal replanificar Javi o tornar a contactar amb el proveïdor.</w:t>
      </w:r>
    </w:p>
    <w:p>
      <w:r>
        <w:br w:type="page"/>
      </w:r>
    </w:p>
    <w:p>
      <w:pPr>
        <w:pStyle w:val="Heading1"/>
        <w:spacing w:before="0" w:after="120"/>
        <w:keepNext/>
      </w:pPr>
      <w:r>
        <w:rPr/>
        <w:t xml:space="preserve">15. Revisió diària recomanada</w:t>
      </w:r>
    </w:p>
    <w:tbl>
      <w:tblPr>
        <w:tblW w:w="5000" w:type="pct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tcW w:w="2600" w:type="dxa"/>
            <w:shd w:fill="1F7A5A"/>
          </w:tcPr>
          <w:p>
            <w:pPr>
              <w:spacing w:after="0"/>
            </w:pPr>
            <w:r>
              <w:rPr>
                <w:b/>
                <w:color w:val="FFFFFF"/>
              </w:rPr>
              <w:t>Moment</w:t>
            </w:r>
          </w:p>
        </w:tc>
        <w:tc>
          <w:tcPr>
            <w:tcW w:w="6800" w:type="dxa"/>
            <w:shd w:fill="1F7A5A"/>
          </w:tcPr>
          <w:p>
            <w:pPr>
              <w:spacing w:after="0"/>
            </w:pPr>
            <w:r>
              <w:rPr>
                <w:b/>
                <w:color w:val="FFFFFF"/>
              </w:rPr>
              <w:t>Acció recomanada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A primera hora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Revisar tiquets nous, urgents i feines previstes per al dia.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Durant el dia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Atendre canvis, consultes de Javi i respostes de proveïdors.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Després d’una actuació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Comprovar les feines marcades com a fetes.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Abans d’acabar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Revisar pendents, feines en espera i planificació del dia següent.</w:t>
            </w:r>
          </w:p>
        </w:tc>
      </w:tr>
    </w:tbl>
    <w:p>
      <w:pPr>
        <w:spacing w:after="130"/>
      </w:pPr>
    </w:p>
    <w:p>
      <w:pPr>
        <w:pStyle w:val="Heading1"/>
        <w:spacing w:before="0" w:after="120"/>
        <w:keepNext/>
      </w:pPr>
      <w:r>
        <w:rPr/>
        <w:t xml:space="preserve">16. Bones pràctiques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Descriure sempre el problema de manera concreta.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Utilitzar una prioritat realista.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Adjuntar imatges quan ajudin a entendre o comprovar la incidència.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reservar una franja sense revisar la disponibilitat.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Deixar constància dels canvis i del motiu d’una reobertura.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validar fins que la solució s’hagi comprovat al lloc.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Contactar amb Manteniment davant de riscos, costos importants o incidències repetitives.</w:t>
      </w:r>
    </w:p>
    <w:p>
      <w:pPr>
        <w:pStyle w:val="Heading1"/>
        <w:spacing w:before="0" w:after="120"/>
        <w:keepNext/>
      </w:pPr>
      <w:r>
        <w:rPr/>
        <w:t xml:space="preserve">17. Resum ràpid</w:t>
      </w:r>
    </w:p>
    <w:tbl>
      <w:tblPr>
        <w:tblW w:w="5000" w:type="pct"/>
        <w:tblBorders>
          <w:left w:val="single" w:sz="18" w:color="1F7A5A"/>
        </w:tblBorders>
        <w:tblCellMar>
          <w:top w:w="130" w:type="dxa"/>
          <w:left w:w="180" w:type="dxa"/>
          <w:bottom w:w="130" w:type="dxa"/>
          <w:right w:w="180" w:type="dxa"/>
        </w:tblCellMar>
      </w:tblPr>
      <w:tr>
        <w:tc>
          <w:tcPr>
            <w:shd w:fill="EEF7F3"/>
          </w:tcPr>
          <w:p>
            <w:pPr>
              <w:spacing w:after="45"/>
            </w:pPr>
            <w:r>
              <w:rPr>
                <w:b/>
                <w:color w:val="1F7A5A"/>
              </w:rPr>
              <w:t>El circuit en una frase</w:t>
            </w:r>
          </w:p>
          <w:p>
            <w:pPr>
              <w:spacing w:after="0"/>
            </w:pPr>
            <w:r>
              <w:t>Revisar el tiquet → decidir qui fa la feina → planificar o enviar → fer seguiment → comprovar → validar o reobrir.</w:t>
            </w:r>
          </w:p>
        </w:tc>
      </w:tr>
    </w:tbl>
    <w:p>
      <w:pPr>
        <w:spacing w:after="110"/>
      </w:pPr>
    </w:p>
    <w:p>
      <w:pPr>
        <w:pStyle w:val="Normal"/>
        <w:spacing w:before="0" w:after="120"/>
      </w:pPr>
      <w:r>
        <w:rPr/>
        <w:t xml:space="preserve">La persona gestora de Cuina Central és el punt de coordinació dels seus tiquets. La seva responsabilitat és assegurar que cada incidència tingui una resposta i que només es tanqui quan el resultat sigui correcte.</w:t>
      </w:r>
    </w:p>
    <w:sectPr>
      <w:headerReference w:type="default" r:id="rId3"/>
      <w:footerReference w:type="default" r:id="rId4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4748B"/>
        <w:sz w:val="17"/>
      </w:rPr>
      <w:t>Cal Blay · Guia d’usuari · Pàgina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5" w:color="B7D8CB"/>
      </w:pBdr>
    </w:pPr>
    <w:r>
      <w:rPr>
        <w:color w:val="64748B"/>
        <w:sz w:val="17"/>
      </w:rPr>
      <w:t>Guia pràctica · Manteniment de Cuina Central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lang w:val="ca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rFonts w:ascii="Aptos Display" w:hAnsi="Aptos Display"/>
      <w:b/>
      <w:color w:val="173F35"/>
      <w:sz w:val="42"/>
    </w:rPr>
  </w:style>
  <w:style w:type="paragraph" w:styleId="Subtitle">
    <w:name w:val="Subtitle"/>
    <w:basedOn w:val="Normal"/>
    <w:qFormat/>
    <w:rPr>
      <w:color w:val="475569"/>
      <w:sz w:val="24"/>
    </w:rPr>
  </w:style>
  <w:style w:type="paragraph" w:styleId="Heading1">
    <w:name w:val="heading 1"/>
    <w:basedOn w:val="Normal"/>
    <w:qFormat/>
    <w:pPr>
      <w:keepNext/>
      <w:spacing w:before="280" w:after="120"/>
      <w:outlineLvl w:val="0"/>
    </w:pPr>
    <w:rPr>
      <w:b/>
      <w:color w:val="155E46"/>
      <w:sz w:val="30"/>
    </w:rPr>
  </w:style>
  <w:style w:type="paragraph" w:styleId="Heading2">
    <w:name w:val="heading 2"/>
    <w:basedOn w:val="Normal"/>
    <w:qFormat/>
    <w:pPr>
      <w:keepNext/>
      <w:spacing w:before="180" w:after="70"/>
      <w:outlineLvl w:val="1"/>
    </w:pPr>
    <w:rPr>
      <w:b/>
      <w:color w:val="1F7A5A"/>
      <w:sz w:val="24"/>
    </w:r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  <Company>Cal Blay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pràctica d’usuari · Manteniment de Cuina Central</dc:title>
  <dc:creator>Cal Blay</dc:creator>
  <dcterms:created xsi:type="dcterms:W3CDTF">2026-10-07T00:00:00Z</dcterms:created>
</cp:coreProperties>
</file>