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82375" w14:textId="3A00432F" w:rsidR="00A667DF" w:rsidRPr="00B83B5E" w:rsidRDefault="00A667DF" w:rsidP="00407B43">
      <w:pPr>
        <w:jc w:val="both"/>
        <w:rPr>
          <w:rFonts w:asciiTheme="majorHAnsi" w:hAnsiTheme="majorHAnsi" w:cstheme="majorHAnsi"/>
          <w:b/>
          <w:bCs/>
          <w:i/>
          <w:iCs/>
          <w:lang w:val="es-ES"/>
        </w:rPr>
      </w:pPr>
      <w:r w:rsidRPr="00B83B5E">
        <w:rPr>
          <w:rFonts w:asciiTheme="majorHAnsi" w:hAnsiTheme="majorHAnsi" w:cstheme="majorHAnsi"/>
          <w:b/>
          <w:bCs/>
          <w:i/>
          <w:iCs/>
          <w:lang w:val="es-ES"/>
        </w:rPr>
        <w:t xml:space="preserve">1.- </w:t>
      </w:r>
      <w:r w:rsidRPr="00B83B5E">
        <w:rPr>
          <w:rFonts w:asciiTheme="majorHAnsi" w:hAnsiTheme="majorHAnsi" w:cstheme="majorHAnsi"/>
          <w:b/>
          <w:bCs/>
          <w:i/>
          <w:iCs/>
          <w:lang w:val="es-ES"/>
        </w:rPr>
        <w:t>¿Cómo afectan a los grupos consolidados las políticas contables que se utilicen en las empresas a nivel individual?</w:t>
      </w:r>
    </w:p>
    <w:p w14:paraId="28729ACF" w14:textId="77777777" w:rsidR="00A667DF" w:rsidRPr="00B83B5E" w:rsidRDefault="00A667DF" w:rsidP="00407B43">
      <w:pPr>
        <w:jc w:val="both"/>
        <w:rPr>
          <w:lang w:val="es-ES"/>
        </w:rPr>
      </w:pPr>
      <w:r w:rsidRPr="00B83B5E">
        <w:rPr>
          <w:lang w:val="es-ES"/>
        </w:rPr>
        <w:t>Las políticas contables que se utilizan en las empresas a nivel individual pueden afectar a los grupos consolidados de varias maneras. Por ejemplo, si una empresa matriz utiliza el método de contabilidad de caja para reconocer los ingresos, mientras que una subsidiaria utiliza el método de contabilidad de acumulación, esto puede dar lugar a diferencias en el momento en que se reconocen los ingresos en los estados financieros consolidados.</w:t>
      </w:r>
    </w:p>
    <w:p w14:paraId="3E135D58" w14:textId="77777777" w:rsidR="00A667DF" w:rsidRPr="00B83B5E" w:rsidRDefault="00A667DF" w:rsidP="00407B43">
      <w:pPr>
        <w:jc w:val="both"/>
        <w:rPr>
          <w:lang w:val="es-ES"/>
        </w:rPr>
      </w:pPr>
      <w:r w:rsidRPr="00B83B5E">
        <w:rPr>
          <w:lang w:val="es-ES"/>
        </w:rPr>
        <w:t>Otra forma en que las políticas contables pueden afectar a los grupos consolidados es a través de la contabilización de las transacciones entre empresas. Por ejemplo, si una empresa matriz vende bienes a una subsidiaria, la empresa matriz puede reconocer los ingresos de la venta en el momento de la venta, mientras que la subsidiaria puede reconocer el costo de los bienes vendidos en el momento en que se reciben los bienes. Esto puede dar lugar a diferencias en el momento en que se reconocen los ingresos y los gastos en los estados financieros consolidados.</w:t>
      </w:r>
    </w:p>
    <w:p w14:paraId="08B86EF2" w14:textId="120319B8" w:rsidR="00A667DF" w:rsidRDefault="00A667DF" w:rsidP="00407B43">
      <w:pPr>
        <w:jc w:val="both"/>
        <w:rPr>
          <w:lang w:val="es-ES"/>
        </w:rPr>
      </w:pPr>
      <w:r w:rsidRPr="00B83B5E">
        <w:rPr>
          <w:lang w:val="es-ES"/>
        </w:rPr>
        <w:t>En general, las políticas contables que se utilizan en las empresas a nivel individual pueden tener un impacto significativo en los grupos consolidados. Es importante ser consciente de estas posibles diferencias para poder interpretar correctamente los estados financieros consolidados.</w:t>
      </w:r>
    </w:p>
    <w:p w14:paraId="7EE5FEAA" w14:textId="05CC3A41" w:rsidR="00E42250" w:rsidRPr="00B83B5E" w:rsidRDefault="00E42250" w:rsidP="00407B43">
      <w:pPr>
        <w:jc w:val="both"/>
        <w:rPr>
          <w:lang w:val="es-ES"/>
        </w:rPr>
      </w:pPr>
      <w:r w:rsidRPr="00E42250">
        <w:rPr>
          <w:lang w:val="es-ES"/>
        </w:rPr>
        <w:t>De esta forma para elaborar estos estados financieros</w:t>
      </w:r>
      <w:r>
        <w:rPr>
          <w:lang w:val="es-ES"/>
        </w:rPr>
        <w:t xml:space="preserve"> </w:t>
      </w:r>
      <w:r w:rsidRPr="00E42250">
        <w:rPr>
          <w:lang w:val="es-ES"/>
        </w:rPr>
        <w:t>consolidados, todas las entidades que conformen un grupo</w:t>
      </w:r>
      <w:r>
        <w:rPr>
          <w:lang w:val="es-ES"/>
        </w:rPr>
        <w:t xml:space="preserve"> </w:t>
      </w:r>
      <w:r w:rsidRPr="00E42250">
        <w:rPr>
          <w:lang w:val="es-ES"/>
        </w:rPr>
        <w:t>consolidado deberán aplicar las mismas políticas contables y</w:t>
      </w:r>
      <w:r>
        <w:rPr>
          <w:lang w:val="es-ES"/>
        </w:rPr>
        <w:t xml:space="preserve"> </w:t>
      </w:r>
      <w:r w:rsidRPr="00E42250">
        <w:rPr>
          <w:lang w:val="es-ES"/>
        </w:rPr>
        <w:t>deberán eliminarse todas las transacciones realizadas entre</w:t>
      </w:r>
      <w:r>
        <w:rPr>
          <w:lang w:val="es-ES"/>
        </w:rPr>
        <w:t xml:space="preserve"> </w:t>
      </w:r>
      <w:r w:rsidRPr="00E42250">
        <w:rPr>
          <w:lang w:val="es-ES"/>
        </w:rPr>
        <w:t>las empresas</w:t>
      </w:r>
      <w:r w:rsidR="003979B3">
        <w:rPr>
          <w:lang w:val="es-ES"/>
        </w:rPr>
        <w:t>.</w:t>
      </w:r>
      <w:r w:rsidRPr="00E42250">
        <w:rPr>
          <w:lang w:val="es-ES"/>
        </w:rPr>
        <w:t xml:space="preserve"> </w:t>
      </w:r>
    </w:p>
    <w:p w14:paraId="3F1D74BA" w14:textId="77777777" w:rsidR="002D5047" w:rsidRPr="00B83B5E" w:rsidRDefault="002D5047" w:rsidP="00407B43">
      <w:pPr>
        <w:jc w:val="both"/>
        <w:rPr>
          <w:lang w:val="es-ES"/>
        </w:rPr>
      </w:pPr>
    </w:p>
    <w:p w14:paraId="5AD77133" w14:textId="262575D6" w:rsidR="002D5047" w:rsidRDefault="007768CC" w:rsidP="00407B43">
      <w:pPr>
        <w:jc w:val="both"/>
        <w:rPr>
          <w:rFonts w:asciiTheme="majorHAnsi" w:hAnsiTheme="majorHAnsi" w:cstheme="majorHAnsi"/>
          <w:b/>
          <w:bCs/>
          <w:i/>
          <w:iCs/>
          <w:lang w:val="es-ES"/>
        </w:rPr>
      </w:pPr>
      <w:r w:rsidRPr="00B83B5E">
        <w:rPr>
          <w:rFonts w:asciiTheme="majorHAnsi" w:hAnsiTheme="majorHAnsi" w:cstheme="majorHAnsi"/>
          <w:b/>
          <w:bCs/>
          <w:i/>
          <w:iCs/>
          <w:lang w:val="es-ES"/>
        </w:rPr>
        <w:t>2.-</w:t>
      </w:r>
      <w:r w:rsidRPr="00B83B5E">
        <w:rPr>
          <w:rFonts w:asciiTheme="majorHAnsi" w:hAnsiTheme="majorHAnsi" w:cstheme="majorHAnsi"/>
          <w:b/>
          <w:bCs/>
          <w:i/>
          <w:iCs/>
          <w:lang w:val="es-ES"/>
        </w:rPr>
        <w:t>En qué momento y por qué importe se registran las inversiones inmobiliarias en los estados financieros de las compañías?</w:t>
      </w:r>
    </w:p>
    <w:p w14:paraId="5A754BEA" w14:textId="22A42CD5" w:rsidR="003979B3" w:rsidRDefault="003979B3" w:rsidP="00407B43">
      <w:pPr>
        <w:jc w:val="both"/>
        <w:rPr>
          <w:rFonts w:asciiTheme="majorHAnsi" w:hAnsiTheme="majorHAnsi" w:cstheme="majorHAnsi"/>
          <w:lang w:val="es-ES"/>
        </w:rPr>
      </w:pPr>
      <w:r>
        <w:rPr>
          <w:rFonts w:asciiTheme="majorHAnsi" w:hAnsiTheme="majorHAnsi" w:cstheme="majorHAnsi"/>
          <w:lang w:val="es-ES"/>
        </w:rPr>
        <w:t xml:space="preserve">Primero de todo debemos </w:t>
      </w:r>
      <w:r w:rsidR="008442EA">
        <w:rPr>
          <w:rFonts w:asciiTheme="majorHAnsi" w:hAnsiTheme="majorHAnsi" w:cstheme="majorHAnsi"/>
          <w:lang w:val="es-ES"/>
        </w:rPr>
        <w:t>clasificar estas inversiones inmobiliarias, ya que pueden ser dos tipos:</w:t>
      </w:r>
    </w:p>
    <w:p w14:paraId="331E1424" w14:textId="7189CE68" w:rsidR="008442EA" w:rsidRPr="008442EA" w:rsidRDefault="008442EA" w:rsidP="008442EA">
      <w:pPr>
        <w:pStyle w:val="Pargrafdellista"/>
        <w:numPr>
          <w:ilvl w:val="0"/>
          <w:numId w:val="2"/>
        </w:numPr>
        <w:jc w:val="both"/>
        <w:rPr>
          <w:lang w:val="es-ES"/>
        </w:rPr>
      </w:pPr>
      <w:r w:rsidRPr="008442EA">
        <w:rPr>
          <w:lang w:val="es-ES"/>
        </w:rPr>
        <w:t xml:space="preserve">Inversiones inmobiliarias mantenidas para su venta: Estas son inversiones inmobiliarias que se tienen con la intención de venderlas </w:t>
      </w:r>
      <w:r>
        <w:rPr>
          <w:lang w:val="es-ES"/>
        </w:rPr>
        <w:t>a corto plazo</w:t>
      </w:r>
      <w:r w:rsidRPr="008442EA">
        <w:rPr>
          <w:lang w:val="es-ES"/>
        </w:rPr>
        <w:t>, normalmente en un plazo de un año. Se registran al valor razonable menos los costes de venta.</w:t>
      </w:r>
    </w:p>
    <w:p w14:paraId="23F7756F" w14:textId="1A370249" w:rsidR="008442EA" w:rsidRPr="008442EA" w:rsidRDefault="008442EA" w:rsidP="008442EA">
      <w:pPr>
        <w:pStyle w:val="Pargrafdellista"/>
        <w:numPr>
          <w:ilvl w:val="0"/>
          <w:numId w:val="2"/>
        </w:numPr>
        <w:jc w:val="both"/>
        <w:rPr>
          <w:lang w:val="es-ES"/>
        </w:rPr>
      </w:pPr>
      <w:r w:rsidRPr="008442EA">
        <w:rPr>
          <w:lang w:val="es-ES"/>
        </w:rPr>
        <w:t>Inversiones inmobiliarias mantenidas para su alquiler: Estas se tienen con la intención de alquilarlas a terceros. Se registran al coste menos la depreciación acumulada y las pérdidas por deterioro acumuladas.</w:t>
      </w:r>
    </w:p>
    <w:p w14:paraId="2C45AD4A" w14:textId="7302ABA4" w:rsidR="002D5047" w:rsidRPr="00B83B5E" w:rsidRDefault="002D5047" w:rsidP="00407B43">
      <w:pPr>
        <w:jc w:val="both"/>
        <w:rPr>
          <w:lang w:val="es-ES"/>
        </w:rPr>
      </w:pPr>
      <w:r w:rsidRPr="00B83B5E">
        <w:rPr>
          <w:lang w:val="es-ES"/>
        </w:rPr>
        <w:t>Las inversiones inmobiliarias se registran en los estados financieros de las compañías en el momento de su adquisición, por su coste de adquisición</w:t>
      </w:r>
      <w:r w:rsidR="002659D8">
        <w:rPr>
          <w:lang w:val="es-ES"/>
        </w:rPr>
        <w:t xml:space="preserve"> y cualquier </w:t>
      </w:r>
      <w:r w:rsidR="004F0E87">
        <w:rPr>
          <w:lang w:val="es-ES"/>
        </w:rPr>
        <w:t>desembolso directamente atribuible</w:t>
      </w:r>
      <w:r w:rsidRPr="00B83B5E">
        <w:rPr>
          <w:lang w:val="es-ES"/>
        </w:rPr>
        <w:t xml:space="preserve">. </w:t>
      </w:r>
    </w:p>
    <w:p w14:paraId="2D0CEFA3" w14:textId="5CCF8576" w:rsidR="00845CF1" w:rsidRPr="00B83B5E" w:rsidRDefault="00845CF1" w:rsidP="00407B43">
      <w:pPr>
        <w:jc w:val="both"/>
        <w:rPr>
          <w:lang w:val="es-ES"/>
        </w:rPr>
      </w:pPr>
      <w:r w:rsidRPr="00B83B5E">
        <w:rPr>
          <w:lang w:val="es-ES"/>
        </w:rPr>
        <w:t>Las inversiones inmobiliarias pueden generar ingresos por alquileres y plusvalías por su venta. Los ingresos por alquileres se registran en la cuenta de resultados como ingresos de explotación. Las plusvalías por su venta se registran en la cuenta de resultados como ingresos financieros.</w:t>
      </w:r>
    </w:p>
    <w:p w14:paraId="47BE666B" w14:textId="77777777" w:rsidR="00CA76C8" w:rsidRPr="00B83B5E" w:rsidRDefault="00CA76C8" w:rsidP="00407B43">
      <w:pPr>
        <w:jc w:val="both"/>
        <w:rPr>
          <w:lang w:val="es-ES"/>
        </w:rPr>
      </w:pPr>
    </w:p>
    <w:p w14:paraId="410F047C" w14:textId="1CD0DD27" w:rsidR="00CA76C8" w:rsidRPr="00B83B5E" w:rsidRDefault="00CA76C8" w:rsidP="00407B43">
      <w:pPr>
        <w:jc w:val="both"/>
        <w:rPr>
          <w:rFonts w:asciiTheme="majorHAnsi" w:hAnsiTheme="majorHAnsi" w:cstheme="majorHAnsi"/>
          <w:b/>
          <w:bCs/>
          <w:i/>
          <w:iCs/>
          <w:lang w:val="es-ES"/>
        </w:rPr>
      </w:pPr>
      <w:r w:rsidRPr="00B83B5E">
        <w:rPr>
          <w:rFonts w:asciiTheme="majorHAnsi" w:hAnsiTheme="majorHAnsi" w:cstheme="majorHAnsi"/>
          <w:b/>
          <w:bCs/>
          <w:i/>
          <w:iCs/>
          <w:lang w:val="es-ES"/>
        </w:rPr>
        <w:t xml:space="preserve">3.- </w:t>
      </w:r>
      <w:r w:rsidRPr="00B83B5E">
        <w:rPr>
          <w:rFonts w:asciiTheme="majorHAnsi" w:hAnsiTheme="majorHAnsi" w:cstheme="majorHAnsi"/>
          <w:b/>
          <w:bCs/>
          <w:i/>
          <w:iCs/>
          <w:lang w:val="es-ES"/>
        </w:rPr>
        <w:t>¿Qué tipos de integración pueden acontecer según la tipología de empresas que integren el perímetro de consolidación?</w:t>
      </w:r>
    </w:p>
    <w:p w14:paraId="66F048DE" w14:textId="77777777" w:rsidR="00D05812" w:rsidRDefault="00D05812" w:rsidP="00407B43">
      <w:pPr>
        <w:jc w:val="both"/>
        <w:rPr>
          <w:rFonts w:cstheme="minorHAnsi"/>
          <w:lang w:val="es-ES"/>
        </w:rPr>
      </w:pPr>
      <w:r w:rsidRPr="00B83B5E">
        <w:rPr>
          <w:rFonts w:cstheme="minorHAnsi"/>
          <w:lang w:val="es-ES"/>
        </w:rPr>
        <w:t>Existen tres tipos principales de integración según la tipología de empresas que integren el perímetro de consolidación:</w:t>
      </w:r>
    </w:p>
    <w:p w14:paraId="312F53A9" w14:textId="55A848B0" w:rsidR="000749FE" w:rsidRDefault="00C26850" w:rsidP="009D1F35">
      <w:pPr>
        <w:pStyle w:val="Pargrafdellista"/>
        <w:ind w:left="0"/>
        <w:jc w:val="both"/>
        <w:rPr>
          <w:rFonts w:cstheme="minorHAnsi"/>
          <w:lang w:val="es-ES"/>
        </w:rPr>
      </w:pPr>
      <w:r>
        <w:rPr>
          <w:rFonts w:cstheme="minorHAnsi"/>
          <w:lang w:val="es-ES"/>
        </w:rPr>
        <w:lastRenderedPageBreak/>
        <w:t>Empresa grupo</w:t>
      </w:r>
      <w:r w:rsidR="004319AA">
        <w:rPr>
          <w:rFonts w:cstheme="minorHAnsi"/>
          <w:lang w:val="es-ES"/>
        </w:rPr>
        <w:t xml:space="preserve">: Aquellas que la matriz ejerce el </w:t>
      </w:r>
      <w:r w:rsidR="000749FE">
        <w:rPr>
          <w:rFonts w:cstheme="minorHAnsi"/>
          <w:lang w:val="es-ES"/>
        </w:rPr>
        <w:t xml:space="preserve">control, utilizaremos </w:t>
      </w:r>
      <w:r w:rsidR="000749FE" w:rsidRPr="0035798C">
        <w:rPr>
          <w:rFonts w:cstheme="minorHAnsi"/>
          <w:u w:val="single"/>
          <w:lang w:val="es-ES"/>
        </w:rPr>
        <w:t>la Integración Global</w:t>
      </w:r>
      <w:r w:rsidR="000749FE">
        <w:rPr>
          <w:rFonts w:cstheme="minorHAnsi"/>
          <w:lang w:val="es-ES"/>
        </w:rPr>
        <w:t xml:space="preserve"> </w:t>
      </w:r>
      <w:r w:rsidR="000749FE">
        <w:rPr>
          <w:rFonts w:cstheme="minorHAnsi"/>
          <w:lang w:val="es-ES"/>
        </w:rPr>
        <w:t xml:space="preserve">consiste en incorporar todas sus partidas del balance, de la cuenta de </w:t>
      </w:r>
      <w:r w:rsidR="004972DC">
        <w:rPr>
          <w:rFonts w:cstheme="minorHAnsi"/>
          <w:lang w:val="es-ES"/>
        </w:rPr>
        <w:t>pérdidas</w:t>
      </w:r>
      <w:r w:rsidR="000749FE">
        <w:rPr>
          <w:rFonts w:cstheme="minorHAnsi"/>
          <w:lang w:val="es-ES"/>
        </w:rPr>
        <w:t xml:space="preserve"> y ganancias, del estado de cambios en el patrimonio y del estado de flujos de efectivo en los estados financieros consolidados. Sino son controladas al 100% aparecerá una parte del resultado y del patrimonio y se deberá detallar</w:t>
      </w:r>
      <w:r w:rsidR="009D1F35">
        <w:rPr>
          <w:rFonts w:cstheme="minorHAnsi"/>
          <w:lang w:val="es-ES"/>
        </w:rPr>
        <w:t xml:space="preserve"> el %.</w:t>
      </w:r>
    </w:p>
    <w:p w14:paraId="0BFF4E0A" w14:textId="5E414E6F" w:rsidR="00C26850" w:rsidRDefault="00C26850" w:rsidP="00407B43">
      <w:pPr>
        <w:jc w:val="both"/>
        <w:rPr>
          <w:rFonts w:cstheme="minorHAnsi"/>
          <w:lang w:val="es-ES"/>
        </w:rPr>
      </w:pPr>
      <w:r>
        <w:rPr>
          <w:rFonts w:cstheme="minorHAnsi"/>
          <w:lang w:val="es-ES"/>
        </w:rPr>
        <w:t xml:space="preserve">Empresa </w:t>
      </w:r>
      <w:r w:rsidR="009D1F35">
        <w:rPr>
          <w:rFonts w:cstheme="minorHAnsi"/>
          <w:lang w:val="es-ES"/>
        </w:rPr>
        <w:t>Multigrupo: tienen</w:t>
      </w:r>
      <w:r w:rsidR="004319AA">
        <w:rPr>
          <w:rFonts w:cstheme="minorHAnsi"/>
          <w:lang w:val="es-ES"/>
        </w:rPr>
        <w:t xml:space="preserve"> un porcentaje entre </w:t>
      </w:r>
      <w:r w:rsidR="00E31DCB">
        <w:rPr>
          <w:rFonts w:cstheme="minorHAnsi"/>
          <w:lang w:val="es-ES"/>
        </w:rPr>
        <w:t>25 y 51%</w:t>
      </w:r>
      <w:r w:rsidR="009D1F35">
        <w:rPr>
          <w:rFonts w:cstheme="minorHAnsi"/>
          <w:lang w:val="es-ES"/>
        </w:rPr>
        <w:t xml:space="preserve"> </w:t>
      </w:r>
      <w:r w:rsidR="00A53C24">
        <w:rPr>
          <w:rFonts w:cstheme="minorHAnsi"/>
          <w:lang w:val="es-ES"/>
        </w:rPr>
        <w:t xml:space="preserve">se utiliza la </w:t>
      </w:r>
      <w:r w:rsidR="00A53C24" w:rsidRPr="0035798C">
        <w:rPr>
          <w:rFonts w:cstheme="minorHAnsi"/>
          <w:u w:val="single"/>
          <w:lang w:val="es-ES"/>
        </w:rPr>
        <w:t xml:space="preserve">Integración </w:t>
      </w:r>
      <w:r w:rsidR="00A53C24" w:rsidRPr="0035798C">
        <w:rPr>
          <w:rFonts w:cstheme="minorHAnsi"/>
          <w:u w:val="single"/>
          <w:lang w:val="es-ES"/>
        </w:rPr>
        <w:t>P</w:t>
      </w:r>
      <w:r w:rsidR="00A53C24" w:rsidRPr="0035798C">
        <w:rPr>
          <w:rFonts w:cstheme="minorHAnsi"/>
          <w:u w:val="single"/>
          <w:lang w:val="es-ES"/>
        </w:rPr>
        <w:t>roporcional:</w:t>
      </w:r>
      <w:r w:rsidR="00A53C24">
        <w:rPr>
          <w:rFonts w:cstheme="minorHAnsi"/>
          <w:lang w:val="es-ES"/>
        </w:rPr>
        <w:t xml:space="preserve"> </w:t>
      </w:r>
      <w:r w:rsidR="00A53C24" w:rsidRPr="00B83B5E">
        <w:rPr>
          <w:rFonts w:cstheme="minorHAnsi"/>
          <w:lang w:val="es-ES"/>
        </w:rPr>
        <w:t xml:space="preserve"> </w:t>
      </w:r>
      <w:r w:rsidR="00A53C24">
        <w:rPr>
          <w:rFonts w:cstheme="minorHAnsi"/>
          <w:lang w:val="es-ES"/>
        </w:rPr>
        <w:t>se incorporan todas sus partidas, pero ajustados por el porcentaje que le corresponda</w:t>
      </w:r>
      <w:r w:rsidR="00A53C24">
        <w:rPr>
          <w:rFonts w:cstheme="minorHAnsi"/>
          <w:lang w:val="es-ES"/>
        </w:rPr>
        <w:t>.</w:t>
      </w:r>
    </w:p>
    <w:p w14:paraId="04AFE183" w14:textId="1F5C887C" w:rsidR="0035798C" w:rsidRPr="0035798C" w:rsidRDefault="00C26850" w:rsidP="0035798C">
      <w:pPr>
        <w:jc w:val="both"/>
        <w:rPr>
          <w:rFonts w:cstheme="minorHAnsi"/>
          <w:lang w:val="es-ES"/>
        </w:rPr>
      </w:pPr>
      <w:r w:rsidRPr="0035798C">
        <w:rPr>
          <w:rFonts w:cstheme="minorHAnsi"/>
          <w:lang w:val="es-ES"/>
        </w:rPr>
        <w:t>Empresa asociada</w:t>
      </w:r>
      <w:r w:rsidR="00E31DCB" w:rsidRPr="0035798C">
        <w:rPr>
          <w:rFonts w:cstheme="minorHAnsi"/>
          <w:lang w:val="es-ES"/>
        </w:rPr>
        <w:t xml:space="preserve">: Con porcentaje </w:t>
      </w:r>
      <w:r w:rsidR="0035798C" w:rsidRPr="0035798C">
        <w:rPr>
          <w:rFonts w:cstheme="minorHAnsi"/>
          <w:lang w:val="es-ES"/>
        </w:rPr>
        <w:t>significativo,</w:t>
      </w:r>
      <w:r w:rsidR="00E31DCB" w:rsidRPr="0035798C">
        <w:rPr>
          <w:rFonts w:cstheme="minorHAnsi"/>
          <w:lang w:val="es-ES"/>
        </w:rPr>
        <w:t xml:space="preserve"> pero sin control</w:t>
      </w:r>
      <w:r w:rsidR="00A53C24" w:rsidRPr="0035798C">
        <w:rPr>
          <w:rFonts w:cstheme="minorHAnsi"/>
          <w:lang w:val="es-ES"/>
        </w:rPr>
        <w:t xml:space="preserve"> usar</w:t>
      </w:r>
      <w:r w:rsidR="0035798C" w:rsidRPr="0035798C">
        <w:rPr>
          <w:rFonts w:cstheme="minorHAnsi"/>
          <w:lang w:val="es-ES"/>
        </w:rPr>
        <w:t xml:space="preserve">emos la </w:t>
      </w:r>
      <w:r w:rsidR="0035798C" w:rsidRPr="0035798C">
        <w:rPr>
          <w:rFonts w:cstheme="minorHAnsi"/>
          <w:u w:val="single"/>
          <w:lang w:val="es-ES"/>
        </w:rPr>
        <w:t xml:space="preserve">Puesta en </w:t>
      </w:r>
      <w:r w:rsidR="0035798C" w:rsidRPr="0035798C">
        <w:rPr>
          <w:rFonts w:cstheme="minorHAnsi"/>
          <w:u w:val="single"/>
          <w:lang w:val="es-ES"/>
        </w:rPr>
        <w:t>E</w:t>
      </w:r>
      <w:r w:rsidR="0035798C" w:rsidRPr="0035798C">
        <w:rPr>
          <w:rFonts w:cstheme="minorHAnsi"/>
          <w:u w:val="single"/>
          <w:lang w:val="es-ES"/>
        </w:rPr>
        <w:t>quivalencia:</w:t>
      </w:r>
      <w:r w:rsidR="008A6F99">
        <w:rPr>
          <w:rFonts w:cstheme="minorHAnsi"/>
          <w:lang w:val="es-ES"/>
        </w:rPr>
        <w:t xml:space="preserve"> es de tipo voluntario en España y consiste en eliminar</w:t>
      </w:r>
      <w:r w:rsidR="0035798C" w:rsidRPr="0035798C">
        <w:rPr>
          <w:rFonts w:cstheme="minorHAnsi"/>
          <w:lang w:val="es-ES"/>
        </w:rPr>
        <w:t xml:space="preserve"> la participación en la empresa asociada y se integra tanto el % sobre los fondos propios como </w:t>
      </w:r>
      <w:proofErr w:type="spellStart"/>
      <w:r w:rsidR="0035798C" w:rsidRPr="0035798C">
        <w:rPr>
          <w:rFonts w:cstheme="minorHAnsi"/>
          <w:lang w:val="es-ES"/>
        </w:rPr>
        <w:t>el</w:t>
      </w:r>
      <w:proofErr w:type="spellEnd"/>
      <w:r w:rsidR="0035798C" w:rsidRPr="0035798C">
        <w:rPr>
          <w:rFonts w:cstheme="minorHAnsi"/>
          <w:lang w:val="es-ES"/>
        </w:rPr>
        <w:t xml:space="preserve"> % del resultado en los epígrafes destinados a </w:t>
      </w:r>
      <w:r w:rsidR="008A6F99" w:rsidRPr="0035798C">
        <w:rPr>
          <w:rFonts w:cstheme="minorHAnsi"/>
          <w:lang w:val="es-ES"/>
        </w:rPr>
        <w:t>“Participaciones</w:t>
      </w:r>
      <w:r w:rsidR="0035798C" w:rsidRPr="0035798C">
        <w:rPr>
          <w:rFonts w:cstheme="minorHAnsi"/>
          <w:lang w:val="es-ES"/>
        </w:rPr>
        <w:t xml:space="preserve"> puestas en equivalencia” y a Participaciones en beneficios o Pérdidas de sociedades puestas en equivalencia.</w:t>
      </w:r>
    </w:p>
    <w:p w14:paraId="5AC25A08" w14:textId="77777777" w:rsidR="002B2A98" w:rsidRDefault="002B2A98" w:rsidP="00522652">
      <w:pPr>
        <w:pStyle w:val="Pargrafdellista"/>
        <w:jc w:val="both"/>
        <w:rPr>
          <w:rFonts w:cstheme="minorHAnsi"/>
          <w:lang w:val="es-ES"/>
        </w:rPr>
      </w:pPr>
    </w:p>
    <w:p w14:paraId="1BF72BCE" w14:textId="6050A132" w:rsidR="00057AD4" w:rsidRPr="002B2A98" w:rsidRDefault="00057AD4" w:rsidP="00407B43">
      <w:pPr>
        <w:jc w:val="both"/>
        <w:rPr>
          <w:rFonts w:asciiTheme="majorHAnsi" w:hAnsiTheme="majorHAnsi" w:cstheme="majorHAnsi"/>
          <w:b/>
          <w:bCs/>
          <w:i/>
          <w:iCs/>
          <w:lang w:val="es-ES"/>
        </w:rPr>
      </w:pPr>
      <w:r w:rsidRPr="002B2A98">
        <w:rPr>
          <w:rFonts w:asciiTheme="majorHAnsi" w:hAnsiTheme="majorHAnsi" w:cstheme="majorHAnsi"/>
          <w:b/>
          <w:bCs/>
          <w:i/>
          <w:iCs/>
          <w:lang w:val="es-ES"/>
        </w:rPr>
        <w:t xml:space="preserve">4.- </w:t>
      </w:r>
      <w:r w:rsidRPr="002B2A98">
        <w:rPr>
          <w:rFonts w:asciiTheme="majorHAnsi" w:hAnsiTheme="majorHAnsi" w:cstheme="majorHAnsi"/>
          <w:b/>
          <w:bCs/>
          <w:i/>
          <w:iCs/>
          <w:lang w:val="es-ES"/>
        </w:rPr>
        <w:t xml:space="preserve">¿Qué acontecimientos surgidos después del cierre del ejercicio se registran en los estados financieros, </w:t>
      </w:r>
      <w:proofErr w:type="gramStart"/>
      <w:r w:rsidR="002B2A98" w:rsidRPr="002B2A98">
        <w:rPr>
          <w:rFonts w:asciiTheme="majorHAnsi" w:hAnsiTheme="majorHAnsi" w:cstheme="majorHAnsi"/>
          <w:b/>
          <w:bCs/>
          <w:i/>
          <w:iCs/>
          <w:lang w:val="es-ES"/>
        </w:rPr>
        <w:t>cuáles se desglosan en la nota de la memoria y cuáles no hay que hacer nada por carecer de relevancia?</w:t>
      </w:r>
      <w:proofErr w:type="gramEnd"/>
    </w:p>
    <w:p w14:paraId="38860FA7" w14:textId="77777777" w:rsidR="002B2A98" w:rsidRPr="002B2A98" w:rsidRDefault="002B2A98" w:rsidP="00407B43">
      <w:pPr>
        <w:jc w:val="both"/>
        <w:rPr>
          <w:rFonts w:cstheme="minorHAnsi"/>
          <w:lang w:val="es-ES"/>
        </w:rPr>
      </w:pPr>
      <w:r w:rsidRPr="002B2A98">
        <w:rPr>
          <w:rFonts w:cstheme="minorHAnsi"/>
          <w:lang w:val="es-ES"/>
        </w:rPr>
        <w:t>Los acontecimientos posteriores al cierre del ejercicio se clasifican en dos categorías:</w:t>
      </w:r>
    </w:p>
    <w:p w14:paraId="3B22957A" w14:textId="7BB5E879" w:rsidR="008A6F99" w:rsidRDefault="002B2A98" w:rsidP="008A6F99">
      <w:pPr>
        <w:jc w:val="both"/>
        <w:rPr>
          <w:rFonts w:cstheme="minorHAnsi"/>
          <w:lang w:val="es-ES"/>
        </w:rPr>
      </w:pPr>
      <w:r w:rsidRPr="002B2A98">
        <w:rPr>
          <w:rFonts w:cstheme="minorHAnsi"/>
          <w:lang w:val="es-ES"/>
        </w:rPr>
        <w:t>Acontecimientos que requieren ajuste: Estos son acontecimientos que tienen un efecto directo en la situación financiera o en los resultados de la empresa. Por ejemplo</w:t>
      </w:r>
      <w:r w:rsidR="00575BC9">
        <w:rPr>
          <w:rFonts w:cstheme="minorHAnsi"/>
          <w:lang w:val="es-ES"/>
        </w:rPr>
        <w:t>:</w:t>
      </w:r>
      <w:r w:rsidR="008A6F99">
        <w:rPr>
          <w:rFonts w:cstheme="minorHAnsi"/>
          <w:lang w:val="es-ES"/>
        </w:rPr>
        <w:t xml:space="preserve"> r</w:t>
      </w:r>
      <w:r w:rsidR="008A6F99">
        <w:rPr>
          <w:rFonts w:cstheme="minorHAnsi"/>
          <w:lang w:val="es-ES"/>
        </w:rPr>
        <w:t>esoluciones de litigios que confirman obligaci</w:t>
      </w:r>
      <w:r w:rsidR="008A6F99">
        <w:rPr>
          <w:rFonts w:cstheme="minorHAnsi"/>
          <w:lang w:val="es-ES"/>
        </w:rPr>
        <w:t>o</w:t>
      </w:r>
      <w:r w:rsidR="008A6F99">
        <w:rPr>
          <w:rFonts w:cstheme="minorHAnsi"/>
          <w:lang w:val="es-ES"/>
        </w:rPr>
        <w:t>nes a final del periodo, deterioros de activos</w:t>
      </w:r>
      <w:r w:rsidR="0046687C">
        <w:rPr>
          <w:rFonts w:cstheme="minorHAnsi"/>
          <w:lang w:val="es-ES"/>
        </w:rPr>
        <w:t>…</w:t>
      </w:r>
    </w:p>
    <w:p w14:paraId="361CA385" w14:textId="5A874559" w:rsidR="004E70CC" w:rsidRDefault="002B2A98" w:rsidP="004E70CC">
      <w:pPr>
        <w:jc w:val="both"/>
        <w:rPr>
          <w:rFonts w:cstheme="minorHAnsi"/>
          <w:lang w:val="es-ES"/>
        </w:rPr>
      </w:pPr>
      <w:r w:rsidRPr="002B2A98">
        <w:rPr>
          <w:rFonts w:cstheme="minorHAnsi"/>
          <w:lang w:val="es-ES"/>
        </w:rPr>
        <w:t xml:space="preserve">Acontecimientos que se </w:t>
      </w:r>
      <w:r w:rsidR="0046687C">
        <w:rPr>
          <w:rFonts w:cstheme="minorHAnsi"/>
          <w:lang w:val="es-ES"/>
        </w:rPr>
        <w:t>desglosar</w:t>
      </w:r>
      <w:r w:rsidRPr="002B2A98">
        <w:rPr>
          <w:rFonts w:cstheme="minorHAnsi"/>
          <w:lang w:val="es-ES"/>
        </w:rPr>
        <w:t xml:space="preserve"> en la nota de la memoria: </w:t>
      </w:r>
      <w:r w:rsidR="004E70CC">
        <w:rPr>
          <w:rFonts w:cstheme="minorHAnsi"/>
          <w:lang w:val="es-ES"/>
        </w:rPr>
        <w:t xml:space="preserve">Son aquellos que surgen tras el cierre del periodo y que acontecen pro hechos que se dieron posteriormente al cierre del ejercicio al que </w:t>
      </w:r>
      <w:r w:rsidR="00575BC9">
        <w:rPr>
          <w:rFonts w:cstheme="minorHAnsi"/>
          <w:lang w:val="es-ES"/>
        </w:rPr>
        <w:t>corresponden los estados financieros. Por e</w:t>
      </w:r>
      <w:r w:rsidR="004E70CC">
        <w:rPr>
          <w:rFonts w:cstheme="minorHAnsi"/>
          <w:lang w:val="es-ES"/>
        </w:rPr>
        <w:t xml:space="preserve">jemplo: Adquisiciones de </w:t>
      </w:r>
      <w:r w:rsidR="00575BC9">
        <w:rPr>
          <w:rFonts w:cstheme="minorHAnsi"/>
          <w:lang w:val="es-ES"/>
        </w:rPr>
        <w:t>empresas después</w:t>
      </w:r>
      <w:r w:rsidR="004E70CC">
        <w:rPr>
          <w:rFonts w:cstheme="minorHAnsi"/>
          <w:lang w:val="es-ES"/>
        </w:rPr>
        <w:t xml:space="preserve"> del cierre, caídas de la bolsa que conlleven a pérdidas de valor</w:t>
      </w:r>
      <w:r w:rsidR="00575BC9">
        <w:rPr>
          <w:rFonts w:cstheme="minorHAnsi"/>
          <w:lang w:val="es-ES"/>
        </w:rPr>
        <w:t>.</w:t>
      </w:r>
    </w:p>
    <w:p w14:paraId="329CF81B" w14:textId="6CA0B98A" w:rsidR="00057AD4" w:rsidRDefault="002B2A98" w:rsidP="00407B43">
      <w:pPr>
        <w:jc w:val="both"/>
        <w:rPr>
          <w:rFonts w:cstheme="minorHAnsi"/>
          <w:lang w:val="es-ES"/>
        </w:rPr>
      </w:pPr>
      <w:r w:rsidRPr="002B2A98">
        <w:rPr>
          <w:rFonts w:cstheme="minorHAnsi"/>
          <w:lang w:val="es-ES"/>
        </w:rPr>
        <w:t>Los acontecimientos posteriores al cierre del ejercicio que no son relevantes no deben registrarse en los estados financieros ni divulgarse en la nota de la memoria</w:t>
      </w:r>
      <w:r w:rsidR="00D041E4">
        <w:rPr>
          <w:rFonts w:cstheme="minorHAnsi"/>
          <w:lang w:val="es-ES"/>
        </w:rPr>
        <w:t xml:space="preserve">, son </w:t>
      </w:r>
      <w:r w:rsidR="00575BC9">
        <w:rPr>
          <w:rFonts w:cstheme="minorHAnsi"/>
          <w:lang w:val="es-ES"/>
        </w:rPr>
        <w:t>el resto</w:t>
      </w:r>
      <w:r w:rsidR="00D041E4">
        <w:rPr>
          <w:rFonts w:cstheme="minorHAnsi"/>
          <w:lang w:val="es-ES"/>
        </w:rPr>
        <w:t>.</w:t>
      </w:r>
      <w:r w:rsidRPr="002B2A98">
        <w:rPr>
          <w:rFonts w:cstheme="minorHAnsi"/>
          <w:lang w:val="es-ES"/>
        </w:rPr>
        <w:t xml:space="preserve"> Por ejemplo, una empresa puede cambiar su nombre después de la fecha del balance. Este cambio de nombre no es relevante para los usuarios de los estados financieros, por lo que no debe registrarse ni divulgarse.</w:t>
      </w:r>
    </w:p>
    <w:p w14:paraId="46914EDB" w14:textId="77777777" w:rsidR="00546EEB" w:rsidRDefault="00546EEB" w:rsidP="00407B43">
      <w:pPr>
        <w:jc w:val="both"/>
        <w:rPr>
          <w:rFonts w:cstheme="minorHAnsi"/>
          <w:lang w:val="es-ES"/>
        </w:rPr>
      </w:pPr>
    </w:p>
    <w:p w14:paraId="6EADBE93" w14:textId="77777777" w:rsidR="00CF3D07" w:rsidRDefault="00CF3D07">
      <w:pPr>
        <w:jc w:val="both"/>
        <w:rPr>
          <w:rFonts w:cstheme="minorHAnsi"/>
          <w:lang w:val="es-ES"/>
        </w:rPr>
      </w:pPr>
    </w:p>
    <w:sectPr w:rsidR="00CF3D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F62D5"/>
    <w:multiLevelType w:val="hybridMultilevel"/>
    <w:tmpl w:val="AEC6955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4909305E"/>
    <w:multiLevelType w:val="hybridMultilevel"/>
    <w:tmpl w:val="7FE4D0E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443500157">
    <w:abstractNumId w:val="0"/>
  </w:num>
  <w:num w:numId="2" w16cid:durableId="352725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DF"/>
    <w:rsid w:val="00042B6B"/>
    <w:rsid w:val="00057AD4"/>
    <w:rsid w:val="000749FE"/>
    <w:rsid w:val="000C4A51"/>
    <w:rsid w:val="00130C16"/>
    <w:rsid w:val="001562FB"/>
    <w:rsid w:val="00222367"/>
    <w:rsid w:val="002532BD"/>
    <w:rsid w:val="002659D8"/>
    <w:rsid w:val="002B2A98"/>
    <w:rsid w:val="002D1626"/>
    <w:rsid w:val="002D5047"/>
    <w:rsid w:val="002D61A0"/>
    <w:rsid w:val="0031753F"/>
    <w:rsid w:val="0035798C"/>
    <w:rsid w:val="003979B3"/>
    <w:rsid w:val="003D5B5D"/>
    <w:rsid w:val="003E75F3"/>
    <w:rsid w:val="00407B43"/>
    <w:rsid w:val="004319AA"/>
    <w:rsid w:val="0046687C"/>
    <w:rsid w:val="004927D3"/>
    <w:rsid w:val="004972DC"/>
    <w:rsid w:val="004E70CC"/>
    <w:rsid w:val="004F0E87"/>
    <w:rsid w:val="00522652"/>
    <w:rsid w:val="00546EEB"/>
    <w:rsid w:val="00555F29"/>
    <w:rsid w:val="00575BC9"/>
    <w:rsid w:val="005B0FC7"/>
    <w:rsid w:val="005E3E1C"/>
    <w:rsid w:val="00616B9B"/>
    <w:rsid w:val="007768CC"/>
    <w:rsid w:val="007C0910"/>
    <w:rsid w:val="008442EA"/>
    <w:rsid w:val="00845CF1"/>
    <w:rsid w:val="008A6F99"/>
    <w:rsid w:val="00907204"/>
    <w:rsid w:val="009C37C0"/>
    <w:rsid w:val="009D1F35"/>
    <w:rsid w:val="00A53C24"/>
    <w:rsid w:val="00A667DF"/>
    <w:rsid w:val="00AC6534"/>
    <w:rsid w:val="00B83B5E"/>
    <w:rsid w:val="00BB04E5"/>
    <w:rsid w:val="00C26850"/>
    <w:rsid w:val="00C80474"/>
    <w:rsid w:val="00C93130"/>
    <w:rsid w:val="00CA76C8"/>
    <w:rsid w:val="00CC6F22"/>
    <w:rsid w:val="00CF3D07"/>
    <w:rsid w:val="00D041E4"/>
    <w:rsid w:val="00D05812"/>
    <w:rsid w:val="00D2097D"/>
    <w:rsid w:val="00D870B2"/>
    <w:rsid w:val="00DB50F7"/>
    <w:rsid w:val="00DB620E"/>
    <w:rsid w:val="00DD0F5C"/>
    <w:rsid w:val="00E31DCB"/>
    <w:rsid w:val="00E42250"/>
    <w:rsid w:val="00E9298B"/>
    <w:rsid w:val="00EF20C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5122"/>
  <w15:chartTrackingRefBased/>
  <w15:docId w15:val="{442F18EC-EBEA-4184-869F-89323D28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CC"/>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B83B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665767">
      <w:bodyDiv w:val="1"/>
      <w:marLeft w:val="0"/>
      <w:marRight w:val="0"/>
      <w:marTop w:val="0"/>
      <w:marBottom w:val="0"/>
      <w:divBdr>
        <w:top w:val="none" w:sz="0" w:space="0" w:color="auto"/>
        <w:left w:val="none" w:sz="0" w:space="0" w:color="auto"/>
        <w:bottom w:val="none" w:sz="0" w:space="0" w:color="auto"/>
        <w:right w:val="none" w:sz="0" w:space="0" w:color="auto"/>
      </w:divBdr>
    </w:div>
    <w:div w:id="212633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puig i Carreró</dc:creator>
  <cp:keywords/>
  <dc:description/>
  <cp:lastModifiedBy>Oriol puig i Carreró</cp:lastModifiedBy>
  <cp:revision>64</cp:revision>
  <dcterms:created xsi:type="dcterms:W3CDTF">2024-01-28T18:30:00Z</dcterms:created>
  <dcterms:modified xsi:type="dcterms:W3CDTF">2024-01-28T19:27:00Z</dcterms:modified>
</cp:coreProperties>
</file>