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C534AD" w14:textId="77777777" w:rsidR="00EC6BDC" w:rsidRPr="00C76E44" w:rsidRDefault="00EC6BDC" w:rsidP="00DB4D50">
      <w:pPr>
        <w:spacing w:line="240" w:lineRule="auto"/>
        <w:jc w:val="both"/>
        <w:rPr>
          <w:b/>
          <w:bCs/>
          <w:i/>
          <w:iCs/>
          <w:lang w:val="es-ES"/>
        </w:rPr>
      </w:pPr>
      <w:r w:rsidRPr="00C76E44">
        <w:rPr>
          <w:b/>
          <w:bCs/>
          <w:i/>
          <w:iCs/>
          <w:lang w:val="es-ES"/>
        </w:rPr>
        <w:t xml:space="preserve">Fase 1. Estructura de inversión. Con la actividad de la clase 1 y el </w:t>
      </w:r>
      <w:proofErr w:type="spellStart"/>
      <w:r w:rsidRPr="00C76E44">
        <w:rPr>
          <w:b/>
          <w:bCs/>
          <w:i/>
          <w:iCs/>
          <w:lang w:val="es-ES"/>
        </w:rPr>
        <w:t>feedback</w:t>
      </w:r>
      <w:proofErr w:type="spellEnd"/>
      <w:r w:rsidRPr="00C76E44">
        <w:rPr>
          <w:b/>
          <w:bCs/>
          <w:i/>
          <w:iCs/>
          <w:lang w:val="es-ES"/>
        </w:rPr>
        <w:t xml:space="preserve"> obtenido, tendrás las claves para poder realizar esta fase del proyecto.</w:t>
      </w:r>
    </w:p>
    <w:p w14:paraId="55631297" w14:textId="77777777" w:rsidR="00EC6BDC" w:rsidRPr="004A1244" w:rsidRDefault="00EC6BDC" w:rsidP="00DB4D50">
      <w:pPr>
        <w:spacing w:line="240" w:lineRule="auto"/>
        <w:jc w:val="both"/>
        <w:rPr>
          <w:i/>
          <w:iCs/>
          <w:color w:val="767171" w:themeColor="background2" w:themeShade="80"/>
          <w:lang w:val="es-ES"/>
        </w:rPr>
      </w:pPr>
      <w:r w:rsidRPr="004A1244">
        <w:rPr>
          <w:i/>
          <w:iCs/>
          <w:color w:val="767171" w:themeColor="background2" w:themeShade="80"/>
          <w:lang w:val="es-ES"/>
        </w:rPr>
        <w:t>Imagínate que eres un inversor que tiene 100.000€ para invertir. Quieres invertirlos a largo plazo y tu horizonte temporal de inversión es de 10 años. A partir de esto, elabora una cartera a largo plazo con 5 valores pertenecientes al Ibex 35, teniendo en cuenta que te consideras un inversor agresivo (Beta &gt; 1). Justifica tu respuesta.</w:t>
      </w:r>
    </w:p>
    <w:p w14:paraId="5812D81D" w14:textId="122ACF75" w:rsidR="007239B7" w:rsidRDefault="00C82DE4" w:rsidP="00DB4D50">
      <w:pPr>
        <w:spacing w:line="240" w:lineRule="auto"/>
        <w:jc w:val="both"/>
        <w:rPr>
          <w:lang w:val="es-ES"/>
        </w:rPr>
      </w:pPr>
      <w:r>
        <w:rPr>
          <w:lang w:val="es-ES"/>
        </w:rPr>
        <w:t>Vamos a seleccionar</w:t>
      </w:r>
      <w:r w:rsidR="00AF3EE3">
        <w:rPr>
          <w:lang w:val="es-ES"/>
        </w:rPr>
        <w:t xml:space="preserve"> 5 valores del Ibex 35, sabiendo que es una </w:t>
      </w:r>
      <w:r w:rsidR="00B2294C">
        <w:rPr>
          <w:lang w:val="es-ES"/>
        </w:rPr>
        <w:t>inversión</w:t>
      </w:r>
      <w:r w:rsidR="00AF3EE3">
        <w:rPr>
          <w:lang w:val="es-ES"/>
        </w:rPr>
        <w:t xml:space="preserve"> a</w:t>
      </w:r>
      <w:r w:rsidR="00AE1B67">
        <w:rPr>
          <w:lang w:val="es-ES"/>
        </w:rPr>
        <w:t xml:space="preserve"> </w:t>
      </w:r>
      <w:r w:rsidR="00AF3EE3">
        <w:rPr>
          <w:lang w:val="es-ES"/>
        </w:rPr>
        <w:t>10años</w:t>
      </w:r>
      <w:r w:rsidR="00AE1B67">
        <w:rPr>
          <w:lang w:val="es-ES"/>
        </w:rPr>
        <w:t xml:space="preserve"> y sabiendo que somo</w:t>
      </w:r>
      <w:r w:rsidR="001F4FFB">
        <w:rPr>
          <w:lang w:val="es-ES"/>
        </w:rPr>
        <w:t>s</w:t>
      </w:r>
      <w:r w:rsidR="00AE1B67">
        <w:rPr>
          <w:lang w:val="es-ES"/>
        </w:rPr>
        <w:t xml:space="preserve"> u</w:t>
      </w:r>
      <w:r w:rsidR="001F4FFB">
        <w:rPr>
          <w:lang w:val="es-ES"/>
        </w:rPr>
        <w:t>n</w:t>
      </w:r>
      <w:r w:rsidR="00AE1B67">
        <w:rPr>
          <w:lang w:val="es-ES"/>
        </w:rPr>
        <w:t xml:space="preserve"> inversor agr</w:t>
      </w:r>
      <w:r w:rsidR="001F4FFB">
        <w:rPr>
          <w:lang w:val="es-ES"/>
        </w:rPr>
        <w:t>es</w:t>
      </w:r>
      <w:r w:rsidR="00AE1B67">
        <w:rPr>
          <w:lang w:val="es-ES"/>
        </w:rPr>
        <w:t>ivo vamos a buscar va</w:t>
      </w:r>
      <w:r w:rsidR="001F4FFB">
        <w:rPr>
          <w:lang w:val="es-ES"/>
        </w:rPr>
        <w:t>l</w:t>
      </w:r>
      <w:r w:rsidR="00AE1B67">
        <w:rPr>
          <w:lang w:val="es-ES"/>
        </w:rPr>
        <w:t xml:space="preserve">ores Beta &gt; </w:t>
      </w:r>
      <w:r w:rsidR="00B2294C">
        <w:rPr>
          <w:lang w:val="es-ES"/>
        </w:rPr>
        <w:t>1 para</w:t>
      </w:r>
      <w:r w:rsidR="00AE1B67">
        <w:rPr>
          <w:lang w:val="es-ES"/>
        </w:rPr>
        <w:t xml:space="preserve"> ello vamos a seleccionar compañías del sector Industrial, </w:t>
      </w:r>
      <w:r w:rsidR="00D84696">
        <w:rPr>
          <w:lang w:val="es-ES"/>
        </w:rPr>
        <w:t xml:space="preserve">automóvil y Sector Bienes y consumo que normalmente son sectores con una mayor </w:t>
      </w:r>
      <w:r w:rsidR="00B2294C">
        <w:rPr>
          <w:lang w:val="es-ES"/>
        </w:rPr>
        <w:t>volatilidad</w:t>
      </w:r>
      <w:r w:rsidR="00D84696">
        <w:rPr>
          <w:lang w:val="es-ES"/>
        </w:rPr>
        <w:t>.</w:t>
      </w:r>
      <w:r w:rsidR="001F4FFB">
        <w:rPr>
          <w:lang w:val="es-ES"/>
        </w:rPr>
        <w:t xml:space="preserve"> A medida que vayamos alcanzado los 10a</w:t>
      </w:r>
      <w:r w:rsidR="00B2294C">
        <w:rPr>
          <w:lang w:val="es-ES"/>
        </w:rPr>
        <w:t>ños ya buscaríamos valores más conservadores.</w:t>
      </w:r>
    </w:p>
    <w:p w14:paraId="25338310" w14:textId="2E6F9EF2" w:rsidR="00754F35" w:rsidRPr="0065273F" w:rsidRDefault="00754F35" w:rsidP="00DB4D50">
      <w:pPr>
        <w:spacing w:line="240" w:lineRule="auto"/>
        <w:jc w:val="both"/>
        <w:rPr>
          <w:lang w:val="es-ES"/>
        </w:rPr>
      </w:pPr>
      <w:r w:rsidRPr="0065273F">
        <w:rPr>
          <w:lang w:val="es-ES"/>
        </w:rPr>
        <w:t xml:space="preserve">Estos sectores suelen presentar mayor volatilidad y riesgo, pero también ofrecen mayor potencial de crecimiento, lo cual se ajusta al enfoque de un inversor con un apetito de riesgo más alto. </w:t>
      </w:r>
    </w:p>
    <w:p w14:paraId="632197B4" w14:textId="77777777" w:rsidR="008352A0" w:rsidRPr="00B2294C" w:rsidRDefault="008352A0" w:rsidP="00DB4D50">
      <w:pPr>
        <w:spacing w:line="240" w:lineRule="auto"/>
        <w:jc w:val="both"/>
        <w:rPr>
          <w:b/>
          <w:bCs/>
          <w:u w:val="single"/>
          <w:lang w:val="es-ES"/>
        </w:rPr>
      </w:pPr>
      <w:r w:rsidRPr="00B2294C">
        <w:rPr>
          <w:b/>
          <w:bCs/>
          <w:u w:val="single"/>
          <w:lang w:val="es-ES"/>
        </w:rPr>
        <w:t>Sector Industrial:</w:t>
      </w:r>
    </w:p>
    <w:p w14:paraId="1AC5C60F" w14:textId="66CBF7EE" w:rsidR="008352A0" w:rsidRPr="0065273F" w:rsidRDefault="008352A0" w:rsidP="00DB4D50">
      <w:pPr>
        <w:spacing w:line="240" w:lineRule="auto"/>
        <w:jc w:val="both"/>
        <w:rPr>
          <w:lang w:val="es-ES"/>
        </w:rPr>
      </w:pPr>
      <w:r w:rsidRPr="0065273F">
        <w:rPr>
          <w:lang w:val="es-ES"/>
        </w:rPr>
        <w:t xml:space="preserve">- </w:t>
      </w:r>
      <w:proofErr w:type="spellStart"/>
      <w:r w:rsidRPr="0065273F">
        <w:rPr>
          <w:lang w:val="es-ES"/>
        </w:rPr>
        <w:t>ArcelorMittal</w:t>
      </w:r>
      <w:proofErr w:type="spellEnd"/>
      <w:r w:rsidRPr="0065273F">
        <w:rPr>
          <w:lang w:val="es-ES"/>
        </w:rPr>
        <w:t xml:space="preserve"> (MTS)</w:t>
      </w:r>
      <w:r w:rsidR="00A91573">
        <w:rPr>
          <w:lang w:val="es-ES"/>
        </w:rPr>
        <w:t xml:space="preserve"> </w:t>
      </w:r>
    </w:p>
    <w:p w14:paraId="304BF5FB" w14:textId="31B8F623" w:rsidR="008352A0" w:rsidRDefault="008352A0" w:rsidP="00DB4D50">
      <w:pPr>
        <w:spacing w:line="240" w:lineRule="auto"/>
        <w:jc w:val="both"/>
        <w:rPr>
          <w:lang w:val="es-ES"/>
        </w:rPr>
      </w:pPr>
      <w:r w:rsidRPr="0065273F">
        <w:rPr>
          <w:lang w:val="es-ES"/>
        </w:rPr>
        <w:t>- Siemens Gamesa (SGRE)</w:t>
      </w:r>
      <w:r w:rsidR="00A91573">
        <w:rPr>
          <w:lang w:val="es-ES"/>
        </w:rPr>
        <w:t xml:space="preserve">   </w:t>
      </w:r>
    </w:p>
    <w:p w14:paraId="43945B3B" w14:textId="77777777" w:rsidR="008352A0" w:rsidRPr="00B2294C" w:rsidRDefault="008352A0" w:rsidP="00DB4D50">
      <w:pPr>
        <w:spacing w:line="240" w:lineRule="auto"/>
        <w:jc w:val="both"/>
        <w:rPr>
          <w:b/>
          <w:bCs/>
          <w:u w:val="single"/>
          <w:lang w:val="es-ES"/>
        </w:rPr>
      </w:pPr>
      <w:r w:rsidRPr="00B2294C">
        <w:rPr>
          <w:b/>
          <w:bCs/>
          <w:u w:val="single"/>
          <w:lang w:val="es-ES"/>
        </w:rPr>
        <w:t xml:space="preserve">Sector Automoción: </w:t>
      </w:r>
    </w:p>
    <w:p w14:paraId="2D7CD15C" w14:textId="77777777" w:rsidR="008352A0" w:rsidRPr="0065273F" w:rsidRDefault="008352A0" w:rsidP="00DB4D50">
      <w:pPr>
        <w:spacing w:line="240" w:lineRule="auto"/>
        <w:jc w:val="both"/>
        <w:rPr>
          <w:lang w:val="es-ES"/>
        </w:rPr>
      </w:pPr>
      <w:r w:rsidRPr="0065273F">
        <w:rPr>
          <w:lang w:val="es-ES"/>
        </w:rPr>
        <w:t xml:space="preserve">- </w:t>
      </w:r>
      <w:proofErr w:type="spellStart"/>
      <w:r w:rsidRPr="0065273F">
        <w:rPr>
          <w:lang w:val="es-ES"/>
        </w:rPr>
        <w:t>ArcelorMittal</w:t>
      </w:r>
      <w:proofErr w:type="spellEnd"/>
      <w:r w:rsidRPr="0065273F">
        <w:rPr>
          <w:lang w:val="es-ES"/>
        </w:rPr>
        <w:t xml:space="preserve"> (MTS)</w:t>
      </w:r>
    </w:p>
    <w:p w14:paraId="2878719E" w14:textId="77777777" w:rsidR="008352A0" w:rsidRPr="0065273F" w:rsidRDefault="008352A0" w:rsidP="00DB4D50">
      <w:pPr>
        <w:spacing w:line="240" w:lineRule="auto"/>
        <w:jc w:val="both"/>
        <w:rPr>
          <w:lang w:val="es-ES"/>
        </w:rPr>
      </w:pPr>
      <w:r w:rsidRPr="0065273F">
        <w:rPr>
          <w:lang w:val="es-ES"/>
        </w:rPr>
        <w:t>- Acerinox (ACX)</w:t>
      </w:r>
    </w:p>
    <w:p w14:paraId="617D1B32" w14:textId="77777777" w:rsidR="008352A0" w:rsidRPr="00B2294C" w:rsidRDefault="008352A0" w:rsidP="00DB4D50">
      <w:pPr>
        <w:spacing w:line="240" w:lineRule="auto"/>
        <w:jc w:val="both"/>
        <w:rPr>
          <w:b/>
          <w:bCs/>
          <w:u w:val="single"/>
          <w:lang w:val="es-ES"/>
        </w:rPr>
      </w:pPr>
      <w:r w:rsidRPr="00B2294C">
        <w:rPr>
          <w:b/>
          <w:bCs/>
          <w:u w:val="single"/>
          <w:lang w:val="es-ES"/>
        </w:rPr>
        <w:t>Sector Bienes y Consumo:</w:t>
      </w:r>
    </w:p>
    <w:p w14:paraId="178941FB" w14:textId="77777777" w:rsidR="008352A0" w:rsidRPr="0065273F" w:rsidRDefault="008352A0" w:rsidP="00DB4D50">
      <w:pPr>
        <w:spacing w:line="240" w:lineRule="auto"/>
        <w:jc w:val="both"/>
        <w:rPr>
          <w:lang w:val="es-ES"/>
        </w:rPr>
      </w:pPr>
      <w:r w:rsidRPr="0065273F">
        <w:rPr>
          <w:lang w:val="es-ES"/>
        </w:rPr>
        <w:t xml:space="preserve">- Meliá </w:t>
      </w:r>
      <w:proofErr w:type="spellStart"/>
      <w:r w:rsidRPr="0065273F">
        <w:rPr>
          <w:lang w:val="es-ES"/>
        </w:rPr>
        <w:t>Hotels</w:t>
      </w:r>
      <w:proofErr w:type="spellEnd"/>
      <w:r w:rsidRPr="0065273F">
        <w:rPr>
          <w:lang w:val="es-ES"/>
        </w:rPr>
        <w:t xml:space="preserve"> (MEL)</w:t>
      </w:r>
    </w:p>
    <w:p w14:paraId="652C860A" w14:textId="77777777" w:rsidR="00B2294C" w:rsidRDefault="00B2294C" w:rsidP="00DB4D50">
      <w:pPr>
        <w:spacing w:line="240" w:lineRule="auto"/>
        <w:jc w:val="both"/>
        <w:rPr>
          <w:i/>
          <w:iCs/>
          <w:lang w:val="es-ES"/>
        </w:rPr>
      </w:pPr>
    </w:p>
    <w:p w14:paraId="59F77E4A" w14:textId="0C243C5D" w:rsidR="00EC6BDC" w:rsidRPr="004A1244" w:rsidRDefault="00EC6BDC" w:rsidP="00DB4D50">
      <w:pPr>
        <w:spacing w:line="240" w:lineRule="auto"/>
        <w:jc w:val="both"/>
        <w:rPr>
          <w:i/>
          <w:iCs/>
          <w:color w:val="767171" w:themeColor="background2" w:themeShade="80"/>
          <w:lang w:val="es-ES"/>
        </w:rPr>
      </w:pPr>
      <w:r w:rsidRPr="004A1244">
        <w:rPr>
          <w:i/>
          <w:iCs/>
          <w:color w:val="767171" w:themeColor="background2" w:themeShade="80"/>
          <w:lang w:val="es-ES"/>
        </w:rPr>
        <w:t xml:space="preserve">Tras esto, ahora imagínate que pasados 10 años </w:t>
      </w:r>
      <w:r w:rsidR="00DA6F6A" w:rsidRPr="004A1244">
        <w:rPr>
          <w:i/>
          <w:iCs/>
          <w:color w:val="767171" w:themeColor="background2" w:themeShade="80"/>
          <w:lang w:val="es-ES"/>
        </w:rPr>
        <w:t>el Ibex</w:t>
      </w:r>
      <w:r w:rsidRPr="004A1244">
        <w:rPr>
          <w:i/>
          <w:iCs/>
          <w:color w:val="767171" w:themeColor="background2" w:themeShade="80"/>
          <w:lang w:val="es-ES"/>
        </w:rPr>
        <w:t xml:space="preserve"> ha subido un 36 % desde el inicio de la inversión. Con esto:</w:t>
      </w:r>
    </w:p>
    <w:p w14:paraId="7B3B2836" w14:textId="153F7FFC" w:rsidR="00EC6BDC" w:rsidRPr="004A1244" w:rsidRDefault="00EC6BDC" w:rsidP="00DB4D50">
      <w:pPr>
        <w:spacing w:line="240" w:lineRule="auto"/>
        <w:jc w:val="both"/>
        <w:rPr>
          <w:i/>
          <w:iCs/>
          <w:color w:val="767171" w:themeColor="background2" w:themeShade="80"/>
          <w:lang w:val="es-ES"/>
        </w:rPr>
      </w:pPr>
      <w:r w:rsidRPr="004A1244">
        <w:rPr>
          <w:i/>
          <w:iCs/>
          <w:color w:val="767171" w:themeColor="background2" w:themeShade="80"/>
          <w:lang w:val="es-ES"/>
        </w:rPr>
        <w:t>Calcula el valor de Beta de la Cartera propuesta</w:t>
      </w:r>
      <w:r w:rsidR="00731826">
        <w:rPr>
          <w:i/>
          <w:iCs/>
          <w:color w:val="767171" w:themeColor="background2" w:themeShade="80"/>
          <w:lang w:val="es-ES"/>
        </w:rPr>
        <w:t xml:space="preserve">, </w:t>
      </w:r>
      <w:r w:rsidRPr="004A1244">
        <w:rPr>
          <w:i/>
          <w:iCs/>
          <w:color w:val="767171" w:themeColor="background2" w:themeShade="80"/>
          <w:lang w:val="es-ES"/>
        </w:rPr>
        <w:t xml:space="preserve">Calcula el valor total de tu cartera a 10 años, </w:t>
      </w:r>
      <w:r w:rsidR="00DA6F6A" w:rsidRPr="004A1244">
        <w:rPr>
          <w:i/>
          <w:iCs/>
          <w:color w:val="767171" w:themeColor="background2" w:themeShade="80"/>
          <w:lang w:val="es-ES"/>
        </w:rPr>
        <w:t>sabiendo que</w:t>
      </w:r>
      <w:r w:rsidRPr="004A1244">
        <w:rPr>
          <w:i/>
          <w:iCs/>
          <w:color w:val="767171" w:themeColor="background2" w:themeShade="80"/>
          <w:lang w:val="es-ES"/>
        </w:rPr>
        <w:t xml:space="preserve"> el Ibex en ese periodo ha subido un 36%</w:t>
      </w:r>
    </w:p>
    <w:p w14:paraId="2782884B" w14:textId="6C746641" w:rsidR="00EC6BDC" w:rsidRPr="004A1244" w:rsidRDefault="00EC6BDC" w:rsidP="00DB4D50">
      <w:pPr>
        <w:spacing w:line="240" w:lineRule="auto"/>
        <w:jc w:val="both"/>
        <w:rPr>
          <w:i/>
          <w:iCs/>
          <w:color w:val="767171" w:themeColor="background2" w:themeShade="80"/>
          <w:lang w:val="es-ES"/>
        </w:rPr>
      </w:pPr>
      <w:r w:rsidRPr="004A1244">
        <w:rPr>
          <w:i/>
          <w:iCs/>
          <w:color w:val="767171" w:themeColor="background2" w:themeShade="80"/>
          <w:lang w:val="es-ES"/>
        </w:rPr>
        <w:t>Variables a considerar:</w:t>
      </w:r>
    </w:p>
    <w:p w14:paraId="60B510F5" w14:textId="77777777" w:rsidR="00EC6BDC" w:rsidRPr="004A1244" w:rsidRDefault="00EC6BDC" w:rsidP="00DB4D50">
      <w:pPr>
        <w:pStyle w:val="Pargrafdellista"/>
        <w:numPr>
          <w:ilvl w:val="0"/>
          <w:numId w:val="1"/>
        </w:numPr>
        <w:spacing w:line="240" w:lineRule="auto"/>
        <w:jc w:val="both"/>
        <w:rPr>
          <w:i/>
          <w:iCs/>
          <w:color w:val="767171" w:themeColor="background2" w:themeShade="80"/>
          <w:lang w:val="es-ES"/>
        </w:rPr>
      </w:pPr>
      <w:r w:rsidRPr="004A1244">
        <w:rPr>
          <w:i/>
          <w:iCs/>
          <w:color w:val="767171" w:themeColor="background2" w:themeShade="80"/>
          <w:lang w:val="es-ES"/>
        </w:rPr>
        <w:t>Perfil inversor del cliente. Puede ser, en líneas generales, conservador, dinámico o agresivo. La cartera debe estar formada por títulos acorde a su perfil.</w:t>
      </w:r>
    </w:p>
    <w:p w14:paraId="1D5874ED" w14:textId="77777777" w:rsidR="00EC6BDC" w:rsidRPr="004A1244" w:rsidRDefault="00EC6BDC" w:rsidP="00DB4D50">
      <w:pPr>
        <w:pStyle w:val="Pargrafdellista"/>
        <w:numPr>
          <w:ilvl w:val="0"/>
          <w:numId w:val="1"/>
        </w:numPr>
        <w:spacing w:line="240" w:lineRule="auto"/>
        <w:jc w:val="both"/>
        <w:rPr>
          <w:i/>
          <w:iCs/>
          <w:color w:val="767171" w:themeColor="background2" w:themeShade="80"/>
          <w:lang w:val="es-ES"/>
        </w:rPr>
      </w:pPr>
      <w:r w:rsidRPr="004A1244">
        <w:rPr>
          <w:i/>
          <w:iCs/>
          <w:color w:val="767171" w:themeColor="background2" w:themeShade="80"/>
          <w:lang w:val="es-ES"/>
        </w:rPr>
        <w:t>Capital a invertir. El capital a invertir en cada producto tiene que tener relación con su perfil de riesgo. Por ejemplo, no sería lógico que si eres un inversor conservador tengas todo tu capital invertido en renta variable.</w:t>
      </w:r>
    </w:p>
    <w:p w14:paraId="658A6D7B" w14:textId="77777777" w:rsidR="00EC6BDC" w:rsidRPr="004A1244" w:rsidRDefault="00EC6BDC" w:rsidP="00DB4D50">
      <w:pPr>
        <w:pStyle w:val="Pargrafdellista"/>
        <w:numPr>
          <w:ilvl w:val="0"/>
          <w:numId w:val="1"/>
        </w:numPr>
        <w:spacing w:line="240" w:lineRule="auto"/>
        <w:jc w:val="both"/>
        <w:rPr>
          <w:i/>
          <w:iCs/>
          <w:color w:val="767171" w:themeColor="background2" w:themeShade="80"/>
          <w:lang w:val="es-ES"/>
        </w:rPr>
      </w:pPr>
      <w:r w:rsidRPr="004A1244">
        <w:rPr>
          <w:i/>
          <w:iCs/>
          <w:color w:val="767171" w:themeColor="background2" w:themeShade="80"/>
          <w:lang w:val="es-ES"/>
        </w:rPr>
        <w:t>Horizonte temporal. Es muy importante saber el horizonte temporal de la inversión estimada, ya que así podemos adaptar mejor la inversión y ajustarla al nivel de riesgo requerido.</w:t>
      </w:r>
    </w:p>
    <w:p w14:paraId="3B29116C" w14:textId="0A96E92B" w:rsidR="00EC6BDC" w:rsidRDefault="00EC6BDC" w:rsidP="00DB4D50">
      <w:pPr>
        <w:pStyle w:val="Pargrafdellista"/>
        <w:numPr>
          <w:ilvl w:val="0"/>
          <w:numId w:val="1"/>
        </w:numPr>
        <w:spacing w:line="240" w:lineRule="auto"/>
        <w:jc w:val="both"/>
        <w:rPr>
          <w:i/>
          <w:iCs/>
          <w:color w:val="767171" w:themeColor="background2" w:themeShade="80"/>
          <w:lang w:val="es-ES"/>
        </w:rPr>
      </w:pPr>
      <w:r w:rsidRPr="004A1244">
        <w:rPr>
          <w:i/>
          <w:iCs/>
          <w:color w:val="767171" w:themeColor="background2" w:themeShade="80"/>
          <w:lang w:val="es-ES"/>
        </w:rPr>
        <w:t>Grado de diversificación. Es aconsejable no destinar más de un 20-25% de la inversión total de la cartera en un mismo título.</w:t>
      </w:r>
    </w:p>
    <w:p w14:paraId="38F59C91" w14:textId="77777777" w:rsidR="00DB4D50" w:rsidRDefault="00DB4D50" w:rsidP="00DB4D50">
      <w:pPr>
        <w:spacing w:line="240" w:lineRule="auto"/>
        <w:jc w:val="both"/>
        <w:rPr>
          <w:i/>
          <w:iCs/>
          <w:color w:val="767171" w:themeColor="background2" w:themeShade="80"/>
          <w:lang w:val="es-ES"/>
        </w:rPr>
      </w:pPr>
    </w:p>
    <w:p w14:paraId="653C40C4" w14:textId="77777777" w:rsidR="00DB4D50" w:rsidRPr="00DB4D50" w:rsidRDefault="00DB4D50" w:rsidP="00DB4D50">
      <w:pPr>
        <w:spacing w:line="240" w:lineRule="auto"/>
        <w:jc w:val="both"/>
        <w:rPr>
          <w:i/>
          <w:iCs/>
          <w:color w:val="767171" w:themeColor="background2" w:themeShade="80"/>
          <w:lang w:val="es-ES"/>
        </w:rPr>
      </w:pPr>
    </w:p>
    <w:p w14:paraId="10654968" w14:textId="77777777" w:rsidR="007F6A45" w:rsidRPr="0065273F" w:rsidRDefault="007F6A45" w:rsidP="00DB4D50">
      <w:pPr>
        <w:spacing w:line="240" w:lineRule="auto"/>
        <w:jc w:val="both"/>
        <w:rPr>
          <w:lang w:val="es-ES"/>
        </w:rPr>
      </w:pPr>
      <w:r w:rsidRPr="0065273F">
        <w:rPr>
          <w:lang w:val="es-ES"/>
        </w:rPr>
        <w:lastRenderedPageBreak/>
        <w:t>Considerando una inversión inicial de 100.000€ distribuida uniformemente entre los 5 valores propuestos:</w:t>
      </w:r>
    </w:p>
    <w:p w14:paraId="430EFDA0" w14:textId="77777777" w:rsidR="007F6A45" w:rsidRPr="0065273F" w:rsidRDefault="007F6A45" w:rsidP="00DB4D50">
      <w:pPr>
        <w:spacing w:line="240" w:lineRule="auto"/>
        <w:jc w:val="both"/>
        <w:rPr>
          <w:lang w:val="es-ES"/>
        </w:rPr>
      </w:pPr>
      <w:r w:rsidRPr="0065273F">
        <w:rPr>
          <w:lang w:val="es-ES"/>
        </w:rPr>
        <w:t xml:space="preserve">- </w:t>
      </w:r>
      <w:proofErr w:type="spellStart"/>
      <w:r w:rsidRPr="0065273F">
        <w:rPr>
          <w:lang w:val="es-ES"/>
        </w:rPr>
        <w:t>ArcelorMittal</w:t>
      </w:r>
      <w:proofErr w:type="spellEnd"/>
      <w:r w:rsidRPr="0065273F">
        <w:rPr>
          <w:lang w:val="es-ES"/>
        </w:rPr>
        <w:t xml:space="preserve"> (MTS)</w:t>
      </w:r>
    </w:p>
    <w:p w14:paraId="3124B9E5" w14:textId="77777777" w:rsidR="007F6A45" w:rsidRPr="0065273F" w:rsidRDefault="007F6A45" w:rsidP="00DB4D50">
      <w:pPr>
        <w:spacing w:line="240" w:lineRule="auto"/>
        <w:jc w:val="both"/>
        <w:rPr>
          <w:lang w:val="es-ES"/>
        </w:rPr>
      </w:pPr>
      <w:r w:rsidRPr="0065273F">
        <w:rPr>
          <w:lang w:val="es-ES"/>
        </w:rPr>
        <w:t>- Acerinox (ACX)</w:t>
      </w:r>
    </w:p>
    <w:p w14:paraId="68FC46B4" w14:textId="77777777" w:rsidR="007F6A45" w:rsidRPr="0065273F" w:rsidRDefault="007F6A45" w:rsidP="00DB4D50">
      <w:pPr>
        <w:spacing w:line="240" w:lineRule="auto"/>
        <w:jc w:val="both"/>
        <w:rPr>
          <w:lang w:val="es-ES"/>
        </w:rPr>
      </w:pPr>
      <w:r w:rsidRPr="0065273F">
        <w:rPr>
          <w:lang w:val="es-ES"/>
        </w:rPr>
        <w:t xml:space="preserve">- Meliá </w:t>
      </w:r>
      <w:proofErr w:type="spellStart"/>
      <w:r w:rsidRPr="0065273F">
        <w:rPr>
          <w:lang w:val="es-ES"/>
        </w:rPr>
        <w:t>Hotels</w:t>
      </w:r>
      <w:proofErr w:type="spellEnd"/>
      <w:r w:rsidRPr="0065273F">
        <w:rPr>
          <w:lang w:val="es-ES"/>
        </w:rPr>
        <w:t xml:space="preserve"> (MEL) </w:t>
      </w:r>
    </w:p>
    <w:p w14:paraId="3131504B" w14:textId="77777777" w:rsidR="007F6A45" w:rsidRPr="0065273F" w:rsidRDefault="007F6A45" w:rsidP="00DB4D50">
      <w:pPr>
        <w:spacing w:line="240" w:lineRule="auto"/>
        <w:jc w:val="both"/>
        <w:rPr>
          <w:lang w:val="es-ES"/>
        </w:rPr>
      </w:pPr>
      <w:r w:rsidRPr="0065273F">
        <w:rPr>
          <w:lang w:val="es-ES"/>
        </w:rPr>
        <w:t>- Siemens Gamesa (SGRE)</w:t>
      </w:r>
    </w:p>
    <w:p w14:paraId="1C89E1A6" w14:textId="77777777" w:rsidR="00DB4D50" w:rsidRDefault="007F6A45" w:rsidP="00DB4D50">
      <w:pPr>
        <w:spacing w:line="240" w:lineRule="auto"/>
        <w:jc w:val="both"/>
        <w:rPr>
          <w:lang w:val="es-ES"/>
        </w:rPr>
      </w:pPr>
      <w:r w:rsidRPr="0065273F">
        <w:rPr>
          <w:lang w:val="es-ES"/>
        </w:rPr>
        <w:t>- IAG (ICAG)</w:t>
      </w:r>
    </w:p>
    <w:p w14:paraId="65A59282" w14:textId="26C98897" w:rsidR="007F6A45" w:rsidRPr="0065273F" w:rsidRDefault="00731826" w:rsidP="00DB4D50">
      <w:pPr>
        <w:spacing w:line="240" w:lineRule="auto"/>
        <w:jc w:val="both"/>
        <w:rPr>
          <w:lang w:val="es-ES"/>
        </w:rPr>
      </w:pPr>
      <w:r>
        <w:rPr>
          <w:lang w:val="es-ES"/>
        </w:rPr>
        <w:t xml:space="preserve">Dando que </w:t>
      </w:r>
      <w:r w:rsidR="007F6A45" w:rsidRPr="0065273F">
        <w:rPr>
          <w:lang w:val="es-ES"/>
        </w:rPr>
        <w:t>el IBEX 35 aumenta un 36% en 10 años:</w:t>
      </w:r>
    </w:p>
    <w:p w14:paraId="3D4134D2" w14:textId="77777777" w:rsidR="007F6A45" w:rsidRPr="0065273F" w:rsidRDefault="007F6A45" w:rsidP="00DB4D50">
      <w:pPr>
        <w:spacing w:line="240" w:lineRule="auto"/>
        <w:jc w:val="both"/>
        <w:rPr>
          <w:lang w:val="es-ES"/>
        </w:rPr>
      </w:pPr>
      <w:r w:rsidRPr="0065273F">
        <w:rPr>
          <w:lang w:val="es-ES"/>
        </w:rPr>
        <w:t>Valor inicial de la cartera: 100.000€</w:t>
      </w:r>
    </w:p>
    <w:p w14:paraId="6081FFE4" w14:textId="77777777" w:rsidR="007F6A45" w:rsidRPr="0065273F" w:rsidRDefault="007F6A45" w:rsidP="00DB4D50">
      <w:pPr>
        <w:spacing w:line="240" w:lineRule="auto"/>
        <w:jc w:val="both"/>
        <w:rPr>
          <w:lang w:val="es-ES"/>
        </w:rPr>
      </w:pPr>
      <w:r w:rsidRPr="0065273F">
        <w:rPr>
          <w:lang w:val="es-ES"/>
        </w:rPr>
        <w:t>- Valor final = Valor inicial x (1 + Rendimiento IBEX 35)</w:t>
      </w:r>
    </w:p>
    <w:p w14:paraId="7642C20A" w14:textId="77777777" w:rsidR="007F6A45" w:rsidRPr="0065273F" w:rsidRDefault="007F6A45" w:rsidP="00DB4D50">
      <w:pPr>
        <w:spacing w:line="240" w:lineRule="auto"/>
        <w:jc w:val="both"/>
        <w:rPr>
          <w:lang w:val="es-ES"/>
        </w:rPr>
      </w:pPr>
      <w:r w:rsidRPr="0065273F">
        <w:rPr>
          <w:lang w:val="es-ES"/>
        </w:rPr>
        <w:t>- Valor final = 100.000€ x (1 + 0,36) = 136.000€</w:t>
      </w:r>
    </w:p>
    <w:p w14:paraId="7F7D6C66" w14:textId="5F43D441" w:rsidR="007F6A45" w:rsidRPr="0065273F" w:rsidRDefault="007F6A45" w:rsidP="00DB4D50">
      <w:pPr>
        <w:spacing w:line="240" w:lineRule="auto"/>
        <w:jc w:val="both"/>
        <w:rPr>
          <w:lang w:val="es-ES"/>
        </w:rPr>
      </w:pPr>
      <w:r w:rsidRPr="0065273F">
        <w:rPr>
          <w:lang w:val="es-ES"/>
        </w:rPr>
        <w:t xml:space="preserve">Dado </w:t>
      </w:r>
      <w:r w:rsidR="00731826">
        <w:rPr>
          <w:lang w:val="es-ES"/>
        </w:rPr>
        <w:t>que nue</w:t>
      </w:r>
      <w:r w:rsidR="0072421A">
        <w:rPr>
          <w:lang w:val="es-ES"/>
        </w:rPr>
        <w:t>s</w:t>
      </w:r>
      <w:r w:rsidR="00731826">
        <w:rPr>
          <w:lang w:val="es-ES"/>
        </w:rPr>
        <w:t xml:space="preserve">tros </w:t>
      </w:r>
      <w:r w:rsidR="00DB4D50">
        <w:rPr>
          <w:lang w:val="es-ES"/>
        </w:rPr>
        <w:t xml:space="preserve">valores </w:t>
      </w:r>
      <w:r w:rsidR="00DB4D50" w:rsidRPr="0065273F">
        <w:rPr>
          <w:lang w:val="es-ES"/>
        </w:rPr>
        <w:t>tienen</w:t>
      </w:r>
      <w:r w:rsidRPr="0065273F">
        <w:rPr>
          <w:lang w:val="es-ES"/>
        </w:rPr>
        <w:t xml:space="preserve"> un perfil más agresivo con un beta &gt; 1, podemos estimar que su rendimiento en 10 años ser</w:t>
      </w:r>
      <w:r w:rsidR="0072421A">
        <w:rPr>
          <w:lang w:val="es-ES"/>
        </w:rPr>
        <w:t>á</w:t>
      </w:r>
      <w:r w:rsidRPr="0065273F">
        <w:rPr>
          <w:lang w:val="es-ES"/>
        </w:rPr>
        <w:t xml:space="preserve"> superior al 36% del IBEX 35.</w:t>
      </w:r>
      <w:r w:rsidR="00731826">
        <w:rPr>
          <w:lang w:val="es-ES"/>
        </w:rPr>
        <w:t xml:space="preserve"> Vamos a suponer que tiene una media de un beta =1,2</w:t>
      </w:r>
    </w:p>
    <w:p w14:paraId="3446B97D" w14:textId="77777777" w:rsidR="007F6A45" w:rsidRPr="0065273F" w:rsidRDefault="007F6A45" w:rsidP="00DB4D50">
      <w:pPr>
        <w:spacing w:line="240" w:lineRule="auto"/>
        <w:jc w:val="both"/>
        <w:rPr>
          <w:lang w:val="es-ES"/>
        </w:rPr>
      </w:pPr>
      <w:r w:rsidRPr="0065273F">
        <w:rPr>
          <w:lang w:val="es-ES"/>
        </w:rPr>
        <w:t>Valor inicial de la cartera: 100.000€</w:t>
      </w:r>
    </w:p>
    <w:p w14:paraId="1846B499" w14:textId="15D49D2B" w:rsidR="007F6A45" w:rsidRPr="0065273F" w:rsidRDefault="007F6A45" w:rsidP="00DB4D50">
      <w:pPr>
        <w:spacing w:line="240" w:lineRule="auto"/>
        <w:jc w:val="both"/>
        <w:rPr>
          <w:lang w:val="es-ES"/>
        </w:rPr>
      </w:pPr>
      <w:r w:rsidRPr="0065273F">
        <w:rPr>
          <w:lang w:val="es-ES"/>
        </w:rPr>
        <w:t>Rendimiento estimado de la: 36% x 1,2 = 43,2%</w:t>
      </w:r>
    </w:p>
    <w:p w14:paraId="6B8B104B" w14:textId="77777777" w:rsidR="007F6A45" w:rsidRPr="00731826" w:rsidRDefault="007F6A45" w:rsidP="00DB4D50">
      <w:pPr>
        <w:spacing w:line="240" w:lineRule="auto"/>
        <w:jc w:val="both"/>
        <w:rPr>
          <w:b/>
          <w:bCs/>
          <w:u w:val="single"/>
          <w:lang w:val="es-ES"/>
        </w:rPr>
      </w:pPr>
      <w:r w:rsidRPr="00731826">
        <w:rPr>
          <w:b/>
          <w:bCs/>
          <w:u w:val="single"/>
          <w:lang w:val="es-ES"/>
        </w:rPr>
        <w:t xml:space="preserve">Valor final de la cartera a los 10 años: </w:t>
      </w:r>
    </w:p>
    <w:p w14:paraId="50FD0EB9" w14:textId="77777777" w:rsidR="007F6A45" w:rsidRPr="0065273F" w:rsidRDefault="007F6A45" w:rsidP="00DB4D50">
      <w:pPr>
        <w:spacing w:line="240" w:lineRule="auto"/>
        <w:jc w:val="both"/>
        <w:rPr>
          <w:lang w:val="es-ES"/>
        </w:rPr>
      </w:pPr>
      <w:r w:rsidRPr="0065273F">
        <w:rPr>
          <w:lang w:val="es-ES"/>
        </w:rPr>
        <w:t>100.000€ x (1 + 0,432) = 143.200€</w:t>
      </w:r>
    </w:p>
    <w:p w14:paraId="59EC0B4F" w14:textId="6BF70E33" w:rsidR="007F6A45" w:rsidRPr="0065273F" w:rsidRDefault="00731826" w:rsidP="00DB4D50">
      <w:pPr>
        <w:spacing w:line="240" w:lineRule="auto"/>
        <w:jc w:val="both"/>
        <w:rPr>
          <w:lang w:val="es-ES"/>
        </w:rPr>
      </w:pPr>
      <w:r>
        <w:rPr>
          <w:lang w:val="es-ES"/>
        </w:rPr>
        <w:t>Conclusión</w:t>
      </w:r>
      <w:r w:rsidR="007F6A45" w:rsidRPr="0065273F">
        <w:rPr>
          <w:lang w:val="es-ES"/>
        </w:rPr>
        <w:t>, si la cartera de 5 valores agresivos del IBEX 35 se comporta un 20% mejor que el índice, el valor final de la cartera de 100.000€ después de 10 años ser</w:t>
      </w:r>
      <w:r w:rsidR="00CD5D9B">
        <w:rPr>
          <w:lang w:val="es-ES"/>
        </w:rPr>
        <w:t>á a</w:t>
      </w:r>
      <w:r w:rsidR="007F6A45" w:rsidRPr="0065273F">
        <w:rPr>
          <w:lang w:val="es-ES"/>
        </w:rPr>
        <w:t>proximadamente 143.200€.</w:t>
      </w:r>
    </w:p>
    <w:p w14:paraId="531A62AA" w14:textId="77777777" w:rsidR="007F6A45" w:rsidRPr="0065273F" w:rsidRDefault="007F6A45" w:rsidP="00DB4D50">
      <w:pPr>
        <w:spacing w:line="240" w:lineRule="auto"/>
        <w:jc w:val="both"/>
        <w:rPr>
          <w:lang w:val="es-ES"/>
        </w:rPr>
      </w:pPr>
    </w:p>
    <w:p w14:paraId="59666797" w14:textId="77777777" w:rsidR="00AF2076" w:rsidRPr="0065273F" w:rsidRDefault="00AF2076" w:rsidP="00DB4D50">
      <w:pPr>
        <w:spacing w:line="240" w:lineRule="auto"/>
        <w:jc w:val="both"/>
        <w:rPr>
          <w:b/>
          <w:bCs/>
          <w:lang w:val="es-ES"/>
        </w:rPr>
      </w:pPr>
      <w:r w:rsidRPr="0065273F">
        <w:rPr>
          <w:b/>
          <w:bCs/>
          <w:lang w:val="es-ES"/>
        </w:rPr>
        <w:t xml:space="preserve">Fase 2. Métodos de predicción bursátil. Con la actividad de la clase 2 y el </w:t>
      </w:r>
      <w:proofErr w:type="spellStart"/>
      <w:r w:rsidRPr="0065273F">
        <w:rPr>
          <w:b/>
          <w:bCs/>
          <w:lang w:val="es-ES"/>
        </w:rPr>
        <w:t>feedback</w:t>
      </w:r>
      <w:proofErr w:type="spellEnd"/>
      <w:r w:rsidRPr="0065273F">
        <w:rPr>
          <w:b/>
          <w:bCs/>
          <w:lang w:val="es-ES"/>
        </w:rPr>
        <w:t xml:space="preserve"> obtenido, tendrás las claves para poder realizar esta fase del proyecto.</w:t>
      </w:r>
    </w:p>
    <w:p w14:paraId="6105BEE9" w14:textId="77777777" w:rsidR="00AF2076" w:rsidRPr="0032272A" w:rsidRDefault="00AF2076" w:rsidP="00DB4D50">
      <w:pPr>
        <w:spacing w:line="240" w:lineRule="auto"/>
        <w:jc w:val="both"/>
        <w:rPr>
          <w:i/>
          <w:iCs/>
          <w:color w:val="767171" w:themeColor="background2" w:themeShade="80"/>
          <w:lang w:val="es-ES"/>
        </w:rPr>
      </w:pPr>
      <w:r w:rsidRPr="0032272A">
        <w:rPr>
          <w:i/>
          <w:iCs/>
          <w:color w:val="767171" w:themeColor="background2" w:themeShade="80"/>
          <w:lang w:val="es-ES"/>
        </w:rPr>
        <w:t>A partir de los datos trabajados en el sprint de la clase 2, elabora un informe analizando el valor que elegiste en ese sprint (Telefónica o Iberdrola) según el análisis fundamental y técnico.</w:t>
      </w:r>
    </w:p>
    <w:p w14:paraId="6B49C6EA" w14:textId="415691D4" w:rsidR="00AF2076" w:rsidRPr="0032272A" w:rsidRDefault="00AF2076" w:rsidP="00DB4D50">
      <w:pPr>
        <w:spacing w:line="240" w:lineRule="auto"/>
        <w:jc w:val="both"/>
        <w:rPr>
          <w:i/>
          <w:iCs/>
          <w:color w:val="767171" w:themeColor="background2" w:themeShade="80"/>
          <w:lang w:val="es-ES"/>
        </w:rPr>
      </w:pPr>
      <w:r w:rsidRPr="0032272A">
        <w:rPr>
          <w:i/>
          <w:iCs/>
          <w:color w:val="767171" w:themeColor="background2" w:themeShade="80"/>
          <w:lang w:val="es-ES"/>
        </w:rPr>
        <w:t>Estudia la evolución de las variables fundamentales que seleccionaste y juntamente con los datos del análisis técnico (soportes, resistencias, tendencias) intenta dar una opinión fundamentada sobre si hay oportunidad de compra o no argumentando las razones.</w:t>
      </w:r>
    </w:p>
    <w:p w14:paraId="6540C594" w14:textId="10A7B702" w:rsidR="000A453A" w:rsidRDefault="000A453A" w:rsidP="00DB4D50">
      <w:pPr>
        <w:spacing w:line="240" w:lineRule="auto"/>
        <w:jc w:val="both"/>
        <w:rPr>
          <w:b/>
          <w:bCs/>
          <w:u w:val="single"/>
          <w:lang w:val="es-ES"/>
        </w:rPr>
      </w:pPr>
      <w:r w:rsidRPr="0032272A">
        <w:rPr>
          <w:b/>
          <w:bCs/>
          <w:u w:val="single"/>
          <w:lang w:val="es-ES"/>
        </w:rPr>
        <w:t>Vamos elegir valores de Telefónica</w:t>
      </w:r>
    </w:p>
    <w:p w14:paraId="45422F13" w14:textId="4C90E562" w:rsidR="0032272A" w:rsidRPr="00DB4D50" w:rsidRDefault="0032272A" w:rsidP="00DB4D50">
      <w:pPr>
        <w:spacing w:line="240" w:lineRule="auto"/>
        <w:jc w:val="both"/>
        <w:rPr>
          <w:lang w:val="es-ES"/>
        </w:rPr>
      </w:pPr>
      <w:r w:rsidRPr="00DB4D50">
        <w:rPr>
          <w:lang w:val="es-ES"/>
        </w:rPr>
        <w:t xml:space="preserve">Para la búsqueda de información </w:t>
      </w:r>
      <w:r w:rsidR="00DB4D50" w:rsidRPr="00DB4D50">
        <w:rPr>
          <w:lang w:val="es-ES"/>
        </w:rPr>
        <w:t>adjunto webgrafía:</w:t>
      </w:r>
    </w:p>
    <w:p w14:paraId="74AABE77" w14:textId="736695F6" w:rsidR="000A0A48" w:rsidRPr="00BC6B89" w:rsidRDefault="000A0A48" w:rsidP="00DB4D50">
      <w:pPr>
        <w:spacing w:line="240" w:lineRule="auto"/>
        <w:jc w:val="both"/>
        <w:rPr>
          <w:i/>
          <w:iCs/>
          <w:lang w:val="es-ES"/>
        </w:rPr>
      </w:pPr>
      <w:hyperlink r:id="rId5" w:history="1">
        <w:r w:rsidRPr="00BC6B89">
          <w:rPr>
            <w:rStyle w:val="Enlla"/>
            <w:i/>
            <w:iCs/>
            <w:lang w:val="es-ES"/>
          </w:rPr>
          <w:t>https://www.telefonica.com/es/accionistas-inversores/informacion-financiera/informe-anual/</w:t>
        </w:r>
      </w:hyperlink>
    </w:p>
    <w:p w14:paraId="07EF6293" w14:textId="66AAE552" w:rsidR="00BC6B89" w:rsidRDefault="00BC6B89" w:rsidP="00DB4D50">
      <w:pPr>
        <w:spacing w:line="240" w:lineRule="auto"/>
        <w:jc w:val="both"/>
        <w:rPr>
          <w:i/>
          <w:iCs/>
          <w:lang w:val="es-ES"/>
        </w:rPr>
      </w:pPr>
      <w:hyperlink r:id="rId6" w:history="1">
        <w:r w:rsidRPr="00BC6B89">
          <w:rPr>
            <w:rStyle w:val="Enlla"/>
            <w:i/>
            <w:iCs/>
            <w:lang w:val="es-ES"/>
          </w:rPr>
          <w:t>https://www.expansion.com/mercados/bolsa/recomendaciones/analisis-fundamental/t/telefonica_M.TEF.html</w:t>
        </w:r>
      </w:hyperlink>
    </w:p>
    <w:p w14:paraId="29719745" w14:textId="08943CD9" w:rsidR="00EE2690" w:rsidRDefault="00EE2690" w:rsidP="00DB4D50">
      <w:pPr>
        <w:spacing w:line="240" w:lineRule="auto"/>
        <w:jc w:val="both"/>
        <w:rPr>
          <w:i/>
          <w:iCs/>
          <w:lang w:val="es-ES"/>
        </w:rPr>
      </w:pPr>
      <w:hyperlink r:id="rId7" w:history="1">
        <w:r w:rsidRPr="00C43708">
          <w:rPr>
            <w:rStyle w:val="Enlla"/>
            <w:i/>
            <w:iCs/>
            <w:lang w:val="es-ES"/>
          </w:rPr>
          <w:t>https://es.investing.com/equities/telefonica-ratios</w:t>
        </w:r>
      </w:hyperlink>
    </w:p>
    <w:p w14:paraId="69F92766" w14:textId="24E3D78A" w:rsidR="006E4C9F" w:rsidRDefault="006E4C9F" w:rsidP="00DB4D50">
      <w:pPr>
        <w:spacing w:line="240" w:lineRule="auto"/>
        <w:jc w:val="both"/>
        <w:rPr>
          <w:i/>
          <w:iCs/>
          <w:lang w:val="es-ES"/>
        </w:rPr>
      </w:pPr>
      <w:hyperlink r:id="rId8" w:history="1">
        <w:r w:rsidRPr="00C43708">
          <w:rPr>
            <w:rStyle w:val="Enlla"/>
            <w:i/>
            <w:iCs/>
            <w:lang w:val="es-ES"/>
          </w:rPr>
          <w:t>https://es.tradingview.com/chart/l2Yfxeeu/?symbol=TVC%3AIBEX35</w:t>
        </w:r>
      </w:hyperlink>
    </w:p>
    <w:p w14:paraId="53F0550A" w14:textId="77777777" w:rsidR="004709D7" w:rsidRDefault="004709D7" w:rsidP="00DB4D50">
      <w:pPr>
        <w:spacing w:line="240" w:lineRule="auto"/>
        <w:jc w:val="both"/>
        <w:rPr>
          <w:i/>
          <w:iCs/>
          <w:lang w:val="es-ES"/>
        </w:rPr>
      </w:pPr>
    </w:p>
    <w:p w14:paraId="00E89935" w14:textId="77777777" w:rsidR="000A453A" w:rsidRPr="004136D1" w:rsidRDefault="000A453A" w:rsidP="00DB4D50">
      <w:pPr>
        <w:spacing w:line="240" w:lineRule="auto"/>
        <w:jc w:val="both"/>
        <w:rPr>
          <w:lang w:val="es-ES"/>
        </w:rPr>
      </w:pPr>
      <w:r w:rsidRPr="004136D1">
        <w:rPr>
          <w:lang w:val="es-ES"/>
        </w:rPr>
        <w:t xml:space="preserve">Para realizar un análisis fundamental de Telefónica, </w:t>
      </w:r>
      <w:r>
        <w:rPr>
          <w:lang w:val="es-ES"/>
        </w:rPr>
        <w:t>C</w:t>
      </w:r>
      <w:r w:rsidRPr="004136D1">
        <w:rPr>
          <w:lang w:val="es-ES"/>
        </w:rPr>
        <w:t>onsiderar</w:t>
      </w:r>
      <w:r>
        <w:rPr>
          <w:lang w:val="es-ES"/>
        </w:rPr>
        <w:t>íamos los</w:t>
      </w:r>
      <w:r w:rsidRPr="004136D1">
        <w:rPr>
          <w:lang w:val="es-ES"/>
        </w:rPr>
        <w:t xml:space="preserve"> ratios financieros que proporcionarían información clave sobre la salud financiera y el rendimiento de la empresa. </w:t>
      </w:r>
      <w:r>
        <w:rPr>
          <w:lang w:val="es-ES"/>
        </w:rPr>
        <w:t>Como podrían ser:</w:t>
      </w:r>
    </w:p>
    <w:p w14:paraId="764A42F1" w14:textId="768AD4E2" w:rsidR="000A453A" w:rsidRDefault="000A453A" w:rsidP="00DB4D50">
      <w:pPr>
        <w:pStyle w:val="Pargrafdellista"/>
        <w:numPr>
          <w:ilvl w:val="0"/>
          <w:numId w:val="3"/>
        </w:numPr>
        <w:spacing w:line="240" w:lineRule="auto"/>
        <w:jc w:val="both"/>
        <w:rPr>
          <w:lang w:val="es-ES"/>
        </w:rPr>
      </w:pPr>
      <w:r w:rsidRPr="00A33AD7">
        <w:rPr>
          <w:b/>
          <w:bCs/>
          <w:u w:val="single"/>
          <w:lang w:val="es-ES"/>
        </w:rPr>
        <w:t>PER</w:t>
      </w:r>
      <w:r w:rsidRPr="00A33AD7">
        <w:rPr>
          <w:u w:val="single"/>
          <w:lang w:val="es-ES"/>
        </w:rPr>
        <w:t>:</w:t>
      </w:r>
      <w:r w:rsidRPr="00691605">
        <w:rPr>
          <w:lang w:val="es-ES"/>
        </w:rPr>
        <w:t xml:space="preserve"> Este ratio compara el precio actual de las acciones de Telefónica con sus ganancias por acción, lo que puede ayudar a evaluar si las acciones están sobrevaloradas o subvaloradas en el mercado. Para saber si el precio que vamos a pagar es correcto o </w:t>
      </w:r>
      <w:proofErr w:type="spellStart"/>
      <w:r w:rsidRPr="00691605">
        <w:rPr>
          <w:lang w:val="es-ES"/>
        </w:rPr>
        <w:t>no.</w:t>
      </w:r>
      <w:r w:rsidR="00FA7885">
        <w:rPr>
          <w:lang w:val="es-ES"/>
        </w:rPr>
        <w:t>ç</w:t>
      </w:r>
      <w:proofErr w:type="spellEnd"/>
    </w:p>
    <w:p w14:paraId="2E3D8577" w14:textId="77777777" w:rsidR="00FA7885" w:rsidRDefault="00FA7885" w:rsidP="00DB4D50">
      <w:pPr>
        <w:pStyle w:val="Pargrafdellista"/>
        <w:spacing w:line="240" w:lineRule="auto"/>
        <w:jc w:val="both"/>
        <w:rPr>
          <w:lang w:val="es-ES"/>
        </w:rPr>
      </w:pPr>
    </w:p>
    <w:p w14:paraId="3B3A097D" w14:textId="40C705FD" w:rsidR="00FA7885" w:rsidRDefault="00FA7885" w:rsidP="00DB4D50">
      <w:pPr>
        <w:pStyle w:val="Pargrafdellista"/>
        <w:spacing w:line="240" w:lineRule="auto"/>
        <w:jc w:val="both"/>
        <w:rPr>
          <w:lang w:val="es-ES"/>
        </w:rPr>
      </w:pPr>
      <w:r w:rsidRPr="00FA7885">
        <w:rPr>
          <w:lang w:val="es-ES"/>
        </w:rPr>
        <w:t>PER = Precio de la Acción / Ganancias por Acción</w:t>
      </w:r>
    </w:p>
    <w:p w14:paraId="02EA2552" w14:textId="51F43272" w:rsidR="005F3BA8" w:rsidRPr="00FA7885" w:rsidRDefault="005F3BA8" w:rsidP="00DB4D50">
      <w:pPr>
        <w:pStyle w:val="Pargrafdellista"/>
        <w:spacing w:line="240" w:lineRule="auto"/>
        <w:jc w:val="both"/>
        <w:rPr>
          <w:lang w:val="es-ES"/>
        </w:rPr>
      </w:pPr>
    </w:p>
    <w:tbl>
      <w:tblPr>
        <w:tblW w:w="5000" w:type="pct"/>
        <w:shd w:val="clear" w:color="auto" w:fill="FFF1E0"/>
        <w:tblCellMar>
          <w:left w:w="0" w:type="dxa"/>
          <w:right w:w="0" w:type="dxa"/>
        </w:tblCellMar>
        <w:tblLook w:val="04A0" w:firstRow="1" w:lastRow="0" w:firstColumn="1" w:lastColumn="0" w:noHBand="0" w:noVBand="1"/>
      </w:tblPr>
      <w:tblGrid>
        <w:gridCol w:w="1400"/>
        <w:gridCol w:w="1586"/>
        <w:gridCol w:w="1598"/>
        <w:gridCol w:w="1295"/>
        <w:gridCol w:w="1400"/>
        <w:gridCol w:w="1225"/>
      </w:tblGrid>
      <w:tr w:rsidR="005F3BA8" w:rsidRPr="005F3BA8" w14:paraId="28498883" w14:textId="77777777" w:rsidTr="005F3BA8">
        <w:trPr>
          <w:tblHeader/>
        </w:trPr>
        <w:tc>
          <w:tcPr>
            <w:tcW w:w="0" w:type="auto"/>
            <w:tcBorders>
              <w:top w:val="single" w:sz="6" w:space="0" w:color="D7CEC5"/>
              <w:left w:val="nil"/>
              <w:bottom w:val="single" w:sz="6" w:space="0" w:color="D7CEC5"/>
              <w:right w:val="nil"/>
            </w:tcBorders>
            <w:shd w:val="clear" w:color="auto" w:fill="FFFCF7"/>
            <w:tcMar>
              <w:top w:w="150" w:type="dxa"/>
              <w:left w:w="75" w:type="dxa"/>
              <w:bottom w:w="150" w:type="dxa"/>
              <w:right w:w="75" w:type="dxa"/>
            </w:tcMar>
            <w:vAlign w:val="center"/>
            <w:hideMark/>
          </w:tcPr>
          <w:p w14:paraId="6BA66918"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proofErr w:type="spellStart"/>
            <w:r w:rsidRPr="005F3BA8">
              <w:rPr>
                <w:rFonts w:ascii="Fira Sans Condensed" w:eastAsia="Times New Roman" w:hAnsi="Fira Sans Condensed" w:cs="Times New Roman"/>
                <w:color w:val="181715"/>
                <w:kern w:val="0"/>
                <w:sz w:val="24"/>
                <w:szCs w:val="24"/>
                <w:lang w:eastAsia="ca-ES"/>
                <w14:ligatures w14:val="none"/>
              </w:rPr>
              <w:t>Ratio</w:t>
            </w:r>
            <w:proofErr w:type="spellEnd"/>
          </w:p>
        </w:tc>
        <w:tc>
          <w:tcPr>
            <w:tcW w:w="0" w:type="auto"/>
            <w:tcBorders>
              <w:top w:val="single" w:sz="6" w:space="0" w:color="D7CEC5"/>
              <w:left w:val="nil"/>
              <w:bottom w:val="single" w:sz="6" w:space="0" w:color="D7CEC5"/>
              <w:right w:val="nil"/>
            </w:tcBorders>
            <w:shd w:val="clear" w:color="auto" w:fill="FFFCF7"/>
            <w:tcMar>
              <w:top w:w="150" w:type="dxa"/>
              <w:left w:w="75" w:type="dxa"/>
              <w:bottom w:w="150" w:type="dxa"/>
              <w:right w:w="75" w:type="dxa"/>
            </w:tcMar>
            <w:vAlign w:val="center"/>
            <w:hideMark/>
          </w:tcPr>
          <w:p w14:paraId="6A1AA14C"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2025 *</w:t>
            </w:r>
          </w:p>
        </w:tc>
        <w:tc>
          <w:tcPr>
            <w:tcW w:w="0" w:type="auto"/>
            <w:tcBorders>
              <w:top w:val="single" w:sz="6" w:space="0" w:color="D7CEC5"/>
              <w:left w:val="nil"/>
              <w:bottom w:val="single" w:sz="6" w:space="0" w:color="D7CEC5"/>
              <w:right w:val="nil"/>
            </w:tcBorders>
            <w:shd w:val="clear" w:color="auto" w:fill="FFFCF7"/>
            <w:tcMar>
              <w:top w:w="150" w:type="dxa"/>
              <w:left w:w="75" w:type="dxa"/>
              <w:bottom w:w="150" w:type="dxa"/>
              <w:right w:w="75" w:type="dxa"/>
            </w:tcMar>
            <w:vAlign w:val="center"/>
            <w:hideMark/>
          </w:tcPr>
          <w:p w14:paraId="1AAAE0D0"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2024 *</w:t>
            </w:r>
          </w:p>
        </w:tc>
        <w:tc>
          <w:tcPr>
            <w:tcW w:w="0" w:type="auto"/>
            <w:tcBorders>
              <w:top w:val="single" w:sz="6" w:space="0" w:color="D7CEC5"/>
              <w:left w:val="nil"/>
              <w:bottom w:val="single" w:sz="6" w:space="0" w:color="D7CEC5"/>
              <w:right w:val="nil"/>
            </w:tcBorders>
            <w:shd w:val="clear" w:color="auto" w:fill="FFFCF7"/>
            <w:tcMar>
              <w:top w:w="150" w:type="dxa"/>
              <w:left w:w="75" w:type="dxa"/>
              <w:bottom w:w="150" w:type="dxa"/>
              <w:right w:w="75" w:type="dxa"/>
            </w:tcMar>
            <w:vAlign w:val="center"/>
            <w:hideMark/>
          </w:tcPr>
          <w:p w14:paraId="287F5D3C"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2023</w:t>
            </w:r>
          </w:p>
        </w:tc>
        <w:tc>
          <w:tcPr>
            <w:tcW w:w="0" w:type="auto"/>
            <w:tcBorders>
              <w:top w:val="single" w:sz="6" w:space="0" w:color="D7CEC5"/>
              <w:left w:val="nil"/>
              <w:bottom w:val="single" w:sz="6" w:space="0" w:color="D7CEC5"/>
              <w:right w:val="nil"/>
            </w:tcBorders>
            <w:shd w:val="clear" w:color="auto" w:fill="FFFCF7"/>
            <w:tcMar>
              <w:top w:w="150" w:type="dxa"/>
              <w:left w:w="75" w:type="dxa"/>
              <w:bottom w:w="150" w:type="dxa"/>
              <w:right w:w="75" w:type="dxa"/>
            </w:tcMar>
            <w:vAlign w:val="center"/>
            <w:hideMark/>
          </w:tcPr>
          <w:p w14:paraId="3928A030"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2022</w:t>
            </w:r>
          </w:p>
        </w:tc>
        <w:tc>
          <w:tcPr>
            <w:tcW w:w="0" w:type="auto"/>
            <w:tcBorders>
              <w:top w:val="single" w:sz="6" w:space="0" w:color="D7CEC5"/>
              <w:left w:val="nil"/>
              <w:bottom w:val="single" w:sz="6" w:space="0" w:color="D7CEC5"/>
              <w:right w:val="nil"/>
            </w:tcBorders>
            <w:shd w:val="clear" w:color="auto" w:fill="auto"/>
            <w:tcMar>
              <w:top w:w="150" w:type="dxa"/>
              <w:left w:w="75" w:type="dxa"/>
              <w:bottom w:w="150" w:type="dxa"/>
              <w:right w:w="75" w:type="dxa"/>
            </w:tcMar>
            <w:vAlign w:val="center"/>
            <w:hideMark/>
          </w:tcPr>
          <w:p w14:paraId="66961FA9"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2021</w:t>
            </w:r>
          </w:p>
        </w:tc>
      </w:tr>
      <w:tr w:rsidR="005F3BA8" w:rsidRPr="005F3BA8" w14:paraId="79B62B4D" w14:textId="77777777" w:rsidTr="005F3BA8">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2806D592" w14:textId="77777777" w:rsidR="005F3BA8" w:rsidRPr="005F3BA8" w:rsidRDefault="005F3BA8" w:rsidP="00DB4D50">
            <w:pPr>
              <w:spacing w:after="0" w:line="240" w:lineRule="auto"/>
              <w:jc w:val="both"/>
              <w:rPr>
                <w:rFonts w:ascii="Fira Sans Condensed" w:eastAsia="Times New Roman" w:hAnsi="Fira Sans Condensed" w:cs="Times New Roman"/>
                <w:b/>
                <w:bCs/>
                <w:caps/>
                <w:color w:val="181715"/>
                <w:kern w:val="0"/>
                <w:sz w:val="24"/>
                <w:szCs w:val="24"/>
                <w:lang w:eastAsia="ca-ES"/>
                <w14:ligatures w14:val="none"/>
              </w:rPr>
            </w:pPr>
            <w:r w:rsidRPr="005F3BA8">
              <w:rPr>
                <w:rFonts w:ascii="Fira Sans Condensed" w:eastAsia="Times New Roman" w:hAnsi="Fira Sans Condensed" w:cs="Times New Roman"/>
                <w:b/>
                <w:bCs/>
                <w:caps/>
                <w:color w:val="181715"/>
                <w:kern w:val="0"/>
                <w:sz w:val="24"/>
                <w:szCs w:val="24"/>
                <w:lang w:eastAsia="ca-ES"/>
                <w14:ligatures w14:val="none"/>
              </w:rPr>
              <w:t>PER</w:t>
            </w:r>
          </w:p>
        </w:tc>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293BFC8F"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11,76</w:t>
            </w:r>
          </w:p>
        </w:tc>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7D54CE77"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12,68</w:t>
            </w:r>
          </w:p>
        </w:tc>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3981A73D"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12,23</w:t>
            </w:r>
          </w:p>
        </w:tc>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3DF99A50"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10,80</w:t>
            </w:r>
          </w:p>
        </w:tc>
        <w:tc>
          <w:tcPr>
            <w:tcW w:w="0" w:type="auto"/>
            <w:tcBorders>
              <w:top w:val="nil"/>
              <w:left w:val="nil"/>
              <w:bottom w:val="single" w:sz="6" w:space="0" w:color="D7CEC5"/>
              <w:right w:val="nil"/>
            </w:tcBorders>
            <w:shd w:val="clear" w:color="auto" w:fill="F9DE84"/>
            <w:tcMar>
              <w:top w:w="150" w:type="dxa"/>
              <w:left w:w="75" w:type="dxa"/>
              <w:bottom w:w="150" w:type="dxa"/>
              <w:right w:w="75" w:type="dxa"/>
            </w:tcMar>
            <w:vAlign w:val="center"/>
            <w:hideMark/>
          </w:tcPr>
          <w:p w14:paraId="2BA1D005"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8,05</w:t>
            </w:r>
          </w:p>
        </w:tc>
      </w:tr>
    </w:tbl>
    <w:p w14:paraId="248F84F4" w14:textId="53B93319" w:rsidR="00230061" w:rsidRPr="00FA7885" w:rsidRDefault="00230061" w:rsidP="00DB4D50">
      <w:pPr>
        <w:pStyle w:val="Pargrafdellista"/>
        <w:spacing w:line="240" w:lineRule="auto"/>
        <w:jc w:val="both"/>
        <w:rPr>
          <w:lang w:val="es-ES"/>
        </w:rPr>
      </w:pPr>
    </w:p>
    <w:p w14:paraId="3814DBDD" w14:textId="77777777" w:rsidR="000A453A" w:rsidRDefault="000A453A" w:rsidP="00DB4D50">
      <w:pPr>
        <w:pStyle w:val="Pargrafdellista"/>
        <w:numPr>
          <w:ilvl w:val="0"/>
          <w:numId w:val="3"/>
        </w:numPr>
        <w:spacing w:line="240" w:lineRule="auto"/>
        <w:jc w:val="both"/>
        <w:rPr>
          <w:lang w:val="es-ES"/>
        </w:rPr>
      </w:pPr>
      <w:r w:rsidRPr="001416B8">
        <w:rPr>
          <w:b/>
          <w:bCs/>
          <w:u w:val="single"/>
          <w:lang w:val="es-ES"/>
        </w:rPr>
        <w:t>Ratio de Endeudamiento</w:t>
      </w:r>
      <w:r w:rsidRPr="001416B8">
        <w:rPr>
          <w:lang w:val="es-ES"/>
        </w:rPr>
        <w:t>: Este ratio compara la cantidad de deuda de la compañía con su patrimonio neto, lo que puede indicar el nivel de apalancamiento financiero de la empresa y su capacidad para hacer frente a sus obligaciones. Para saber su salud financiera a corto plazo.</w:t>
      </w:r>
    </w:p>
    <w:p w14:paraId="381E2051" w14:textId="1E99DCA4" w:rsidR="001560D3" w:rsidRDefault="001560D3" w:rsidP="00DB4D50">
      <w:pPr>
        <w:spacing w:line="240" w:lineRule="auto"/>
        <w:ind w:left="360"/>
        <w:jc w:val="both"/>
        <w:rPr>
          <w:lang w:val="es-ES"/>
        </w:rPr>
      </w:pPr>
      <w:r>
        <w:rPr>
          <w:lang w:val="es-ES"/>
        </w:rPr>
        <w:t xml:space="preserve">   </w:t>
      </w:r>
      <w:r w:rsidRPr="001560D3">
        <w:rPr>
          <w:lang w:val="es-ES"/>
        </w:rPr>
        <w:t xml:space="preserve">   - Fórmula: Deuda Total / Activos Totales</w:t>
      </w:r>
    </w:p>
    <w:tbl>
      <w:tblPr>
        <w:tblW w:w="9750" w:type="dxa"/>
        <w:tblCellSpacing w:w="0" w:type="dxa"/>
        <w:shd w:val="clear" w:color="auto" w:fill="FFFFFF"/>
        <w:tblCellMar>
          <w:left w:w="0" w:type="dxa"/>
          <w:right w:w="0" w:type="dxa"/>
        </w:tblCellMar>
        <w:tblLook w:val="04A0" w:firstRow="1" w:lastRow="0" w:firstColumn="1" w:lastColumn="0" w:noHBand="0" w:noVBand="1"/>
      </w:tblPr>
      <w:tblGrid>
        <w:gridCol w:w="6064"/>
        <w:gridCol w:w="1843"/>
        <w:gridCol w:w="1843"/>
      </w:tblGrid>
      <w:tr w:rsidR="003F6189" w:rsidRPr="003F6189" w14:paraId="033771FB" w14:textId="77777777" w:rsidTr="006B7D37">
        <w:trPr>
          <w:trHeight w:val="270"/>
          <w:tblCellSpacing w:w="0" w:type="dxa"/>
        </w:trPr>
        <w:tc>
          <w:tcPr>
            <w:tcW w:w="3750" w:type="dxa"/>
            <w:tcBorders>
              <w:top w:val="single" w:sz="12" w:space="0" w:color="BABABA"/>
              <w:left w:val="nil"/>
              <w:bottom w:val="nil"/>
              <w:right w:val="nil"/>
            </w:tcBorders>
            <w:shd w:val="clear" w:color="auto" w:fill="FFFFFF"/>
            <w:tcMar>
              <w:top w:w="30" w:type="dxa"/>
              <w:left w:w="450" w:type="dxa"/>
              <w:bottom w:w="30" w:type="dxa"/>
              <w:right w:w="150" w:type="dxa"/>
            </w:tcMar>
            <w:vAlign w:val="center"/>
            <w:hideMark/>
          </w:tcPr>
          <w:p w14:paraId="210DC339" w14:textId="77777777" w:rsidR="003F6189" w:rsidRPr="003F6189" w:rsidRDefault="003F6189" w:rsidP="00DB4D50">
            <w:pPr>
              <w:spacing w:after="0" w:line="240" w:lineRule="auto"/>
              <w:jc w:val="both"/>
              <w:rPr>
                <w:rFonts w:ascii="inherit" w:eastAsia="Times New Roman" w:hAnsi="inherit" w:cs="Arial"/>
                <w:color w:val="333333"/>
                <w:kern w:val="0"/>
                <w:sz w:val="18"/>
                <w:szCs w:val="18"/>
                <w:lang w:eastAsia="ca-ES"/>
                <w14:ligatures w14:val="none"/>
              </w:rPr>
            </w:pPr>
            <w:r w:rsidRPr="003F6189">
              <w:rPr>
                <w:rFonts w:ascii="inherit" w:eastAsia="Times New Roman" w:hAnsi="inherit" w:cs="Arial"/>
                <w:color w:val="333333"/>
                <w:kern w:val="0"/>
                <w:sz w:val="18"/>
                <w:szCs w:val="18"/>
                <w:bdr w:val="none" w:sz="0" w:space="0" w:color="auto" w:frame="1"/>
                <w:lang w:eastAsia="ca-ES"/>
                <w14:ligatures w14:val="none"/>
              </w:rPr>
              <w:t xml:space="preserve">Test </w:t>
            </w:r>
            <w:proofErr w:type="spellStart"/>
            <w:r w:rsidRPr="003F6189">
              <w:rPr>
                <w:rFonts w:ascii="inherit" w:eastAsia="Times New Roman" w:hAnsi="inherit" w:cs="Arial"/>
                <w:color w:val="333333"/>
                <w:kern w:val="0"/>
                <w:sz w:val="18"/>
                <w:szCs w:val="18"/>
                <w:bdr w:val="none" w:sz="0" w:space="0" w:color="auto" w:frame="1"/>
                <w:lang w:eastAsia="ca-ES"/>
                <w14:ligatures w14:val="none"/>
              </w:rPr>
              <w:t>ácido</w:t>
            </w:r>
            <w:proofErr w:type="spellEnd"/>
            <w:r w:rsidRPr="003F6189">
              <w:rPr>
                <w:rFonts w:ascii="inherit" w:eastAsia="Times New Roman" w:hAnsi="inherit" w:cs="Arial"/>
                <w:color w:val="333333"/>
                <w:kern w:val="0"/>
                <w:sz w:val="18"/>
                <w:szCs w:val="18"/>
                <w:bdr w:val="none" w:sz="0" w:space="0" w:color="auto" w:frame="1"/>
                <w:lang w:eastAsia="ca-ES"/>
                <w14:ligatures w14:val="none"/>
              </w:rPr>
              <w:t> </w:t>
            </w:r>
            <w:r w:rsidRPr="003F6189">
              <w:rPr>
                <w:rFonts w:ascii="Arial" w:eastAsia="Times New Roman" w:hAnsi="Arial" w:cs="Arial"/>
                <w:i/>
                <w:iCs/>
                <w:color w:val="9B9B9B"/>
                <w:kern w:val="0"/>
                <w:sz w:val="17"/>
                <w:szCs w:val="17"/>
                <w:bdr w:val="none" w:sz="0" w:space="0" w:color="auto" w:frame="1"/>
                <w:lang w:eastAsia="ca-ES"/>
                <w14:ligatures w14:val="none"/>
              </w:rPr>
              <w:t>MRQ</w:t>
            </w:r>
          </w:p>
        </w:tc>
        <w:tc>
          <w:tcPr>
            <w:tcW w:w="1140" w:type="dxa"/>
            <w:tcBorders>
              <w:top w:val="single" w:sz="12" w:space="0" w:color="BABABA"/>
              <w:left w:val="nil"/>
              <w:bottom w:val="nil"/>
              <w:right w:val="nil"/>
            </w:tcBorders>
            <w:shd w:val="clear" w:color="auto" w:fill="FFFFFF"/>
            <w:tcMar>
              <w:top w:w="30" w:type="dxa"/>
              <w:left w:w="0" w:type="dxa"/>
              <w:bottom w:w="30" w:type="dxa"/>
              <w:right w:w="150" w:type="dxa"/>
            </w:tcMar>
            <w:vAlign w:val="center"/>
            <w:hideMark/>
          </w:tcPr>
          <w:p w14:paraId="28073075" w14:textId="77777777"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r w:rsidRPr="003F6189">
              <w:rPr>
                <w:rFonts w:ascii="Arial" w:eastAsia="Times New Roman" w:hAnsi="Arial" w:cs="Arial"/>
                <w:color w:val="333333"/>
                <w:kern w:val="0"/>
                <w:sz w:val="18"/>
                <w:szCs w:val="18"/>
                <w:lang w:eastAsia="ca-ES"/>
                <w14:ligatures w14:val="none"/>
              </w:rPr>
              <w:t>0,63</w:t>
            </w:r>
          </w:p>
        </w:tc>
        <w:tc>
          <w:tcPr>
            <w:tcW w:w="1140" w:type="dxa"/>
            <w:tcBorders>
              <w:top w:val="single" w:sz="12" w:space="0" w:color="BABABA"/>
              <w:left w:val="nil"/>
              <w:bottom w:val="nil"/>
              <w:right w:val="nil"/>
            </w:tcBorders>
            <w:shd w:val="clear" w:color="auto" w:fill="FFFFFF"/>
            <w:tcMar>
              <w:top w:w="30" w:type="dxa"/>
              <w:left w:w="0" w:type="dxa"/>
              <w:bottom w:w="30" w:type="dxa"/>
              <w:right w:w="150" w:type="dxa"/>
            </w:tcMar>
            <w:vAlign w:val="center"/>
          </w:tcPr>
          <w:p w14:paraId="36DACEAC" w14:textId="1DF61282"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p>
        </w:tc>
      </w:tr>
      <w:tr w:rsidR="003F6189" w:rsidRPr="003F6189" w14:paraId="5018C0E2" w14:textId="77777777" w:rsidTr="006B7D37">
        <w:trPr>
          <w:trHeight w:val="270"/>
          <w:tblCellSpacing w:w="0" w:type="dxa"/>
        </w:trPr>
        <w:tc>
          <w:tcPr>
            <w:tcW w:w="3750" w:type="dxa"/>
            <w:tcBorders>
              <w:top w:val="nil"/>
              <w:left w:val="nil"/>
              <w:bottom w:val="nil"/>
              <w:right w:val="nil"/>
            </w:tcBorders>
            <w:shd w:val="clear" w:color="auto" w:fill="FFFFFF"/>
            <w:tcMar>
              <w:top w:w="30" w:type="dxa"/>
              <w:left w:w="450" w:type="dxa"/>
              <w:bottom w:w="30" w:type="dxa"/>
              <w:right w:w="150" w:type="dxa"/>
            </w:tcMar>
            <w:vAlign w:val="center"/>
            <w:hideMark/>
          </w:tcPr>
          <w:p w14:paraId="011C6754" w14:textId="77777777" w:rsidR="003F6189" w:rsidRPr="003F6189" w:rsidRDefault="003F6189" w:rsidP="00DB4D50">
            <w:pPr>
              <w:spacing w:after="0" w:line="240" w:lineRule="auto"/>
              <w:jc w:val="both"/>
              <w:rPr>
                <w:rFonts w:ascii="inherit" w:eastAsia="Times New Roman" w:hAnsi="inherit" w:cs="Arial"/>
                <w:color w:val="333333"/>
                <w:kern w:val="0"/>
                <w:sz w:val="18"/>
                <w:szCs w:val="18"/>
                <w:lang w:eastAsia="ca-ES"/>
                <w14:ligatures w14:val="none"/>
              </w:rPr>
            </w:pPr>
            <w:proofErr w:type="spellStart"/>
            <w:r w:rsidRPr="003F6189">
              <w:rPr>
                <w:rFonts w:ascii="inherit" w:eastAsia="Times New Roman" w:hAnsi="inherit" w:cs="Arial"/>
                <w:color w:val="333333"/>
                <w:kern w:val="0"/>
                <w:sz w:val="18"/>
                <w:szCs w:val="18"/>
                <w:bdr w:val="none" w:sz="0" w:space="0" w:color="auto" w:frame="1"/>
                <w:lang w:eastAsia="ca-ES"/>
                <w14:ligatures w14:val="none"/>
              </w:rPr>
              <w:t>Ratio</w:t>
            </w:r>
            <w:proofErr w:type="spellEnd"/>
            <w:r w:rsidRPr="003F6189">
              <w:rPr>
                <w:rFonts w:ascii="inherit" w:eastAsia="Times New Roman" w:hAnsi="inherit" w:cs="Arial"/>
                <w:color w:val="333333"/>
                <w:kern w:val="0"/>
                <w:sz w:val="18"/>
                <w:szCs w:val="18"/>
                <w:bdr w:val="none" w:sz="0" w:space="0" w:color="auto" w:frame="1"/>
                <w:lang w:eastAsia="ca-ES"/>
                <w14:ligatures w14:val="none"/>
              </w:rPr>
              <w:t xml:space="preserve"> de </w:t>
            </w:r>
            <w:proofErr w:type="spellStart"/>
            <w:r w:rsidRPr="003F6189">
              <w:rPr>
                <w:rFonts w:ascii="inherit" w:eastAsia="Times New Roman" w:hAnsi="inherit" w:cs="Arial"/>
                <w:color w:val="333333"/>
                <w:kern w:val="0"/>
                <w:sz w:val="18"/>
                <w:szCs w:val="18"/>
                <w:bdr w:val="none" w:sz="0" w:space="0" w:color="auto" w:frame="1"/>
                <w:lang w:eastAsia="ca-ES"/>
                <w14:ligatures w14:val="none"/>
              </w:rPr>
              <w:t>solvencia</w:t>
            </w:r>
            <w:proofErr w:type="spellEnd"/>
            <w:r w:rsidRPr="003F6189">
              <w:rPr>
                <w:rFonts w:ascii="inherit" w:eastAsia="Times New Roman" w:hAnsi="inherit" w:cs="Arial"/>
                <w:color w:val="333333"/>
                <w:kern w:val="0"/>
                <w:sz w:val="18"/>
                <w:szCs w:val="18"/>
                <w:bdr w:val="none" w:sz="0" w:space="0" w:color="auto" w:frame="1"/>
                <w:lang w:eastAsia="ca-ES"/>
                <w14:ligatures w14:val="none"/>
              </w:rPr>
              <w:t> </w:t>
            </w:r>
            <w:r w:rsidRPr="003F6189">
              <w:rPr>
                <w:rFonts w:ascii="Arial" w:eastAsia="Times New Roman" w:hAnsi="Arial" w:cs="Arial"/>
                <w:i/>
                <w:iCs/>
                <w:color w:val="9B9B9B"/>
                <w:kern w:val="0"/>
                <w:sz w:val="17"/>
                <w:szCs w:val="17"/>
                <w:bdr w:val="none" w:sz="0" w:space="0" w:color="auto" w:frame="1"/>
                <w:lang w:eastAsia="ca-ES"/>
                <w14:ligatures w14:val="none"/>
              </w:rPr>
              <w:t>MRQ</w:t>
            </w:r>
          </w:p>
        </w:tc>
        <w:tc>
          <w:tcPr>
            <w:tcW w:w="1140" w:type="dxa"/>
            <w:tcBorders>
              <w:top w:val="nil"/>
              <w:left w:val="nil"/>
              <w:bottom w:val="nil"/>
              <w:right w:val="nil"/>
            </w:tcBorders>
            <w:shd w:val="clear" w:color="auto" w:fill="FFFFFF"/>
            <w:tcMar>
              <w:top w:w="30" w:type="dxa"/>
              <w:left w:w="0" w:type="dxa"/>
              <w:bottom w:w="30" w:type="dxa"/>
              <w:right w:w="150" w:type="dxa"/>
            </w:tcMar>
            <w:vAlign w:val="center"/>
            <w:hideMark/>
          </w:tcPr>
          <w:p w14:paraId="39B4BD63" w14:textId="77777777"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r w:rsidRPr="003F6189">
              <w:rPr>
                <w:rFonts w:ascii="Arial" w:eastAsia="Times New Roman" w:hAnsi="Arial" w:cs="Arial"/>
                <w:color w:val="333333"/>
                <w:kern w:val="0"/>
                <w:sz w:val="18"/>
                <w:szCs w:val="18"/>
                <w:lang w:eastAsia="ca-ES"/>
                <w14:ligatures w14:val="none"/>
              </w:rPr>
              <w:t>0,89</w:t>
            </w:r>
          </w:p>
        </w:tc>
        <w:tc>
          <w:tcPr>
            <w:tcW w:w="1140" w:type="dxa"/>
            <w:tcBorders>
              <w:top w:val="nil"/>
              <w:left w:val="nil"/>
              <w:bottom w:val="nil"/>
              <w:right w:val="nil"/>
            </w:tcBorders>
            <w:shd w:val="clear" w:color="auto" w:fill="FFFFFF"/>
            <w:tcMar>
              <w:top w:w="30" w:type="dxa"/>
              <w:left w:w="0" w:type="dxa"/>
              <w:bottom w:w="30" w:type="dxa"/>
              <w:right w:w="150" w:type="dxa"/>
            </w:tcMar>
            <w:vAlign w:val="center"/>
          </w:tcPr>
          <w:p w14:paraId="65D24E75" w14:textId="0430D63A"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p>
        </w:tc>
      </w:tr>
      <w:tr w:rsidR="003F6189" w:rsidRPr="003F6189" w14:paraId="614E1E9B" w14:textId="77777777" w:rsidTr="006B7D37">
        <w:trPr>
          <w:trHeight w:val="270"/>
          <w:tblCellSpacing w:w="0" w:type="dxa"/>
        </w:trPr>
        <w:tc>
          <w:tcPr>
            <w:tcW w:w="3750" w:type="dxa"/>
            <w:tcBorders>
              <w:top w:val="nil"/>
              <w:left w:val="nil"/>
              <w:bottom w:val="nil"/>
              <w:right w:val="nil"/>
            </w:tcBorders>
            <w:shd w:val="clear" w:color="auto" w:fill="FFFFFF"/>
            <w:tcMar>
              <w:top w:w="30" w:type="dxa"/>
              <w:left w:w="450" w:type="dxa"/>
              <w:bottom w:w="30" w:type="dxa"/>
              <w:right w:w="150" w:type="dxa"/>
            </w:tcMar>
            <w:vAlign w:val="center"/>
            <w:hideMark/>
          </w:tcPr>
          <w:p w14:paraId="60AC8AE5" w14:textId="77777777" w:rsidR="003F6189" w:rsidRPr="003F6189" w:rsidRDefault="003F6189" w:rsidP="00DB4D50">
            <w:pPr>
              <w:spacing w:after="0" w:line="240" w:lineRule="auto"/>
              <w:jc w:val="both"/>
              <w:rPr>
                <w:rFonts w:ascii="inherit" w:eastAsia="Times New Roman" w:hAnsi="inherit" w:cs="Arial"/>
                <w:color w:val="333333"/>
                <w:kern w:val="0"/>
                <w:sz w:val="18"/>
                <w:szCs w:val="18"/>
                <w:lang w:eastAsia="ca-ES"/>
                <w14:ligatures w14:val="none"/>
              </w:rPr>
            </w:pPr>
            <w:proofErr w:type="spellStart"/>
            <w:r w:rsidRPr="003F6189">
              <w:rPr>
                <w:rFonts w:ascii="inherit" w:eastAsia="Times New Roman" w:hAnsi="inherit" w:cs="Arial"/>
                <w:color w:val="333333"/>
                <w:kern w:val="0"/>
                <w:sz w:val="18"/>
                <w:szCs w:val="18"/>
                <w:bdr w:val="none" w:sz="0" w:space="0" w:color="auto" w:frame="1"/>
                <w:lang w:eastAsia="ca-ES"/>
                <w14:ligatures w14:val="none"/>
              </w:rPr>
              <w:t>Deuda</w:t>
            </w:r>
            <w:proofErr w:type="spellEnd"/>
            <w:r w:rsidRPr="003F6189">
              <w:rPr>
                <w:rFonts w:ascii="inherit" w:eastAsia="Times New Roman" w:hAnsi="inherit" w:cs="Arial"/>
                <w:color w:val="333333"/>
                <w:kern w:val="0"/>
                <w:sz w:val="18"/>
                <w:szCs w:val="18"/>
                <w:bdr w:val="none" w:sz="0" w:space="0" w:color="auto" w:frame="1"/>
                <w:lang w:eastAsia="ca-ES"/>
                <w14:ligatures w14:val="none"/>
              </w:rPr>
              <w:t xml:space="preserve"> a largo </w:t>
            </w:r>
            <w:proofErr w:type="spellStart"/>
            <w:r w:rsidRPr="003F6189">
              <w:rPr>
                <w:rFonts w:ascii="inherit" w:eastAsia="Times New Roman" w:hAnsi="inherit" w:cs="Arial"/>
                <w:color w:val="333333"/>
                <w:kern w:val="0"/>
                <w:sz w:val="18"/>
                <w:szCs w:val="18"/>
                <w:bdr w:val="none" w:sz="0" w:space="0" w:color="auto" w:frame="1"/>
                <w:lang w:eastAsia="ca-ES"/>
                <w14:ligatures w14:val="none"/>
              </w:rPr>
              <w:t>plazo</w:t>
            </w:r>
            <w:proofErr w:type="spellEnd"/>
            <w:r w:rsidRPr="003F6189">
              <w:rPr>
                <w:rFonts w:ascii="inherit" w:eastAsia="Times New Roman" w:hAnsi="inherit" w:cs="Arial"/>
                <w:color w:val="333333"/>
                <w:kern w:val="0"/>
                <w:sz w:val="18"/>
                <w:szCs w:val="18"/>
                <w:bdr w:val="none" w:sz="0" w:space="0" w:color="auto" w:frame="1"/>
                <w:lang w:eastAsia="ca-ES"/>
                <w14:ligatures w14:val="none"/>
              </w:rPr>
              <w:t xml:space="preserve">/Total fondos </w:t>
            </w:r>
            <w:proofErr w:type="spellStart"/>
            <w:r w:rsidRPr="003F6189">
              <w:rPr>
                <w:rFonts w:ascii="inherit" w:eastAsia="Times New Roman" w:hAnsi="inherit" w:cs="Arial"/>
                <w:color w:val="333333"/>
                <w:kern w:val="0"/>
                <w:sz w:val="18"/>
                <w:szCs w:val="18"/>
                <w:bdr w:val="none" w:sz="0" w:space="0" w:color="auto" w:frame="1"/>
                <w:lang w:eastAsia="ca-ES"/>
                <w14:ligatures w14:val="none"/>
              </w:rPr>
              <w:t>propios</w:t>
            </w:r>
            <w:proofErr w:type="spellEnd"/>
            <w:r w:rsidRPr="003F6189">
              <w:rPr>
                <w:rFonts w:ascii="inherit" w:eastAsia="Times New Roman" w:hAnsi="inherit" w:cs="Arial"/>
                <w:color w:val="333333"/>
                <w:kern w:val="0"/>
                <w:sz w:val="18"/>
                <w:szCs w:val="18"/>
                <w:bdr w:val="none" w:sz="0" w:space="0" w:color="auto" w:frame="1"/>
                <w:lang w:eastAsia="ca-ES"/>
                <w14:ligatures w14:val="none"/>
              </w:rPr>
              <w:t> </w:t>
            </w:r>
            <w:r w:rsidRPr="003F6189">
              <w:rPr>
                <w:rFonts w:ascii="Arial" w:eastAsia="Times New Roman" w:hAnsi="Arial" w:cs="Arial"/>
                <w:i/>
                <w:iCs/>
                <w:color w:val="9B9B9B"/>
                <w:kern w:val="0"/>
                <w:sz w:val="17"/>
                <w:szCs w:val="17"/>
                <w:bdr w:val="none" w:sz="0" w:space="0" w:color="auto" w:frame="1"/>
                <w:lang w:eastAsia="ca-ES"/>
                <w14:ligatures w14:val="none"/>
              </w:rPr>
              <w:t>MRQ</w:t>
            </w:r>
          </w:p>
        </w:tc>
        <w:tc>
          <w:tcPr>
            <w:tcW w:w="1140" w:type="dxa"/>
            <w:tcBorders>
              <w:top w:val="nil"/>
              <w:left w:val="nil"/>
              <w:bottom w:val="nil"/>
              <w:right w:val="nil"/>
            </w:tcBorders>
            <w:shd w:val="clear" w:color="auto" w:fill="FFFFFF"/>
            <w:tcMar>
              <w:top w:w="30" w:type="dxa"/>
              <w:left w:w="0" w:type="dxa"/>
              <w:bottom w:w="30" w:type="dxa"/>
              <w:right w:w="150" w:type="dxa"/>
            </w:tcMar>
            <w:vAlign w:val="center"/>
            <w:hideMark/>
          </w:tcPr>
          <w:p w14:paraId="56596981" w14:textId="77777777"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r w:rsidRPr="003F6189">
              <w:rPr>
                <w:rFonts w:ascii="Arial" w:eastAsia="Times New Roman" w:hAnsi="Arial" w:cs="Arial"/>
                <w:color w:val="333333"/>
                <w:kern w:val="0"/>
                <w:sz w:val="18"/>
                <w:szCs w:val="18"/>
                <w:lang w:eastAsia="ca-ES"/>
                <w14:ligatures w14:val="none"/>
              </w:rPr>
              <w:t>152,66%</w:t>
            </w:r>
          </w:p>
        </w:tc>
        <w:tc>
          <w:tcPr>
            <w:tcW w:w="1140" w:type="dxa"/>
            <w:tcBorders>
              <w:top w:val="nil"/>
              <w:left w:val="nil"/>
              <w:bottom w:val="nil"/>
              <w:right w:val="nil"/>
            </w:tcBorders>
            <w:shd w:val="clear" w:color="auto" w:fill="FFFFFF"/>
            <w:tcMar>
              <w:top w:w="30" w:type="dxa"/>
              <w:left w:w="0" w:type="dxa"/>
              <w:bottom w:w="30" w:type="dxa"/>
              <w:right w:w="150" w:type="dxa"/>
            </w:tcMar>
            <w:vAlign w:val="center"/>
          </w:tcPr>
          <w:p w14:paraId="3F314C6F" w14:textId="6097301B"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p>
        </w:tc>
      </w:tr>
      <w:tr w:rsidR="003F6189" w:rsidRPr="003F6189" w14:paraId="411748B9" w14:textId="77777777" w:rsidTr="006B7D37">
        <w:trPr>
          <w:trHeight w:val="270"/>
          <w:tblCellSpacing w:w="0" w:type="dxa"/>
        </w:trPr>
        <w:tc>
          <w:tcPr>
            <w:tcW w:w="3750" w:type="dxa"/>
            <w:tcBorders>
              <w:top w:val="nil"/>
              <w:left w:val="nil"/>
              <w:bottom w:val="nil"/>
              <w:right w:val="nil"/>
            </w:tcBorders>
            <w:shd w:val="clear" w:color="auto" w:fill="FFFFFF"/>
            <w:tcMar>
              <w:top w:w="30" w:type="dxa"/>
              <w:left w:w="450" w:type="dxa"/>
              <w:bottom w:w="30" w:type="dxa"/>
              <w:right w:w="150" w:type="dxa"/>
            </w:tcMar>
            <w:vAlign w:val="center"/>
            <w:hideMark/>
          </w:tcPr>
          <w:p w14:paraId="0CF909D0" w14:textId="77777777" w:rsidR="003F6189" w:rsidRPr="003F6189" w:rsidRDefault="003F6189" w:rsidP="00DB4D50">
            <w:pPr>
              <w:spacing w:after="0" w:line="240" w:lineRule="auto"/>
              <w:jc w:val="both"/>
              <w:rPr>
                <w:rFonts w:ascii="inherit" w:eastAsia="Times New Roman" w:hAnsi="inherit" w:cs="Arial"/>
                <w:color w:val="333333"/>
                <w:kern w:val="0"/>
                <w:sz w:val="18"/>
                <w:szCs w:val="18"/>
                <w:lang w:eastAsia="ca-ES"/>
                <w14:ligatures w14:val="none"/>
              </w:rPr>
            </w:pPr>
            <w:r w:rsidRPr="003F6189">
              <w:rPr>
                <w:rFonts w:ascii="inherit" w:eastAsia="Times New Roman" w:hAnsi="inherit" w:cs="Arial"/>
                <w:color w:val="333333"/>
                <w:kern w:val="0"/>
                <w:sz w:val="18"/>
                <w:szCs w:val="18"/>
                <w:bdr w:val="none" w:sz="0" w:space="0" w:color="auto" w:frame="1"/>
                <w:lang w:eastAsia="ca-ES"/>
                <w14:ligatures w14:val="none"/>
              </w:rPr>
              <w:t xml:space="preserve">Total </w:t>
            </w:r>
            <w:proofErr w:type="spellStart"/>
            <w:r w:rsidRPr="003F6189">
              <w:rPr>
                <w:rFonts w:ascii="inherit" w:eastAsia="Times New Roman" w:hAnsi="inherit" w:cs="Arial"/>
                <w:color w:val="333333"/>
                <w:kern w:val="0"/>
                <w:sz w:val="18"/>
                <w:szCs w:val="18"/>
                <w:bdr w:val="none" w:sz="0" w:space="0" w:color="auto" w:frame="1"/>
                <w:lang w:eastAsia="ca-ES"/>
                <w14:ligatures w14:val="none"/>
              </w:rPr>
              <w:t>deuda</w:t>
            </w:r>
            <w:proofErr w:type="spellEnd"/>
            <w:r w:rsidRPr="003F6189">
              <w:rPr>
                <w:rFonts w:ascii="inherit" w:eastAsia="Times New Roman" w:hAnsi="inherit" w:cs="Arial"/>
                <w:color w:val="333333"/>
                <w:kern w:val="0"/>
                <w:sz w:val="18"/>
                <w:szCs w:val="18"/>
                <w:bdr w:val="none" w:sz="0" w:space="0" w:color="auto" w:frame="1"/>
                <w:lang w:eastAsia="ca-ES"/>
                <w14:ligatures w14:val="none"/>
              </w:rPr>
              <w:t xml:space="preserve">/Total fondos </w:t>
            </w:r>
            <w:proofErr w:type="spellStart"/>
            <w:r w:rsidRPr="003F6189">
              <w:rPr>
                <w:rFonts w:ascii="inherit" w:eastAsia="Times New Roman" w:hAnsi="inherit" w:cs="Arial"/>
                <w:color w:val="333333"/>
                <w:kern w:val="0"/>
                <w:sz w:val="18"/>
                <w:szCs w:val="18"/>
                <w:bdr w:val="none" w:sz="0" w:space="0" w:color="auto" w:frame="1"/>
                <w:lang w:eastAsia="ca-ES"/>
                <w14:ligatures w14:val="none"/>
              </w:rPr>
              <w:t>propios</w:t>
            </w:r>
            <w:proofErr w:type="spellEnd"/>
            <w:r w:rsidRPr="003F6189">
              <w:rPr>
                <w:rFonts w:ascii="inherit" w:eastAsia="Times New Roman" w:hAnsi="inherit" w:cs="Arial"/>
                <w:color w:val="333333"/>
                <w:kern w:val="0"/>
                <w:sz w:val="18"/>
                <w:szCs w:val="18"/>
                <w:bdr w:val="none" w:sz="0" w:space="0" w:color="auto" w:frame="1"/>
                <w:lang w:eastAsia="ca-ES"/>
                <w14:ligatures w14:val="none"/>
              </w:rPr>
              <w:t> </w:t>
            </w:r>
            <w:r w:rsidRPr="003F6189">
              <w:rPr>
                <w:rFonts w:ascii="Arial" w:eastAsia="Times New Roman" w:hAnsi="Arial" w:cs="Arial"/>
                <w:i/>
                <w:iCs/>
                <w:color w:val="9B9B9B"/>
                <w:kern w:val="0"/>
                <w:sz w:val="17"/>
                <w:szCs w:val="17"/>
                <w:bdr w:val="none" w:sz="0" w:space="0" w:color="auto" w:frame="1"/>
                <w:lang w:eastAsia="ca-ES"/>
                <w14:ligatures w14:val="none"/>
              </w:rPr>
              <w:t>MRQ</w:t>
            </w:r>
          </w:p>
        </w:tc>
        <w:tc>
          <w:tcPr>
            <w:tcW w:w="1140" w:type="dxa"/>
            <w:tcBorders>
              <w:top w:val="nil"/>
              <w:left w:val="nil"/>
              <w:bottom w:val="nil"/>
              <w:right w:val="nil"/>
            </w:tcBorders>
            <w:shd w:val="clear" w:color="auto" w:fill="FFFFFF"/>
            <w:tcMar>
              <w:top w:w="30" w:type="dxa"/>
              <w:left w:w="0" w:type="dxa"/>
              <w:bottom w:w="30" w:type="dxa"/>
              <w:right w:w="150" w:type="dxa"/>
            </w:tcMar>
            <w:vAlign w:val="center"/>
            <w:hideMark/>
          </w:tcPr>
          <w:p w14:paraId="48FA1A72" w14:textId="77777777"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r w:rsidRPr="003F6189">
              <w:rPr>
                <w:rFonts w:ascii="Arial" w:eastAsia="Times New Roman" w:hAnsi="Arial" w:cs="Arial"/>
                <w:color w:val="333333"/>
                <w:kern w:val="0"/>
                <w:sz w:val="18"/>
                <w:szCs w:val="18"/>
                <w:lang w:eastAsia="ca-ES"/>
                <w14:ligatures w14:val="none"/>
              </w:rPr>
              <w:t>210,54%</w:t>
            </w:r>
          </w:p>
        </w:tc>
        <w:tc>
          <w:tcPr>
            <w:tcW w:w="1140" w:type="dxa"/>
            <w:tcBorders>
              <w:top w:val="nil"/>
              <w:left w:val="nil"/>
              <w:bottom w:val="nil"/>
              <w:right w:val="nil"/>
            </w:tcBorders>
            <w:shd w:val="clear" w:color="auto" w:fill="FFFFFF"/>
            <w:tcMar>
              <w:top w:w="30" w:type="dxa"/>
              <w:left w:w="0" w:type="dxa"/>
              <w:bottom w:w="30" w:type="dxa"/>
              <w:right w:w="150" w:type="dxa"/>
            </w:tcMar>
            <w:vAlign w:val="center"/>
          </w:tcPr>
          <w:p w14:paraId="3DD575DC" w14:textId="231D6F20" w:rsidR="003F6189" w:rsidRPr="003F6189" w:rsidRDefault="003F6189" w:rsidP="00DB4D50">
            <w:pPr>
              <w:spacing w:after="0" w:line="240" w:lineRule="auto"/>
              <w:jc w:val="both"/>
              <w:rPr>
                <w:rFonts w:ascii="Arial" w:eastAsia="Times New Roman" w:hAnsi="Arial" w:cs="Arial"/>
                <w:color w:val="333333"/>
                <w:kern w:val="0"/>
                <w:sz w:val="18"/>
                <w:szCs w:val="18"/>
                <w:lang w:eastAsia="ca-ES"/>
                <w14:ligatures w14:val="none"/>
              </w:rPr>
            </w:pPr>
          </w:p>
        </w:tc>
      </w:tr>
    </w:tbl>
    <w:p w14:paraId="31AC746C" w14:textId="77777777" w:rsidR="003F6189" w:rsidRDefault="003F6189" w:rsidP="00DB4D50">
      <w:pPr>
        <w:spacing w:line="240" w:lineRule="auto"/>
        <w:ind w:left="360"/>
        <w:jc w:val="both"/>
        <w:rPr>
          <w:lang w:val="es-ES"/>
        </w:rPr>
      </w:pPr>
    </w:p>
    <w:p w14:paraId="7FE8102D" w14:textId="064CF3CD" w:rsidR="00D066A1" w:rsidRPr="001560D3" w:rsidRDefault="00D066A1" w:rsidP="00DB4D50">
      <w:pPr>
        <w:spacing w:line="240" w:lineRule="auto"/>
        <w:ind w:left="360"/>
        <w:jc w:val="both"/>
        <w:rPr>
          <w:lang w:val="es-ES"/>
        </w:rPr>
      </w:pPr>
      <w:r>
        <w:rPr>
          <w:lang w:val="es-ES"/>
        </w:rPr>
        <w:tab/>
      </w:r>
    </w:p>
    <w:p w14:paraId="21064BC4" w14:textId="7929C43B" w:rsidR="000A453A" w:rsidRDefault="00B41FCA" w:rsidP="00DB4D50">
      <w:pPr>
        <w:pStyle w:val="Pargrafdellista"/>
        <w:spacing w:line="240" w:lineRule="auto"/>
        <w:jc w:val="both"/>
        <w:rPr>
          <w:lang w:val="es-ES"/>
        </w:rPr>
      </w:pPr>
      <w:r w:rsidRPr="00B41FCA">
        <w:rPr>
          <w:lang w:val="es-ES"/>
        </w:rPr>
        <w:t>Con toda esta evolución, Telefónica cerró el ejercicio con una deuda financiera neta de 27.349 millones de euros, un 2,5% más que a final de 2022, con un ratio de endeudamiento de 2,60</w:t>
      </w:r>
    </w:p>
    <w:p w14:paraId="08296BED" w14:textId="77777777" w:rsidR="001560D3" w:rsidRPr="000A453A" w:rsidRDefault="001560D3" w:rsidP="00DB4D50">
      <w:pPr>
        <w:pStyle w:val="Pargrafdellista"/>
        <w:spacing w:line="240" w:lineRule="auto"/>
        <w:jc w:val="both"/>
        <w:rPr>
          <w:lang w:val="es-ES"/>
        </w:rPr>
      </w:pPr>
    </w:p>
    <w:p w14:paraId="53141288" w14:textId="20F144CF" w:rsidR="000A453A" w:rsidRDefault="000A453A" w:rsidP="00DB4D50">
      <w:pPr>
        <w:pStyle w:val="Pargrafdellista"/>
        <w:numPr>
          <w:ilvl w:val="0"/>
          <w:numId w:val="3"/>
        </w:numPr>
        <w:spacing w:line="240" w:lineRule="auto"/>
        <w:jc w:val="both"/>
        <w:rPr>
          <w:lang w:val="es-ES"/>
        </w:rPr>
      </w:pPr>
      <w:r w:rsidRPr="000A453A">
        <w:rPr>
          <w:b/>
          <w:bCs/>
          <w:u w:val="single"/>
          <w:lang w:val="es-ES"/>
        </w:rPr>
        <w:t>ROE</w:t>
      </w:r>
      <w:r w:rsidRPr="000A453A">
        <w:rPr>
          <w:lang w:val="es-ES"/>
        </w:rPr>
        <w:t xml:space="preserve"> Nos proporciona la rentabilidad en relación con el capital propio también nos evaluar su eficiencia operativa</w:t>
      </w:r>
    </w:p>
    <w:p w14:paraId="1DBC8C54" w14:textId="77777777" w:rsidR="00B63B23" w:rsidRDefault="00B63B23" w:rsidP="00DB4D50">
      <w:pPr>
        <w:spacing w:line="240" w:lineRule="auto"/>
        <w:ind w:left="360" w:firstLine="348"/>
        <w:jc w:val="both"/>
        <w:rPr>
          <w:lang w:val="es-ES"/>
        </w:rPr>
      </w:pPr>
      <w:r w:rsidRPr="0052294F">
        <w:rPr>
          <w:lang w:val="es-ES"/>
        </w:rPr>
        <w:t>ROE = Utilidad Neta / Patrimonio Neto</w:t>
      </w:r>
    </w:p>
    <w:p w14:paraId="2155C5C9" w14:textId="3AB9A114" w:rsidR="0052294F" w:rsidRDefault="0052294F" w:rsidP="00DB4D50">
      <w:pPr>
        <w:spacing w:line="240" w:lineRule="auto"/>
        <w:ind w:left="360" w:firstLine="348"/>
        <w:jc w:val="both"/>
        <w:rPr>
          <w:rFonts w:ascii="TeleSans-DemiBold" w:hAnsi="TeleSans-DemiBold" w:cs="TeleSans-DemiBold"/>
          <w:b/>
          <w:bCs/>
          <w:color w:val="0066FF"/>
          <w:kern w:val="0"/>
          <w:sz w:val="17"/>
          <w:szCs w:val="17"/>
        </w:rPr>
      </w:pPr>
      <w:r>
        <w:rPr>
          <w:lang w:val="es-ES"/>
        </w:rPr>
        <w:tab/>
      </w:r>
      <w:r>
        <w:rPr>
          <w:lang w:val="es-ES"/>
        </w:rPr>
        <w:tab/>
      </w:r>
    </w:p>
    <w:tbl>
      <w:tblPr>
        <w:tblW w:w="5000" w:type="pct"/>
        <w:shd w:val="clear" w:color="auto" w:fill="FFF1E0"/>
        <w:tblCellMar>
          <w:left w:w="0" w:type="dxa"/>
          <w:right w:w="0" w:type="dxa"/>
        </w:tblCellMar>
        <w:tblLook w:val="04A0" w:firstRow="1" w:lastRow="0" w:firstColumn="1" w:lastColumn="0" w:noHBand="0" w:noVBand="1"/>
      </w:tblPr>
      <w:tblGrid>
        <w:gridCol w:w="1555"/>
        <w:gridCol w:w="1562"/>
        <w:gridCol w:w="1574"/>
        <w:gridCol w:w="1236"/>
        <w:gridCol w:w="1231"/>
        <w:gridCol w:w="1346"/>
      </w:tblGrid>
      <w:tr w:rsidR="005573A2" w:rsidRPr="005573A2" w14:paraId="39BD22BB" w14:textId="77777777" w:rsidTr="005573A2">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0C4B2D47" w14:textId="77777777" w:rsidR="005573A2" w:rsidRPr="005573A2" w:rsidRDefault="005573A2" w:rsidP="00DB4D50">
            <w:pPr>
              <w:spacing w:after="0" w:line="240" w:lineRule="auto"/>
              <w:jc w:val="both"/>
              <w:rPr>
                <w:rFonts w:ascii="Fira Sans Condensed" w:eastAsia="Times New Roman" w:hAnsi="Fira Sans Condensed" w:cs="Times New Roman"/>
                <w:b/>
                <w:bCs/>
                <w:caps/>
                <w:color w:val="181715"/>
                <w:kern w:val="0"/>
                <w:sz w:val="24"/>
                <w:szCs w:val="24"/>
                <w:lang w:eastAsia="ca-ES"/>
                <w14:ligatures w14:val="none"/>
              </w:rPr>
            </w:pPr>
            <w:r w:rsidRPr="005573A2">
              <w:rPr>
                <w:rFonts w:ascii="Fira Sans Condensed" w:eastAsia="Times New Roman" w:hAnsi="Fira Sans Condensed" w:cs="Times New Roman"/>
                <w:b/>
                <w:bCs/>
                <w:caps/>
                <w:color w:val="181715"/>
                <w:kern w:val="0"/>
                <w:sz w:val="24"/>
                <w:szCs w:val="24"/>
                <w:lang w:eastAsia="ca-ES"/>
                <w14:ligatures w14:val="none"/>
              </w:rPr>
              <w:t>Ratio</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3B14A52E" w14:textId="77777777" w:rsidR="005573A2" w:rsidRPr="005573A2" w:rsidRDefault="005573A2"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573A2">
              <w:rPr>
                <w:rFonts w:ascii="Fira Sans Condensed" w:eastAsia="Times New Roman" w:hAnsi="Fira Sans Condensed" w:cs="Times New Roman"/>
                <w:color w:val="181715"/>
                <w:kern w:val="0"/>
                <w:sz w:val="24"/>
                <w:szCs w:val="24"/>
                <w:lang w:eastAsia="ca-ES"/>
                <w14:ligatures w14:val="none"/>
              </w:rPr>
              <w:t>2025 *</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2211ABE1" w14:textId="77777777" w:rsidR="005573A2" w:rsidRPr="005573A2" w:rsidRDefault="005573A2"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573A2">
              <w:rPr>
                <w:rFonts w:ascii="Fira Sans Condensed" w:eastAsia="Times New Roman" w:hAnsi="Fira Sans Condensed" w:cs="Times New Roman"/>
                <w:color w:val="181715"/>
                <w:kern w:val="0"/>
                <w:sz w:val="24"/>
                <w:szCs w:val="24"/>
                <w:lang w:eastAsia="ca-ES"/>
                <w14:ligatures w14:val="none"/>
              </w:rPr>
              <w:t>2024 *</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1AFBAC3C" w14:textId="77777777" w:rsidR="005573A2" w:rsidRPr="005573A2" w:rsidRDefault="005573A2"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573A2">
              <w:rPr>
                <w:rFonts w:ascii="Fira Sans Condensed" w:eastAsia="Times New Roman" w:hAnsi="Fira Sans Condensed" w:cs="Times New Roman"/>
                <w:color w:val="181715"/>
                <w:kern w:val="0"/>
                <w:sz w:val="24"/>
                <w:szCs w:val="24"/>
                <w:lang w:eastAsia="ca-ES"/>
                <w14:ligatures w14:val="none"/>
              </w:rPr>
              <w:t>2023</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440B36F0" w14:textId="77777777" w:rsidR="005573A2" w:rsidRPr="005573A2" w:rsidRDefault="005573A2"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573A2">
              <w:rPr>
                <w:rFonts w:ascii="Fira Sans Condensed" w:eastAsia="Times New Roman" w:hAnsi="Fira Sans Condensed" w:cs="Times New Roman"/>
                <w:color w:val="181715"/>
                <w:kern w:val="0"/>
                <w:sz w:val="24"/>
                <w:szCs w:val="24"/>
                <w:lang w:eastAsia="ca-ES"/>
                <w14:ligatures w14:val="none"/>
              </w:rPr>
              <w:t>2022</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7D47776A" w14:textId="77777777" w:rsidR="005573A2" w:rsidRPr="005573A2" w:rsidRDefault="005573A2"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573A2">
              <w:rPr>
                <w:rFonts w:ascii="Fira Sans Condensed" w:eastAsia="Times New Roman" w:hAnsi="Fira Sans Condensed" w:cs="Times New Roman"/>
                <w:color w:val="181715"/>
                <w:kern w:val="0"/>
                <w:sz w:val="24"/>
                <w:szCs w:val="24"/>
                <w:lang w:eastAsia="ca-ES"/>
                <w14:ligatures w14:val="none"/>
              </w:rPr>
              <w:t>2021</w:t>
            </w:r>
          </w:p>
        </w:tc>
      </w:tr>
      <w:tr w:rsidR="005F3BA8" w:rsidRPr="005F3BA8" w14:paraId="5AA6951D" w14:textId="77777777" w:rsidTr="005F3BA8">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2E0573DF" w14:textId="77777777" w:rsidR="005F3BA8" w:rsidRPr="005F3BA8" w:rsidRDefault="005F3BA8" w:rsidP="00DB4D50">
            <w:pPr>
              <w:spacing w:after="0" w:line="240" w:lineRule="auto"/>
              <w:jc w:val="both"/>
              <w:rPr>
                <w:rFonts w:ascii="Fira Sans Condensed" w:eastAsia="Times New Roman" w:hAnsi="Fira Sans Condensed" w:cs="Times New Roman"/>
                <w:b/>
                <w:bCs/>
                <w:caps/>
                <w:color w:val="181715"/>
                <w:kern w:val="0"/>
                <w:sz w:val="24"/>
                <w:szCs w:val="24"/>
                <w:lang w:eastAsia="ca-ES"/>
                <w14:ligatures w14:val="none"/>
              </w:rPr>
            </w:pPr>
            <w:r w:rsidRPr="005F3BA8">
              <w:rPr>
                <w:rFonts w:ascii="Fira Sans Condensed" w:eastAsia="Times New Roman" w:hAnsi="Fira Sans Condensed" w:cs="Times New Roman"/>
                <w:b/>
                <w:bCs/>
                <w:caps/>
                <w:color w:val="181715"/>
                <w:kern w:val="0"/>
                <w:sz w:val="24"/>
                <w:szCs w:val="24"/>
                <w:lang w:eastAsia="ca-ES"/>
                <w14:ligatures w14:val="none"/>
              </w:rPr>
              <w:t>ROE</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223AF6CC"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8,10</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4B1AC035"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7,62</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5C4C91C3"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6,10</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0080BDE3"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8,60</w:t>
            </w:r>
          </w:p>
        </w:tc>
        <w:tc>
          <w:tcPr>
            <w:tcW w:w="0" w:type="auto"/>
            <w:tcBorders>
              <w:top w:val="nil"/>
              <w:left w:val="nil"/>
              <w:bottom w:val="single" w:sz="6" w:space="0" w:color="D7CEC5"/>
              <w:right w:val="nil"/>
            </w:tcBorders>
            <w:shd w:val="clear" w:color="auto" w:fill="auto"/>
            <w:tcMar>
              <w:top w:w="150" w:type="dxa"/>
              <w:left w:w="75" w:type="dxa"/>
              <w:bottom w:w="150" w:type="dxa"/>
              <w:right w:w="75" w:type="dxa"/>
            </w:tcMar>
            <w:vAlign w:val="center"/>
            <w:hideMark/>
          </w:tcPr>
          <w:p w14:paraId="66014AFC" w14:textId="77777777" w:rsidR="005F3BA8" w:rsidRPr="005F3BA8" w:rsidRDefault="005F3BA8" w:rsidP="00DB4D50">
            <w:pPr>
              <w:spacing w:after="0" w:line="240" w:lineRule="auto"/>
              <w:jc w:val="both"/>
              <w:rPr>
                <w:rFonts w:ascii="Fira Sans Condensed" w:eastAsia="Times New Roman" w:hAnsi="Fira Sans Condensed" w:cs="Times New Roman"/>
                <w:color w:val="181715"/>
                <w:kern w:val="0"/>
                <w:sz w:val="24"/>
                <w:szCs w:val="24"/>
                <w:lang w:eastAsia="ca-ES"/>
                <w14:ligatures w14:val="none"/>
              </w:rPr>
            </w:pPr>
            <w:r w:rsidRPr="005F3BA8">
              <w:rPr>
                <w:rFonts w:ascii="Fira Sans Condensed" w:eastAsia="Times New Roman" w:hAnsi="Fira Sans Condensed" w:cs="Times New Roman"/>
                <w:color w:val="181715"/>
                <w:kern w:val="0"/>
                <w:sz w:val="24"/>
                <w:szCs w:val="24"/>
                <w:lang w:eastAsia="ca-ES"/>
                <w14:ligatures w14:val="none"/>
              </w:rPr>
              <w:t>10,83</w:t>
            </w:r>
          </w:p>
        </w:tc>
      </w:tr>
    </w:tbl>
    <w:p w14:paraId="706C33EA" w14:textId="77777777" w:rsidR="00B63B23" w:rsidRPr="00B63B23" w:rsidRDefault="00B63B23" w:rsidP="00DB4D50">
      <w:pPr>
        <w:spacing w:line="240" w:lineRule="auto"/>
        <w:ind w:left="708"/>
        <w:jc w:val="both"/>
        <w:rPr>
          <w:lang w:val="es-ES"/>
        </w:rPr>
      </w:pPr>
    </w:p>
    <w:p w14:paraId="4AA3AF28" w14:textId="77777777" w:rsidR="00A87BCF" w:rsidRPr="0065273F" w:rsidRDefault="00A87BCF" w:rsidP="00DB4D50">
      <w:pPr>
        <w:spacing w:line="240" w:lineRule="auto"/>
        <w:jc w:val="both"/>
        <w:rPr>
          <w:lang w:val="es-ES"/>
        </w:rPr>
      </w:pPr>
    </w:p>
    <w:p w14:paraId="36134C5D" w14:textId="77777777" w:rsidR="005E1ED6" w:rsidRDefault="005E1ED6" w:rsidP="00DB4D50">
      <w:pPr>
        <w:spacing w:line="240" w:lineRule="auto"/>
        <w:jc w:val="both"/>
        <w:rPr>
          <w:lang w:val="es-ES"/>
        </w:rPr>
      </w:pPr>
    </w:p>
    <w:p w14:paraId="500190BE" w14:textId="20CB9CE2" w:rsidR="00EE2690" w:rsidRDefault="00A46C2E" w:rsidP="00DB4D50">
      <w:pPr>
        <w:spacing w:line="240" w:lineRule="auto"/>
        <w:jc w:val="both"/>
        <w:rPr>
          <w:lang w:val="es-ES"/>
        </w:rPr>
      </w:pPr>
      <w:r w:rsidRPr="00A46C2E">
        <w:rPr>
          <w:lang w:val="es-ES"/>
        </w:rPr>
        <w:lastRenderedPageBreak/>
        <w:drawing>
          <wp:inline distT="0" distB="0" distL="0" distR="0" wp14:anchorId="3E4E45AC" wp14:editId="2155FC61">
            <wp:extent cx="5400040" cy="2870835"/>
            <wp:effectExtent l="0" t="0" r="0" b="5715"/>
            <wp:docPr id="33329677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96778" name=""/>
                    <pic:cNvPicPr/>
                  </pic:nvPicPr>
                  <pic:blipFill>
                    <a:blip r:embed="rId9"/>
                    <a:stretch>
                      <a:fillRect/>
                    </a:stretch>
                  </pic:blipFill>
                  <pic:spPr>
                    <a:xfrm>
                      <a:off x="0" y="0"/>
                      <a:ext cx="5400040" cy="2870835"/>
                    </a:xfrm>
                    <a:prstGeom prst="rect">
                      <a:avLst/>
                    </a:prstGeom>
                  </pic:spPr>
                </pic:pic>
              </a:graphicData>
            </a:graphic>
          </wp:inline>
        </w:drawing>
      </w:r>
    </w:p>
    <w:p w14:paraId="0722A4B7" w14:textId="77777777" w:rsidR="00EE2690" w:rsidRDefault="00EE2690" w:rsidP="00DB4D50">
      <w:pPr>
        <w:spacing w:line="240" w:lineRule="auto"/>
        <w:jc w:val="both"/>
        <w:rPr>
          <w:lang w:val="es-ES"/>
        </w:rPr>
      </w:pPr>
    </w:p>
    <w:p w14:paraId="3A882FA1" w14:textId="31116AF9" w:rsidR="006E4C9F" w:rsidRDefault="006E4C9F" w:rsidP="008D7191">
      <w:pPr>
        <w:spacing w:line="240" w:lineRule="auto"/>
        <w:jc w:val="both"/>
        <w:rPr>
          <w:lang w:val="es-ES"/>
        </w:rPr>
      </w:pPr>
      <w:r w:rsidRPr="006E4C9F">
        <w:rPr>
          <w:lang w:val="es-ES"/>
        </w:rPr>
        <w:t>Podemos ver es que hay un techo y un suelo. Y loa tendencia es a la baja, ahora está sobre los 3.884€ su suelo es de 3.5€   y el techo del último año 4.1</w:t>
      </w:r>
    </w:p>
    <w:p w14:paraId="159813C6" w14:textId="6209647E" w:rsidR="006E4C9F" w:rsidRDefault="006E4C9F" w:rsidP="00DB4D50">
      <w:pPr>
        <w:spacing w:line="240" w:lineRule="auto"/>
        <w:jc w:val="both"/>
        <w:rPr>
          <w:lang w:val="es-ES"/>
        </w:rPr>
      </w:pPr>
      <w:r w:rsidRPr="006E4C9F">
        <w:rPr>
          <w:lang w:val="es-ES"/>
        </w:rPr>
        <w:t xml:space="preserve">Podríamos decir que tiene una tendencia alcista pero </w:t>
      </w:r>
      <w:r w:rsidR="008D7191" w:rsidRPr="006E4C9F">
        <w:rPr>
          <w:lang w:val="es-ES"/>
        </w:rPr>
        <w:t>sería</w:t>
      </w:r>
      <w:r w:rsidRPr="006E4C9F">
        <w:rPr>
          <w:lang w:val="es-ES"/>
        </w:rPr>
        <w:t xml:space="preserve"> arriesgado afirmarlo.</w:t>
      </w:r>
    </w:p>
    <w:p w14:paraId="57ABE4A4" w14:textId="03FE2A5B" w:rsidR="006E4C9F" w:rsidRDefault="000F26F8" w:rsidP="00DB4D50">
      <w:pPr>
        <w:spacing w:line="240" w:lineRule="auto"/>
        <w:jc w:val="both"/>
        <w:rPr>
          <w:b/>
          <w:bCs/>
          <w:u w:val="single"/>
          <w:lang w:val="es-ES"/>
        </w:rPr>
      </w:pPr>
      <w:r w:rsidRPr="000F26F8">
        <w:rPr>
          <w:b/>
          <w:bCs/>
          <w:u w:val="single"/>
          <w:lang w:val="es-ES"/>
        </w:rPr>
        <w:t>Conclusiones:</w:t>
      </w:r>
    </w:p>
    <w:p w14:paraId="0126B17C" w14:textId="145E0CAA" w:rsidR="009F70CE" w:rsidRPr="009F70CE" w:rsidRDefault="009F70CE" w:rsidP="00DB4D50">
      <w:pPr>
        <w:spacing w:line="240" w:lineRule="auto"/>
        <w:jc w:val="both"/>
        <w:rPr>
          <w:lang w:val="es-ES"/>
        </w:rPr>
      </w:pPr>
      <w:r>
        <w:rPr>
          <w:lang w:val="es-ES"/>
        </w:rPr>
        <w:t xml:space="preserve">Con la información que nos da el </w:t>
      </w:r>
      <w:r w:rsidR="00967C25">
        <w:rPr>
          <w:lang w:val="es-ES"/>
        </w:rPr>
        <w:t>análisis</w:t>
      </w:r>
      <w:r>
        <w:rPr>
          <w:lang w:val="es-ES"/>
        </w:rPr>
        <w:t xml:space="preserve"> fundamentalista</w:t>
      </w:r>
      <w:r w:rsidR="00967C25">
        <w:rPr>
          <w:lang w:val="es-ES"/>
        </w:rPr>
        <w:t>:</w:t>
      </w:r>
    </w:p>
    <w:p w14:paraId="1082F387" w14:textId="56973059" w:rsidR="000F26F8" w:rsidRDefault="000F26F8" w:rsidP="00DB4D50">
      <w:pPr>
        <w:spacing w:line="240" w:lineRule="auto"/>
        <w:jc w:val="both"/>
        <w:rPr>
          <w:lang w:val="es-ES"/>
        </w:rPr>
      </w:pPr>
      <w:r w:rsidRPr="000F26F8">
        <w:rPr>
          <w:lang w:val="es-ES"/>
        </w:rPr>
        <w:t>En general, las empresas con un PER creciente anualmente pueden ser interesantes para la inversión en acciones, ya que significa que el mercado está dispuesto a pagar más por cada unidad de ganancia de esa empresa.</w:t>
      </w:r>
    </w:p>
    <w:p w14:paraId="607248ED" w14:textId="4725EF0E" w:rsidR="006E4C9F" w:rsidRDefault="00967C25" w:rsidP="00DB4D50">
      <w:pPr>
        <w:spacing w:line="240" w:lineRule="auto"/>
        <w:jc w:val="both"/>
        <w:rPr>
          <w:lang w:val="es-ES"/>
        </w:rPr>
      </w:pPr>
      <w:r>
        <w:rPr>
          <w:lang w:val="es-ES"/>
        </w:rPr>
        <w:t>En el ratio de endeudamiento, un</w:t>
      </w:r>
      <w:r w:rsidR="00FB7A50" w:rsidRPr="00FB7A50">
        <w:rPr>
          <w:lang w:val="es-ES"/>
        </w:rPr>
        <w:t xml:space="preserve"> ratio superior a 2 se considera generalmente como un nivel de endeudamiento alto y poco saludable para la empresa a largo plazo. Esto significa que la empresa depende en gran medida de financiación externa.</w:t>
      </w:r>
      <w:r w:rsidR="00CD5B32">
        <w:rPr>
          <w:lang w:val="es-ES"/>
        </w:rPr>
        <w:t xml:space="preserve"> Deberíamos contextualizarlo y ver su evolución de los últimos 5 años.</w:t>
      </w:r>
    </w:p>
    <w:p w14:paraId="7F586178" w14:textId="33F7D9B7" w:rsidR="006E4C9F" w:rsidRDefault="00D6398F" w:rsidP="00DB4D50">
      <w:pPr>
        <w:spacing w:line="240" w:lineRule="auto"/>
        <w:jc w:val="both"/>
        <w:rPr>
          <w:lang w:val="es-ES"/>
        </w:rPr>
      </w:pPr>
      <w:r w:rsidRPr="00D6398F">
        <w:rPr>
          <w:lang w:val="es-ES"/>
        </w:rPr>
        <w:t>Un ROE decreciente a lo largo del tiempo es generalmente una señal de que la empresa está perdiendo eficiencia operativa y rentabilidad. Esto puede llevar a una caída en el precio de las acciones.</w:t>
      </w:r>
      <w:r>
        <w:rPr>
          <w:lang w:val="es-ES"/>
        </w:rPr>
        <w:t xml:space="preserve"> Si que vemos que </w:t>
      </w:r>
      <w:r w:rsidR="009F70CE">
        <w:rPr>
          <w:lang w:val="es-ES"/>
        </w:rPr>
        <w:t>las previsiones para los próximos años son</w:t>
      </w:r>
      <w:r>
        <w:rPr>
          <w:lang w:val="es-ES"/>
        </w:rPr>
        <w:t xml:space="preserve"> de crecimiento.</w:t>
      </w:r>
    </w:p>
    <w:p w14:paraId="554797F8" w14:textId="20BC2CF2" w:rsidR="00967C25" w:rsidRDefault="00967C25" w:rsidP="00DB4D50">
      <w:pPr>
        <w:spacing w:line="240" w:lineRule="auto"/>
        <w:jc w:val="both"/>
        <w:rPr>
          <w:lang w:val="es-ES"/>
        </w:rPr>
      </w:pPr>
      <w:r>
        <w:rPr>
          <w:lang w:val="es-ES"/>
        </w:rPr>
        <w:t xml:space="preserve">El </w:t>
      </w:r>
      <w:r w:rsidR="00DE3874">
        <w:rPr>
          <w:lang w:val="es-ES"/>
        </w:rPr>
        <w:t>análisis</w:t>
      </w:r>
      <w:r>
        <w:rPr>
          <w:lang w:val="es-ES"/>
        </w:rPr>
        <w:t xml:space="preserve"> técnico nos indica una línea c</w:t>
      </w:r>
      <w:r w:rsidR="008D7191">
        <w:rPr>
          <w:lang w:val="es-ES"/>
        </w:rPr>
        <w:t>reciente, comuna tendencia alcista.</w:t>
      </w:r>
    </w:p>
    <w:p w14:paraId="38BA0817" w14:textId="226D91BB" w:rsidR="008C3BDE" w:rsidRDefault="00DE3874" w:rsidP="00DB4D50">
      <w:pPr>
        <w:spacing w:line="240" w:lineRule="auto"/>
        <w:jc w:val="both"/>
        <w:rPr>
          <w:lang w:val="es-ES"/>
        </w:rPr>
      </w:pPr>
      <w:r>
        <w:rPr>
          <w:lang w:val="es-ES"/>
        </w:rPr>
        <w:t>Así</w:t>
      </w:r>
      <w:r w:rsidR="008D7191">
        <w:rPr>
          <w:lang w:val="es-ES"/>
        </w:rPr>
        <w:t xml:space="preserve"> que mi recomendación seria</w:t>
      </w:r>
      <w:r w:rsidR="008C3BDE">
        <w:rPr>
          <w:lang w:val="es-ES"/>
        </w:rPr>
        <w:t xml:space="preserve">: </w:t>
      </w:r>
      <w:r w:rsidR="008C3BDE" w:rsidRPr="008C3BDE">
        <w:rPr>
          <w:u w:val="single"/>
          <w:lang w:val="es-ES"/>
        </w:rPr>
        <w:t>si eres un inversor agresivo, no inviertas</w:t>
      </w:r>
      <w:r w:rsidR="008C3BDE">
        <w:rPr>
          <w:lang w:val="es-ES"/>
        </w:rPr>
        <w:t xml:space="preserve"> .</w:t>
      </w:r>
    </w:p>
    <w:p w14:paraId="01539B5F" w14:textId="71EF75BD" w:rsidR="008D7191" w:rsidRDefault="008C3BDE" w:rsidP="00DB4D50">
      <w:pPr>
        <w:spacing w:line="240" w:lineRule="auto"/>
        <w:jc w:val="both"/>
        <w:rPr>
          <w:lang w:val="es-ES"/>
        </w:rPr>
      </w:pPr>
      <w:r w:rsidRPr="00DE3874">
        <w:rPr>
          <w:u w:val="single"/>
          <w:lang w:val="es-ES"/>
        </w:rPr>
        <w:t>Inversor conservador</w:t>
      </w:r>
      <w:r w:rsidR="00DE3874" w:rsidRPr="00DE3874">
        <w:rPr>
          <w:u w:val="single"/>
          <w:lang w:val="es-ES"/>
        </w:rPr>
        <w:t>,</w:t>
      </w:r>
      <w:r w:rsidRPr="00DE3874">
        <w:rPr>
          <w:u w:val="single"/>
          <w:lang w:val="es-ES"/>
        </w:rPr>
        <w:t xml:space="preserve"> invierte con precaución,</w:t>
      </w:r>
      <w:r>
        <w:rPr>
          <w:lang w:val="es-ES"/>
        </w:rPr>
        <w:t xml:space="preserve"> </w:t>
      </w:r>
      <w:r w:rsidR="00DE3874">
        <w:rPr>
          <w:lang w:val="es-ES"/>
        </w:rPr>
        <w:t>pon un 20% o 30% del capital destinado y ver la evolución.</w:t>
      </w:r>
    </w:p>
    <w:p w14:paraId="55310562" w14:textId="77777777" w:rsidR="0065273F" w:rsidRPr="0065273F" w:rsidRDefault="0065273F" w:rsidP="00DB4D50">
      <w:pPr>
        <w:spacing w:line="240" w:lineRule="auto"/>
        <w:jc w:val="both"/>
        <w:rPr>
          <w:b/>
          <w:bCs/>
          <w:lang w:val="es-ES"/>
        </w:rPr>
      </w:pPr>
      <w:r w:rsidRPr="0065273F">
        <w:rPr>
          <w:b/>
          <w:bCs/>
          <w:lang w:val="es-ES"/>
        </w:rPr>
        <w:t xml:space="preserve">Fase 3. Valoración de activos. Con la actividad de la clase 3 y el </w:t>
      </w:r>
      <w:proofErr w:type="spellStart"/>
      <w:r w:rsidRPr="0065273F">
        <w:rPr>
          <w:b/>
          <w:bCs/>
          <w:lang w:val="es-ES"/>
        </w:rPr>
        <w:t>feedback</w:t>
      </w:r>
      <w:proofErr w:type="spellEnd"/>
      <w:r w:rsidRPr="0065273F">
        <w:rPr>
          <w:b/>
          <w:bCs/>
          <w:lang w:val="es-ES"/>
        </w:rPr>
        <w:t xml:space="preserve"> obtenido, tendrás las claves para poder realizar esta fase del proyecto.</w:t>
      </w:r>
    </w:p>
    <w:p w14:paraId="5C2375E2" w14:textId="77777777" w:rsidR="0065273F" w:rsidRPr="00DE3874" w:rsidRDefault="0065273F" w:rsidP="00DB4D50">
      <w:pPr>
        <w:spacing w:line="240" w:lineRule="auto"/>
        <w:jc w:val="both"/>
        <w:rPr>
          <w:i/>
          <w:iCs/>
          <w:color w:val="44546A" w:themeColor="text2"/>
          <w:lang w:val="es-ES"/>
        </w:rPr>
      </w:pPr>
      <w:r w:rsidRPr="00DE3874">
        <w:rPr>
          <w:i/>
          <w:iCs/>
          <w:color w:val="44546A" w:themeColor="text2"/>
          <w:lang w:val="es-ES"/>
        </w:rPr>
        <w:t>Imagínate que eres un inversor especializado en activos de renta fija y han llegado a ti unas informaciones sobre unos pagarés de Inmobiliaria del Norte SA del mercado secundario.</w:t>
      </w:r>
    </w:p>
    <w:p w14:paraId="3ABC2506" w14:textId="77777777" w:rsidR="0065273F" w:rsidRPr="00DE3874" w:rsidRDefault="0065273F" w:rsidP="00DB4D50">
      <w:pPr>
        <w:spacing w:line="240" w:lineRule="auto"/>
        <w:jc w:val="both"/>
        <w:rPr>
          <w:i/>
          <w:iCs/>
          <w:color w:val="44546A" w:themeColor="text2"/>
          <w:lang w:val="es-ES"/>
        </w:rPr>
      </w:pPr>
      <w:r w:rsidRPr="00DE3874">
        <w:rPr>
          <w:i/>
          <w:iCs/>
          <w:color w:val="44546A" w:themeColor="text2"/>
          <w:lang w:val="es-ES"/>
        </w:rPr>
        <w:t xml:space="preserve">Actualmente esta empresa pasa por algunas dificultades y su calificación crediticia según Moody's es B negativa, debido a ciertos riesgos de impago. Para este tipo de riesgo, la </w:t>
      </w:r>
      <w:r w:rsidRPr="00DE3874">
        <w:rPr>
          <w:i/>
          <w:iCs/>
          <w:color w:val="44546A" w:themeColor="text2"/>
          <w:lang w:val="es-ES"/>
        </w:rPr>
        <w:lastRenderedPageBreak/>
        <w:t>rentabilidad exigida por ti es del 9,80%. Sabemos que el valor nominal del pagaré es de 1.000 euros y vence en 207 días.</w:t>
      </w:r>
    </w:p>
    <w:p w14:paraId="7D0C7995" w14:textId="1A84F3C2" w:rsidR="0065273F" w:rsidRPr="00DE3874" w:rsidRDefault="0065273F" w:rsidP="00DB4D50">
      <w:pPr>
        <w:spacing w:line="240" w:lineRule="auto"/>
        <w:jc w:val="both"/>
        <w:rPr>
          <w:i/>
          <w:iCs/>
          <w:color w:val="44546A" w:themeColor="text2"/>
          <w:lang w:val="es-ES"/>
        </w:rPr>
      </w:pPr>
      <w:r w:rsidRPr="00DE3874">
        <w:rPr>
          <w:i/>
          <w:iCs/>
          <w:color w:val="44546A" w:themeColor="text2"/>
          <w:lang w:val="es-ES"/>
        </w:rPr>
        <w:t>Teniendo en cuenta todo este contexto, analiza y argumenta de forma razonada cuál es el precio máximo que estarás dispuesto a pagar por este pagaré.</w:t>
      </w:r>
    </w:p>
    <w:p w14:paraId="40369C8F" w14:textId="6BF0D1F5" w:rsidR="005C380A" w:rsidRPr="00DE3874" w:rsidRDefault="00DE3874" w:rsidP="00DB4D50">
      <w:pPr>
        <w:spacing w:line="240" w:lineRule="auto"/>
        <w:jc w:val="both"/>
        <w:rPr>
          <w:b/>
          <w:bCs/>
          <w:u w:val="single"/>
          <w:lang w:val="es-ES"/>
        </w:rPr>
      </w:pPr>
      <w:r>
        <w:rPr>
          <w:b/>
          <w:bCs/>
          <w:u w:val="single"/>
          <w:lang w:val="es-ES"/>
        </w:rPr>
        <w:t xml:space="preserve">Datos </w:t>
      </w:r>
      <w:r w:rsidR="005C380A" w:rsidRPr="00DE3874">
        <w:rPr>
          <w:b/>
          <w:bCs/>
          <w:u w:val="single"/>
          <w:lang w:val="es-ES"/>
        </w:rPr>
        <w:t>relevante</w:t>
      </w:r>
      <w:r>
        <w:rPr>
          <w:b/>
          <w:bCs/>
          <w:u w:val="single"/>
          <w:lang w:val="es-ES"/>
        </w:rPr>
        <w:t>s</w:t>
      </w:r>
      <w:r w:rsidR="005C380A" w:rsidRPr="00DE3874">
        <w:rPr>
          <w:b/>
          <w:bCs/>
          <w:u w:val="single"/>
          <w:lang w:val="es-ES"/>
        </w:rPr>
        <w:t>:</w:t>
      </w:r>
    </w:p>
    <w:p w14:paraId="0A20FC69" w14:textId="24B8CD3B" w:rsidR="005C380A" w:rsidRPr="0065273F" w:rsidRDefault="005C380A" w:rsidP="00DB4D50">
      <w:pPr>
        <w:spacing w:line="240" w:lineRule="auto"/>
        <w:jc w:val="both"/>
        <w:rPr>
          <w:lang w:val="es-ES"/>
        </w:rPr>
      </w:pPr>
      <w:r w:rsidRPr="0065273F">
        <w:rPr>
          <w:lang w:val="es-ES"/>
        </w:rPr>
        <w:t xml:space="preserve">- La empresa </w:t>
      </w:r>
      <w:r w:rsidR="00B24AFD">
        <w:rPr>
          <w:lang w:val="es-ES"/>
        </w:rPr>
        <w:t xml:space="preserve">Norte SA </w:t>
      </w:r>
      <w:r w:rsidRPr="0065273F">
        <w:rPr>
          <w:lang w:val="es-ES"/>
        </w:rPr>
        <w:t>tiene una calificación crediticia de B negativa según Moody's, lo que indica un riesgo de impago por parte de la empresa.</w:t>
      </w:r>
    </w:p>
    <w:p w14:paraId="2E7FEF2F" w14:textId="4BDD07A6" w:rsidR="005C380A" w:rsidRPr="0065273F" w:rsidRDefault="005C380A" w:rsidP="00DB4D50">
      <w:pPr>
        <w:spacing w:line="240" w:lineRule="auto"/>
        <w:jc w:val="both"/>
        <w:rPr>
          <w:lang w:val="es-ES"/>
        </w:rPr>
      </w:pPr>
      <w:r w:rsidRPr="0065273F">
        <w:rPr>
          <w:lang w:val="es-ES"/>
        </w:rPr>
        <w:t>- La rentabilidad exigida es del 9.80% anual.</w:t>
      </w:r>
    </w:p>
    <w:p w14:paraId="7D07A9E6" w14:textId="77777777" w:rsidR="005C380A" w:rsidRPr="0065273F" w:rsidRDefault="005C380A" w:rsidP="00DB4D50">
      <w:pPr>
        <w:spacing w:line="240" w:lineRule="auto"/>
        <w:jc w:val="both"/>
        <w:rPr>
          <w:lang w:val="es-ES"/>
        </w:rPr>
      </w:pPr>
      <w:r w:rsidRPr="0065273F">
        <w:rPr>
          <w:lang w:val="es-ES"/>
        </w:rPr>
        <w:t>- El pagaré tiene un valor nominal de 1.000 euros y vence en 207 días.</w:t>
      </w:r>
    </w:p>
    <w:p w14:paraId="6FD25C1E" w14:textId="77777777" w:rsidR="005C380A" w:rsidRPr="006A1086" w:rsidRDefault="005C380A" w:rsidP="00DB4D50">
      <w:pPr>
        <w:spacing w:line="240" w:lineRule="auto"/>
        <w:jc w:val="both"/>
        <w:rPr>
          <w:b/>
          <w:bCs/>
          <w:u w:val="single"/>
          <w:lang w:val="es-ES"/>
        </w:rPr>
      </w:pPr>
      <w:r w:rsidRPr="006A1086">
        <w:rPr>
          <w:b/>
          <w:bCs/>
          <w:u w:val="single"/>
          <w:lang w:val="es-ES"/>
        </w:rPr>
        <w:t>Cálculo del precio máximo:</w:t>
      </w:r>
    </w:p>
    <w:p w14:paraId="543C4127" w14:textId="77777777" w:rsidR="005C380A" w:rsidRPr="0065273F" w:rsidRDefault="005C380A" w:rsidP="00DB4D50">
      <w:pPr>
        <w:spacing w:line="240" w:lineRule="auto"/>
        <w:jc w:val="both"/>
        <w:rPr>
          <w:lang w:val="es-ES"/>
        </w:rPr>
      </w:pPr>
      <w:r w:rsidRPr="0065273F">
        <w:rPr>
          <w:lang w:val="es-ES"/>
        </w:rPr>
        <w:t>Precio = Valor Nominal / (1 + Tasa de Rendimiento Exigida x Tiempo en Años)</w:t>
      </w:r>
    </w:p>
    <w:p w14:paraId="5525762F" w14:textId="77777777" w:rsidR="005C380A" w:rsidRPr="0065273F" w:rsidRDefault="005C380A" w:rsidP="00DB4D50">
      <w:pPr>
        <w:spacing w:line="240" w:lineRule="auto"/>
        <w:jc w:val="both"/>
        <w:rPr>
          <w:lang w:val="es-ES"/>
        </w:rPr>
      </w:pPr>
      <w:r w:rsidRPr="0065273F">
        <w:rPr>
          <w:lang w:val="es-ES"/>
        </w:rPr>
        <w:t>Donde:</w:t>
      </w:r>
    </w:p>
    <w:p w14:paraId="1933C17E" w14:textId="77777777" w:rsidR="005C380A" w:rsidRPr="0065273F" w:rsidRDefault="005C380A" w:rsidP="00DB4D50">
      <w:pPr>
        <w:spacing w:line="240" w:lineRule="auto"/>
        <w:jc w:val="both"/>
        <w:rPr>
          <w:lang w:val="es-ES"/>
        </w:rPr>
      </w:pPr>
      <w:r w:rsidRPr="0065273F">
        <w:rPr>
          <w:lang w:val="es-ES"/>
        </w:rPr>
        <w:t>- Valor Nominal = 1.000 euros</w:t>
      </w:r>
    </w:p>
    <w:p w14:paraId="7192BF22" w14:textId="77777777" w:rsidR="005C380A" w:rsidRPr="0065273F" w:rsidRDefault="005C380A" w:rsidP="00DB4D50">
      <w:pPr>
        <w:spacing w:line="240" w:lineRule="auto"/>
        <w:jc w:val="both"/>
        <w:rPr>
          <w:lang w:val="es-ES"/>
        </w:rPr>
      </w:pPr>
      <w:r w:rsidRPr="0065273F">
        <w:rPr>
          <w:lang w:val="es-ES"/>
        </w:rPr>
        <w:t>- Tasa de Rendimiento Exigida = 9.80% anual = 0.0980</w:t>
      </w:r>
    </w:p>
    <w:p w14:paraId="25BB7CAE" w14:textId="77777777" w:rsidR="005C380A" w:rsidRPr="0065273F" w:rsidRDefault="005C380A" w:rsidP="00DB4D50">
      <w:pPr>
        <w:spacing w:line="240" w:lineRule="auto"/>
        <w:jc w:val="both"/>
        <w:rPr>
          <w:lang w:val="es-ES"/>
        </w:rPr>
      </w:pPr>
      <w:r w:rsidRPr="0065273F">
        <w:rPr>
          <w:lang w:val="es-ES"/>
        </w:rPr>
        <w:t>- Tiempo en Años = 207 días / 365 días = 0.567 años</w:t>
      </w:r>
    </w:p>
    <w:p w14:paraId="4FDF8E91" w14:textId="77777777" w:rsidR="005C380A" w:rsidRPr="0065273F" w:rsidRDefault="005C380A" w:rsidP="00DB4D50">
      <w:pPr>
        <w:spacing w:line="240" w:lineRule="auto"/>
        <w:jc w:val="both"/>
        <w:rPr>
          <w:lang w:val="es-ES"/>
        </w:rPr>
      </w:pPr>
      <w:r w:rsidRPr="0065273F">
        <w:rPr>
          <w:lang w:val="es-ES"/>
        </w:rPr>
        <w:t>Precio = 1.000 / (1 + 0.0980 x 0.567)</w:t>
      </w:r>
    </w:p>
    <w:p w14:paraId="4E6D39CD" w14:textId="77777777" w:rsidR="005C380A" w:rsidRPr="0065273F" w:rsidRDefault="005C380A" w:rsidP="00DB4D50">
      <w:pPr>
        <w:spacing w:line="240" w:lineRule="auto"/>
        <w:jc w:val="both"/>
        <w:rPr>
          <w:lang w:val="es-ES"/>
        </w:rPr>
      </w:pPr>
      <w:r w:rsidRPr="0065273F">
        <w:rPr>
          <w:lang w:val="es-ES"/>
        </w:rPr>
        <w:t>Precio = 1.000 / 1.0556</w:t>
      </w:r>
    </w:p>
    <w:p w14:paraId="4F4F413E" w14:textId="6A619EA5" w:rsidR="005C380A" w:rsidRPr="0065273F" w:rsidRDefault="005C380A" w:rsidP="00DB4D50">
      <w:pPr>
        <w:spacing w:line="240" w:lineRule="auto"/>
        <w:jc w:val="both"/>
        <w:rPr>
          <w:lang w:val="es-ES"/>
        </w:rPr>
      </w:pPr>
      <w:r w:rsidRPr="0065273F">
        <w:rPr>
          <w:lang w:val="es-ES"/>
        </w:rPr>
        <w:t xml:space="preserve">Precio = 947.17 </w:t>
      </w:r>
      <w:r w:rsidR="00E874C8">
        <w:rPr>
          <w:lang w:val="es-ES"/>
        </w:rPr>
        <w:t>€</w:t>
      </w:r>
    </w:p>
    <w:p w14:paraId="0322198C" w14:textId="0425A7BE" w:rsidR="005C380A" w:rsidRDefault="005C380A" w:rsidP="00DB4D50">
      <w:pPr>
        <w:spacing w:line="240" w:lineRule="auto"/>
        <w:jc w:val="both"/>
        <w:rPr>
          <w:b/>
          <w:bCs/>
          <w:lang w:val="es-ES"/>
        </w:rPr>
      </w:pPr>
      <w:r w:rsidRPr="0065273F">
        <w:rPr>
          <w:lang w:val="es-ES"/>
        </w:rPr>
        <w:t xml:space="preserve">Por lo tanto, el precio máximo que estaría dispuesto a pagar por este pagaré </w:t>
      </w:r>
      <w:r w:rsidRPr="00E874C8">
        <w:rPr>
          <w:b/>
          <w:bCs/>
          <w:lang w:val="es-ES"/>
        </w:rPr>
        <w:t xml:space="preserve">es de 947.17 </w:t>
      </w:r>
      <w:r w:rsidR="00E874C8">
        <w:rPr>
          <w:b/>
          <w:bCs/>
          <w:lang w:val="es-ES"/>
        </w:rPr>
        <w:t>€</w:t>
      </w:r>
      <w:r w:rsidRPr="00E874C8">
        <w:rPr>
          <w:b/>
          <w:bCs/>
          <w:lang w:val="es-ES"/>
        </w:rPr>
        <w:t>.</w:t>
      </w:r>
    </w:p>
    <w:p w14:paraId="3E076A23" w14:textId="572C8A34" w:rsidR="00B441D6" w:rsidRPr="00B441D6" w:rsidRDefault="00B441D6" w:rsidP="00DB4D50">
      <w:pPr>
        <w:spacing w:line="240" w:lineRule="auto"/>
        <w:jc w:val="both"/>
        <w:rPr>
          <w:b/>
          <w:bCs/>
          <w:u w:val="single"/>
          <w:lang w:val="es-ES"/>
        </w:rPr>
      </w:pPr>
      <w:r w:rsidRPr="00B441D6">
        <w:rPr>
          <w:b/>
          <w:bCs/>
          <w:u w:val="single"/>
          <w:lang w:val="es-ES"/>
        </w:rPr>
        <w:t>Conclusiones:</w:t>
      </w:r>
    </w:p>
    <w:p w14:paraId="6224A5A6" w14:textId="77777777" w:rsidR="005C380A" w:rsidRPr="0065273F" w:rsidRDefault="005C380A" w:rsidP="00DB4D50">
      <w:pPr>
        <w:spacing w:line="240" w:lineRule="auto"/>
        <w:jc w:val="both"/>
        <w:rPr>
          <w:lang w:val="es-ES"/>
        </w:rPr>
      </w:pPr>
      <w:r w:rsidRPr="0065273F">
        <w:rPr>
          <w:lang w:val="es-ES"/>
        </w:rPr>
        <w:t>- Dado el riesgo de impago de la empresa emisora, reflejado en su calificación crediticia B negativa, es necesario exigir una mayor rentabilidad por la compra de este pagaré.</w:t>
      </w:r>
    </w:p>
    <w:p w14:paraId="6D01965C" w14:textId="77777777" w:rsidR="005C380A" w:rsidRPr="0065273F" w:rsidRDefault="005C380A" w:rsidP="00DB4D50">
      <w:pPr>
        <w:spacing w:line="240" w:lineRule="auto"/>
        <w:jc w:val="both"/>
        <w:rPr>
          <w:lang w:val="es-ES"/>
        </w:rPr>
      </w:pPr>
      <w:r w:rsidRPr="0065273F">
        <w:rPr>
          <w:lang w:val="es-ES"/>
        </w:rPr>
        <w:t>- Pagar un precio superior a 947.17 euros implicaría asumir un riesgo mayor al retorno esperado, lo cual no sería una decisión financiera prudente.</w:t>
      </w:r>
    </w:p>
    <w:p w14:paraId="6B8E4D38" w14:textId="77777777" w:rsidR="00041353" w:rsidRDefault="00041353" w:rsidP="00DB4D50">
      <w:pPr>
        <w:spacing w:line="240" w:lineRule="auto"/>
        <w:jc w:val="both"/>
        <w:rPr>
          <w:lang w:val="es-ES"/>
        </w:rPr>
      </w:pPr>
    </w:p>
    <w:p w14:paraId="0E61CE83" w14:textId="77777777" w:rsidR="00041353" w:rsidRDefault="00041353" w:rsidP="00DB4D50">
      <w:pPr>
        <w:spacing w:line="240" w:lineRule="auto"/>
        <w:jc w:val="both"/>
        <w:rPr>
          <w:lang w:val="es-ES"/>
        </w:rPr>
      </w:pPr>
    </w:p>
    <w:p w14:paraId="76CE0001" w14:textId="77777777" w:rsidR="00041353" w:rsidRDefault="00041353" w:rsidP="00DB4D50">
      <w:pPr>
        <w:spacing w:line="240" w:lineRule="auto"/>
        <w:jc w:val="both"/>
        <w:rPr>
          <w:lang w:val="es-ES"/>
        </w:rPr>
      </w:pPr>
    </w:p>
    <w:p w14:paraId="407C3826" w14:textId="77777777" w:rsidR="00041353" w:rsidRDefault="00041353" w:rsidP="00DB4D50">
      <w:pPr>
        <w:spacing w:line="240" w:lineRule="auto"/>
        <w:jc w:val="both"/>
        <w:rPr>
          <w:lang w:val="es-ES"/>
        </w:rPr>
      </w:pPr>
    </w:p>
    <w:p w14:paraId="515297E1" w14:textId="77777777" w:rsidR="00041353" w:rsidRDefault="00041353" w:rsidP="00DB4D50">
      <w:pPr>
        <w:spacing w:line="240" w:lineRule="auto"/>
        <w:jc w:val="both"/>
        <w:rPr>
          <w:lang w:val="es-ES"/>
        </w:rPr>
      </w:pPr>
    </w:p>
    <w:p w14:paraId="61547685" w14:textId="77777777" w:rsidR="00041353" w:rsidRDefault="00041353" w:rsidP="00DB4D50">
      <w:pPr>
        <w:spacing w:line="240" w:lineRule="auto"/>
        <w:jc w:val="both"/>
        <w:rPr>
          <w:lang w:val="es-ES"/>
        </w:rPr>
      </w:pPr>
    </w:p>
    <w:p w14:paraId="294FE233" w14:textId="77777777" w:rsidR="00041353" w:rsidRDefault="00041353" w:rsidP="00DB4D50">
      <w:pPr>
        <w:spacing w:line="240" w:lineRule="auto"/>
        <w:jc w:val="both"/>
        <w:rPr>
          <w:lang w:val="es-ES"/>
        </w:rPr>
      </w:pPr>
    </w:p>
    <w:p w14:paraId="7EE826D9" w14:textId="77777777" w:rsidR="00041353" w:rsidRDefault="00041353" w:rsidP="00DB4D50">
      <w:pPr>
        <w:spacing w:line="240" w:lineRule="auto"/>
        <w:jc w:val="both"/>
        <w:rPr>
          <w:lang w:val="es-ES"/>
        </w:rPr>
      </w:pPr>
    </w:p>
    <w:p w14:paraId="1E2AD7B6" w14:textId="77777777" w:rsidR="00041353" w:rsidRDefault="00041353" w:rsidP="00DB4D50">
      <w:pPr>
        <w:spacing w:line="240" w:lineRule="auto"/>
        <w:jc w:val="both"/>
        <w:rPr>
          <w:lang w:val="es-ES"/>
        </w:rPr>
      </w:pPr>
    </w:p>
    <w:p w14:paraId="6F3C3D10" w14:textId="77777777" w:rsidR="00060D1B" w:rsidRPr="00060D1B" w:rsidRDefault="00060D1B" w:rsidP="00DB4D50">
      <w:pPr>
        <w:spacing w:line="240" w:lineRule="auto"/>
        <w:jc w:val="both"/>
        <w:rPr>
          <w:lang w:val="es-ES"/>
        </w:rPr>
      </w:pPr>
    </w:p>
    <w:sectPr w:rsidR="00060D1B" w:rsidRPr="00060D1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ira Sans Condensed">
    <w:charset w:val="00"/>
    <w:family w:val="swiss"/>
    <w:pitch w:val="variable"/>
    <w:sig w:usb0="600002FF" w:usb1="00000001" w:usb2="00000000"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eleSans-Demi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7313A"/>
    <w:multiLevelType w:val="hybridMultilevel"/>
    <w:tmpl w:val="9656E2D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5BBB6AF7"/>
    <w:multiLevelType w:val="hybridMultilevel"/>
    <w:tmpl w:val="BBC4D5A8"/>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2" w15:restartNumberingAfterBreak="0">
    <w:nsid w:val="7A527160"/>
    <w:multiLevelType w:val="hybridMultilevel"/>
    <w:tmpl w:val="A5B6D3CA"/>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427895203">
    <w:abstractNumId w:val="0"/>
  </w:num>
  <w:num w:numId="2" w16cid:durableId="1222406077">
    <w:abstractNumId w:val="2"/>
  </w:num>
  <w:num w:numId="3" w16cid:durableId="1362363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BDC"/>
    <w:rsid w:val="00036C6D"/>
    <w:rsid w:val="00041353"/>
    <w:rsid w:val="00060D1B"/>
    <w:rsid w:val="0009755C"/>
    <w:rsid w:val="000A0A48"/>
    <w:rsid w:val="000A453A"/>
    <w:rsid w:val="000F26F8"/>
    <w:rsid w:val="000F351A"/>
    <w:rsid w:val="001560D3"/>
    <w:rsid w:val="00164FD5"/>
    <w:rsid w:val="001A71A4"/>
    <w:rsid w:val="001F4FFB"/>
    <w:rsid w:val="00230061"/>
    <w:rsid w:val="00282F8E"/>
    <w:rsid w:val="002F4255"/>
    <w:rsid w:val="0032272A"/>
    <w:rsid w:val="003F6189"/>
    <w:rsid w:val="00423112"/>
    <w:rsid w:val="004558F6"/>
    <w:rsid w:val="004709D7"/>
    <w:rsid w:val="004A1244"/>
    <w:rsid w:val="0052294F"/>
    <w:rsid w:val="005573A2"/>
    <w:rsid w:val="005A7265"/>
    <w:rsid w:val="005C380A"/>
    <w:rsid w:val="005E1ED6"/>
    <w:rsid w:val="005F3BA8"/>
    <w:rsid w:val="0065273F"/>
    <w:rsid w:val="006A1086"/>
    <w:rsid w:val="006B7D37"/>
    <w:rsid w:val="006E4C9F"/>
    <w:rsid w:val="007239B7"/>
    <w:rsid w:val="0072421A"/>
    <w:rsid w:val="00731826"/>
    <w:rsid w:val="00754F35"/>
    <w:rsid w:val="007722C8"/>
    <w:rsid w:val="007D1D27"/>
    <w:rsid w:val="007F6A45"/>
    <w:rsid w:val="008352A0"/>
    <w:rsid w:val="00873D65"/>
    <w:rsid w:val="008C3BDE"/>
    <w:rsid w:val="008D7191"/>
    <w:rsid w:val="00966580"/>
    <w:rsid w:val="00967C25"/>
    <w:rsid w:val="00977198"/>
    <w:rsid w:val="009F70CE"/>
    <w:rsid w:val="00A03569"/>
    <w:rsid w:val="00A46C2E"/>
    <w:rsid w:val="00A87BCF"/>
    <w:rsid w:val="00A91573"/>
    <w:rsid w:val="00AE1B67"/>
    <w:rsid w:val="00AF2076"/>
    <w:rsid w:val="00AF3EE3"/>
    <w:rsid w:val="00B0655D"/>
    <w:rsid w:val="00B2294C"/>
    <w:rsid w:val="00B24AFD"/>
    <w:rsid w:val="00B41FCA"/>
    <w:rsid w:val="00B441D6"/>
    <w:rsid w:val="00B63B23"/>
    <w:rsid w:val="00BC6B89"/>
    <w:rsid w:val="00BD3F29"/>
    <w:rsid w:val="00BD5728"/>
    <w:rsid w:val="00BF18A6"/>
    <w:rsid w:val="00C76E44"/>
    <w:rsid w:val="00C82DE4"/>
    <w:rsid w:val="00CD5B32"/>
    <w:rsid w:val="00CD5D9B"/>
    <w:rsid w:val="00D066A1"/>
    <w:rsid w:val="00D36107"/>
    <w:rsid w:val="00D6398F"/>
    <w:rsid w:val="00D84696"/>
    <w:rsid w:val="00DA6F6A"/>
    <w:rsid w:val="00DB4D50"/>
    <w:rsid w:val="00DC3641"/>
    <w:rsid w:val="00DE3874"/>
    <w:rsid w:val="00E874C8"/>
    <w:rsid w:val="00EC6BDC"/>
    <w:rsid w:val="00EE2690"/>
    <w:rsid w:val="00F7456A"/>
    <w:rsid w:val="00FA7885"/>
    <w:rsid w:val="00FB01D2"/>
    <w:rsid w:val="00FB7A50"/>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A13F"/>
  <w15:chartTrackingRefBased/>
  <w15:docId w15:val="{72885FCC-FCEF-470C-AB09-C2896C7D8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a-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B23"/>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Pargrafdellista">
    <w:name w:val="List Paragraph"/>
    <w:basedOn w:val="Normal"/>
    <w:uiPriority w:val="34"/>
    <w:qFormat/>
    <w:rsid w:val="00B0655D"/>
    <w:pPr>
      <w:ind w:left="720"/>
      <w:contextualSpacing/>
    </w:pPr>
  </w:style>
  <w:style w:type="character" w:styleId="Enlla">
    <w:name w:val="Hyperlink"/>
    <w:basedOn w:val="Lletraperdefectedelpargraf"/>
    <w:uiPriority w:val="99"/>
    <w:unhideWhenUsed/>
    <w:rsid w:val="000A0A48"/>
    <w:rPr>
      <w:color w:val="0563C1" w:themeColor="hyperlink"/>
      <w:u w:val="single"/>
    </w:rPr>
  </w:style>
  <w:style w:type="character" w:styleId="Mencisenseresoldre">
    <w:name w:val="Unresolved Mention"/>
    <w:basedOn w:val="Lletraperdefectedelpargraf"/>
    <w:uiPriority w:val="99"/>
    <w:semiHidden/>
    <w:unhideWhenUsed/>
    <w:rsid w:val="000A0A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112968">
      <w:bodyDiv w:val="1"/>
      <w:marLeft w:val="0"/>
      <w:marRight w:val="0"/>
      <w:marTop w:val="0"/>
      <w:marBottom w:val="0"/>
      <w:divBdr>
        <w:top w:val="none" w:sz="0" w:space="0" w:color="auto"/>
        <w:left w:val="none" w:sz="0" w:space="0" w:color="auto"/>
        <w:bottom w:val="none" w:sz="0" w:space="0" w:color="auto"/>
        <w:right w:val="none" w:sz="0" w:space="0" w:color="auto"/>
      </w:divBdr>
    </w:div>
    <w:div w:id="1017461043">
      <w:bodyDiv w:val="1"/>
      <w:marLeft w:val="0"/>
      <w:marRight w:val="0"/>
      <w:marTop w:val="0"/>
      <w:marBottom w:val="0"/>
      <w:divBdr>
        <w:top w:val="none" w:sz="0" w:space="0" w:color="auto"/>
        <w:left w:val="none" w:sz="0" w:space="0" w:color="auto"/>
        <w:bottom w:val="none" w:sz="0" w:space="0" w:color="auto"/>
        <w:right w:val="none" w:sz="0" w:space="0" w:color="auto"/>
      </w:divBdr>
    </w:div>
    <w:div w:id="1242325962">
      <w:bodyDiv w:val="1"/>
      <w:marLeft w:val="0"/>
      <w:marRight w:val="0"/>
      <w:marTop w:val="0"/>
      <w:marBottom w:val="0"/>
      <w:divBdr>
        <w:top w:val="none" w:sz="0" w:space="0" w:color="auto"/>
        <w:left w:val="none" w:sz="0" w:space="0" w:color="auto"/>
        <w:bottom w:val="none" w:sz="0" w:space="0" w:color="auto"/>
        <w:right w:val="none" w:sz="0" w:space="0" w:color="auto"/>
      </w:divBdr>
    </w:div>
    <w:div w:id="1271431103">
      <w:bodyDiv w:val="1"/>
      <w:marLeft w:val="0"/>
      <w:marRight w:val="0"/>
      <w:marTop w:val="0"/>
      <w:marBottom w:val="0"/>
      <w:divBdr>
        <w:top w:val="none" w:sz="0" w:space="0" w:color="auto"/>
        <w:left w:val="none" w:sz="0" w:space="0" w:color="auto"/>
        <w:bottom w:val="none" w:sz="0" w:space="0" w:color="auto"/>
        <w:right w:val="none" w:sz="0" w:space="0" w:color="auto"/>
      </w:divBdr>
    </w:div>
    <w:div w:id="1303848253">
      <w:bodyDiv w:val="1"/>
      <w:marLeft w:val="0"/>
      <w:marRight w:val="0"/>
      <w:marTop w:val="0"/>
      <w:marBottom w:val="0"/>
      <w:divBdr>
        <w:top w:val="none" w:sz="0" w:space="0" w:color="auto"/>
        <w:left w:val="none" w:sz="0" w:space="0" w:color="auto"/>
        <w:bottom w:val="none" w:sz="0" w:space="0" w:color="auto"/>
        <w:right w:val="none" w:sz="0" w:space="0" w:color="auto"/>
      </w:divBdr>
    </w:div>
    <w:div w:id="1322008335">
      <w:bodyDiv w:val="1"/>
      <w:marLeft w:val="0"/>
      <w:marRight w:val="0"/>
      <w:marTop w:val="0"/>
      <w:marBottom w:val="0"/>
      <w:divBdr>
        <w:top w:val="none" w:sz="0" w:space="0" w:color="auto"/>
        <w:left w:val="none" w:sz="0" w:space="0" w:color="auto"/>
        <w:bottom w:val="none" w:sz="0" w:space="0" w:color="auto"/>
        <w:right w:val="none" w:sz="0" w:space="0" w:color="auto"/>
      </w:divBdr>
    </w:div>
    <w:div w:id="180553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tradingview.com/chart/l2Yfxeeu/?symbol=TVC%3AIBEX35" TargetMode="External"/><Relationship Id="rId3" Type="http://schemas.openxmlformats.org/officeDocument/2006/relationships/settings" Target="settings.xml"/><Relationship Id="rId7" Type="http://schemas.openxmlformats.org/officeDocument/2006/relationships/hyperlink" Target="https://es.investing.com/equities/telefonica-rati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xpansion.com/mercados/bolsa/recomendaciones/analisis-fundamental/t/telefonica_M.TEF.html" TargetMode="External"/><Relationship Id="rId11" Type="http://schemas.openxmlformats.org/officeDocument/2006/relationships/theme" Target="theme/theme1.xml"/><Relationship Id="rId5" Type="http://schemas.openxmlformats.org/officeDocument/2006/relationships/hyperlink" Target="https://www.telefonica.com/es/accionistas-inversores/informacion-financiera/informe-anua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5</Pages>
  <Words>1376</Words>
  <Characters>7848</Characters>
  <Application>Microsoft Office Word</Application>
  <DocSecurity>0</DocSecurity>
  <Lines>65</Lines>
  <Paragraphs>18</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Oriol puig i Carreró</dc:creator>
  <cp:keywords/>
  <dc:description/>
  <cp:lastModifiedBy>Oriol puig i Carreró</cp:lastModifiedBy>
  <cp:revision>84</cp:revision>
  <dcterms:created xsi:type="dcterms:W3CDTF">2024-04-29T17:27:00Z</dcterms:created>
  <dcterms:modified xsi:type="dcterms:W3CDTF">2024-05-01T16:46:00Z</dcterms:modified>
</cp:coreProperties>
</file>