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20.svg" ContentType="image/svg+xml"/>
  <Override PartName="/word/media/rId23.png" ContentType="image/png"/>
  <Override PartName="/word/media/rId99.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CalCOFI.io Docs</w:t>
      </w:r>
    </w:p>
    <w:p>
      <w:pPr>
        <w:pStyle w:val="Date"/>
      </w:pPr>
      <w:r>
        <w:t xml:space="preserve">2026-01-28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process"/>
    <w:p>
      <w:pPr>
        <w:pStyle w:val="Heading1"/>
      </w:pPr>
      <w:r>
        <w:t xml:space="preserve">1. Process</w:t>
      </w:r>
    </w:p>
    <w:tbl>
      <w:tblPr>
        <w:tblStyle w:val="Table"/>
        <w:tblW w:type="pct" w:w="5000"/>
        <w:tblLayout w:type="fixed"/>
        <w:tblLook w:firstRow="0" w:lastRow="0" w:firstColumn="0" w:lastColumn="0" w:noHBand="0" w:noVBand="0" w:val="0000"/>
      </w:tblPr>
      <w:tblGrid>
        <w:gridCol w:w="7920"/>
      </w:tblGrid>
      <w:tr>
        <w:tc>
          <w:tcPr/>
          <w:bookmarkStart w:id="24" w:name="fig-sw-arch"/>
          <w:p>
            <w:pPr>
              <w:pStyle w:val="Compact"/>
              <w:jc w:val="center"/>
            </w:pPr>
            <w:r>
              <w:drawing>
                <wp:inline>
                  <wp:extent cx="3810000" cy="2540000"/>
                  <wp:effectExtent b="0" l="0" r="0" t="0"/>
                  <wp:docPr descr="" title="" id="21" name="Picture"/>
                  <a:graphic>
                    <a:graphicData uri="http://schemas.openxmlformats.org/drawingml/2006/picture">
                      <pic:pic>
                        <pic:nvPicPr>
                          <pic:cNvPr descr="figs/sw_arch.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CalCOFI data workflow.</w:t>
            </w:r>
          </w:p>
          <w:bookmarkEnd w:id="24"/>
        </w:tc>
      </w:tr>
    </w:tbl>
    <w:p>
      <w:pPr>
        <w:pStyle w:val="BodyText"/>
      </w:pPr>
      <w:r>
        <w:t xml:space="preserve">The original raw</w:t>
      </w:r>
      <w:r>
        <w:t xml:space="preserve"> </w:t>
      </w:r>
      <w:r>
        <w:rPr>
          <w:b/>
          <w:bCs/>
        </w:rPr>
        <w:t xml:space="preserve">data</w:t>
      </w:r>
      <w:r>
        <w:t xml:space="preserve">, most often in tabular format [e.g., comma-separated value (*.csv)], gets</w:t>
      </w:r>
      <w:r>
        <w:t xml:space="preserve"> </w:t>
      </w:r>
      <w:r>
        <w:rPr>
          <w:b/>
          <w:bCs/>
        </w:rPr>
        <w:t xml:space="preserve">ingest</w:t>
      </w:r>
      <w:r>
        <w:t xml:space="preserve">ed into the</w:t>
      </w:r>
      <w:r>
        <w:t xml:space="preserve"> </w:t>
      </w:r>
      <w:r>
        <w:rPr>
          <w:b/>
          <w:bCs/>
        </w:rPr>
        <w:t xml:space="preserve">database</w:t>
      </w:r>
      <w:r>
        <w:t xml:space="preserve"> </w:t>
      </w:r>
      <w:r>
        <w:t xml:space="preserve">by R</w:t>
      </w:r>
      <w:r>
        <w:t xml:space="preserve"> </w:t>
      </w:r>
      <w:hyperlink r:id="rId25">
        <w:r>
          <w:rPr>
            <w:rStyle w:val="Hyperlink"/>
          </w:rPr>
          <w:t xml:space="preserve">scripts</w:t>
        </w:r>
      </w:hyperlink>
      <w:r>
        <w:t xml:space="preserve"> </w:t>
      </w:r>
      <w:r>
        <w:t xml:space="preserve">that use functions and lookup data tables in the R package</w:t>
      </w:r>
      <w:r>
        <w:t xml:space="preserve"> </w:t>
      </w:r>
      <w:hyperlink r:id="rId26">
        <w:r>
          <w:rPr>
            <w:rStyle w:val="VerbatimChar"/>
            <w:b/>
            <w:bCs/>
          </w:rPr>
          <w:t xml:space="preserve">calcofi4r</w:t>
        </w:r>
      </w:hyperlink>
      <w:r>
        <w:t xml:space="preserve"> </w:t>
      </w:r>
      <w:r>
        <w:t xml:space="preserve">where functions are organized into</w:t>
      </w:r>
      <w:r>
        <w:t xml:space="preserve"> </w:t>
      </w:r>
      <w:r>
        <w:rPr>
          <w:i/>
          <w:iCs/>
        </w:rPr>
        <w:t xml:space="preserve">Read</w:t>
      </w:r>
      <w:r>
        <w:t xml:space="preserve">,</w:t>
      </w:r>
      <w:r>
        <w:t xml:space="preserve"> </w:t>
      </w:r>
      <w:r>
        <w:rPr>
          <w:i/>
          <w:iCs/>
        </w:rPr>
        <w:t xml:space="preserve">Analyze</w:t>
      </w:r>
      <w:r>
        <w:t xml:space="preserve"> </w:t>
      </w:r>
      <w:r>
        <w:t xml:space="preserve">and</w:t>
      </w:r>
      <w:r>
        <w:t xml:space="preserve"> </w:t>
      </w:r>
      <w:r>
        <w:rPr>
          <w:i/>
          <w:iCs/>
        </w:rPr>
        <w:t xml:space="preserve">Visualize</w:t>
      </w:r>
      <w:r>
        <w:t xml:space="preserve"> </w:t>
      </w:r>
      <w:r>
        <w:t xml:space="preserve">concepts. The application programming interface (</w:t>
      </w:r>
      <w:r>
        <w:rPr>
          <w:b/>
          <w:bCs/>
        </w:rPr>
        <w:t xml:space="preserve">API</w:t>
      </w:r>
      <w:r>
        <w:t xml:space="preserve">) provides a program-language-agnostic public interface for rendering subsets of data and custom visualizations given a set of documented input parameters for feeding interactive applications (</w:t>
      </w:r>
      <w:r>
        <w:rPr>
          <w:b/>
          <w:bCs/>
        </w:rPr>
        <w:t xml:space="preserve">Apps</w:t>
      </w:r>
      <w:r>
        <w:t xml:space="preserve">) using Shiny (or any other web application framework) and</w:t>
      </w:r>
      <w:r>
        <w:t xml:space="preserve"> </w:t>
      </w:r>
      <w:r>
        <w:rPr>
          <w:b/>
          <w:bCs/>
        </w:rPr>
        <w:t xml:space="preserve">reports</w:t>
      </w:r>
      <w:r>
        <w:t xml:space="preserve"> </w:t>
      </w:r>
      <w:r>
        <w:t xml:space="preserve">using Rmarkdown (or any other report templating framework). Finally, R scripts will</w:t>
      </w:r>
      <w:r>
        <w:t xml:space="preserve"> </w:t>
      </w:r>
      <w:r>
        <w:rPr>
          <w:b/>
          <w:bCs/>
        </w:rPr>
        <w:t xml:space="preserve">publish</w:t>
      </w:r>
      <w:r>
        <w:t xml:space="preserve"> </w:t>
      </w:r>
      <w:r>
        <w:t xml:space="preserve">metadata (as</w:t>
      </w:r>
      <w:r>
        <w:t xml:space="preserve"> </w:t>
      </w:r>
      <w:hyperlink r:id="rId27">
        <w:r>
          <w:rPr>
            <w:rStyle w:val="Hyperlink"/>
          </w:rPr>
          <w:t xml:space="preserve">Ecological Metadata Language</w:t>
        </w:r>
      </w:hyperlink>
      <w:r>
        <w:t xml:space="preserve">) and data packages (e.g., in Darwin format) for discovery on a variety of data</w:t>
      </w:r>
      <w:r>
        <w:t xml:space="preserve"> </w:t>
      </w:r>
      <w:r>
        <w:rPr>
          <w:b/>
          <w:bCs/>
          <w:i/>
          <w:iCs/>
        </w:rPr>
        <w:t xml:space="preserve">portals</w:t>
      </w:r>
      <w:r>
        <w:t xml:space="preserve"> </w:t>
      </w:r>
      <w:r>
        <w:t xml:space="preserve">oriented around slicing the tabular or gridded data (</w:t>
      </w:r>
      <w:hyperlink r:id="rId28">
        <w:r>
          <w:rPr>
            <w:rStyle w:val="Hyperlink"/>
          </w:rPr>
          <w:t xml:space="preserve">ERDDAP</w:t>
        </w:r>
      </w:hyperlink>
      <w:r>
        <w:t xml:space="preserve">), biogeographic analysis (</w:t>
      </w:r>
      <w:hyperlink r:id="rId29">
        <w:r>
          <w:rPr>
            <w:rStyle w:val="Hyperlink"/>
          </w:rPr>
          <w:t xml:space="preserve">OBIS</w:t>
        </w:r>
      </w:hyperlink>
      <w:r>
        <w:t xml:space="preserve">), long-term archive (</w:t>
      </w:r>
      <w:hyperlink r:id="rId30">
        <w:r>
          <w:rPr>
            <w:rStyle w:val="Hyperlink"/>
          </w:rPr>
          <w:t xml:space="preserve">DataOne</w:t>
        </w:r>
      </w:hyperlink>
      <w:r>
        <w:t xml:space="preserve">,</w:t>
      </w:r>
      <w:r>
        <w:t xml:space="preserve"> </w:t>
      </w:r>
      <w:hyperlink r:id="rId31">
        <w:r>
          <w:rPr>
            <w:rStyle w:val="Hyperlink"/>
          </w:rPr>
          <w:t xml:space="preserve">NCEI</w:t>
        </w:r>
      </w:hyperlink>
      <w:r>
        <w:t xml:space="preserve">) or metadata discovery (</w:t>
      </w:r>
      <w:hyperlink r:id="rId32">
        <w:r>
          <w:rPr>
            <w:rStyle w:val="Hyperlink"/>
          </w:rPr>
          <w:t xml:space="preserve">InPort</w:t>
        </w:r>
      </w:hyperlink>
      <w:r>
        <w:t xml:space="preserve">). The</w:t>
      </w:r>
      <w:r>
        <w:t xml:space="preserve"> </w:t>
      </w:r>
      <w:r>
        <w:rPr>
          <w:b/>
          <w:bCs/>
        </w:rPr>
        <w:t xml:space="preserve">database</w:t>
      </w:r>
      <w:r>
        <w:t xml:space="preserve"> </w:t>
      </w:r>
      <w:r>
        <w:t xml:space="preserve">will be spatially enabled by PostGIS for summarizing any and all data by</w:t>
      </w:r>
      <w:r>
        <w:t xml:space="preserve"> </w:t>
      </w:r>
      <w:r>
        <w:rPr>
          <w:b/>
          <w:bCs/>
          <w:i/>
          <w:iCs/>
        </w:rPr>
        <w:t xml:space="preserve">Areas of Interest</w:t>
      </w:r>
      <w:r>
        <w:t xml:space="preserve"> </w:t>
      </w:r>
      <w:r>
        <w:t xml:space="preserve">(AoIs), whether pre-defined (e.g., sanctuaries, MPAs, counties, etc.) or arbitrary new areas. (</w:t>
      </w:r>
      <w:hyperlink w:anchor="fig-sw-arch">
        <w:r>
          <w:rPr>
            <w:rStyle w:val="Hyperlink"/>
          </w:rPr>
          <w:t xml:space="preserve">Figure 1.1</w:t>
        </w:r>
      </w:hyperlink>
      <w:r>
        <w:t xml:space="preserve">)</w:t>
      </w:r>
    </w:p>
    <w:bookmarkEnd w:id="33"/>
    <w:bookmarkStart w:id="38" w:name="reports"/>
    <w:p>
      <w:pPr>
        <w:pStyle w:val="Heading1"/>
      </w:pPr>
      <w:r>
        <w:t xml:space="preserve">2. Reports</w:t>
      </w:r>
    </w:p>
    <w:bookmarkStart w:id="37" w:name="sanctuaries"/>
    <w:p>
      <w:pPr>
        <w:pStyle w:val="Heading2"/>
      </w:pPr>
      <w:r>
        <w:t xml:space="preserve">2.1 Sanctuaries</w:t>
      </w:r>
    </w:p>
    <w:p>
      <w:pPr>
        <w:pStyle w:val="Compact"/>
        <w:numPr>
          <w:ilvl w:val="0"/>
          <w:numId w:val="1001"/>
        </w:numPr>
      </w:pPr>
      <w:hyperlink r:id="rId34">
        <w:r>
          <w:rPr>
            <w:rStyle w:val="Hyperlink"/>
          </w:rPr>
          <w:t xml:space="preserve">Channel Islands WebCR</w:t>
        </w:r>
      </w:hyperlink>
      <w:r>
        <w:br/>
      </w:r>
      <w:r>
        <w:t xml:space="preserve">web-enabled Condition Report</w:t>
      </w:r>
    </w:p>
    <w:p>
      <w:pPr>
        <w:pStyle w:val="Compact"/>
        <w:numPr>
          <w:ilvl w:val="1"/>
          <w:numId w:val="1002"/>
        </w:numPr>
      </w:pPr>
      <w:hyperlink r:id="rId35">
        <w:r>
          <w:rPr>
            <w:rStyle w:val="Hyperlink"/>
          </w:rPr>
          <w:t xml:space="preserve">Forage Fish</w:t>
        </w:r>
      </w:hyperlink>
      <w:r>
        <w:br/>
      </w:r>
      <w:r>
        <w:t xml:space="preserve">example of using calcofi4r functions that pull from the API</w:t>
      </w:r>
    </w:p>
    <w:p>
      <w:pPr>
        <w:pStyle w:val="Compact"/>
        <w:numPr>
          <w:ilvl w:val="0"/>
          <w:numId w:val="1001"/>
        </w:numPr>
      </w:pPr>
      <w:hyperlink r:id="rId36">
        <w:r>
          <w:rPr>
            <w:rStyle w:val="Hyperlink"/>
          </w:rPr>
          <w:t xml:space="preserve">UCSB Student Capstone</w:t>
        </w:r>
      </w:hyperlink>
    </w:p>
    <w:bookmarkEnd w:id="37"/>
    <w:bookmarkEnd w:id="38"/>
    <w:bookmarkStart w:id="40" w:name="applications"/>
    <w:p>
      <w:pPr>
        <w:pStyle w:val="Heading1"/>
      </w:pPr>
      <w:r>
        <w:t xml:space="preserve">3. Applications</w:t>
      </w:r>
    </w:p>
    <w:p>
      <w:pPr>
        <w:pStyle w:val="Compact"/>
        <w:numPr>
          <w:ilvl w:val="0"/>
          <w:numId w:val="1003"/>
        </w:numPr>
      </w:pPr>
      <w:hyperlink r:id="rId39">
        <w:r>
          <w:rPr>
            <w:rStyle w:val="Hyperlink"/>
          </w:rPr>
          <w:t xml:space="preserve">CalCOFI Oceanography</w:t>
        </w:r>
      </w:hyperlink>
      <w:r>
        <w:br/>
      </w:r>
      <w:r>
        <w:t xml:space="preserve">oceanographic summarization by arbitrary area of interest and sampling period</w:t>
      </w:r>
    </w:p>
    <w:p>
      <w:pPr>
        <w:pStyle w:val="Compact"/>
        <w:numPr>
          <w:ilvl w:val="0"/>
          <w:numId w:val="1003"/>
        </w:numPr>
      </w:pPr>
      <w:hyperlink r:id="rId36">
        <w:r>
          <w:rPr>
            <w:rStyle w:val="Hyperlink"/>
          </w:rPr>
          <w:t xml:space="preserve">UCSB Student Capstone</w:t>
        </w:r>
      </w:hyperlink>
    </w:p>
    <w:bookmarkEnd w:id="40"/>
    <w:bookmarkStart w:id="49" w:name="api"/>
    <w:p>
      <w:pPr>
        <w:pStyle w:val="Heading1"/>
      </w:pPr>
      <w:r>
        <w:t xml:space="preserve">4. API</w:t>
      </w:r>
    </w:p>
    <w:p>
      <w:pPr>
        <w:pStyle w:val="FirstParagraph"/>
      </w:pPr>
      <w:r>
        <w:t xml:space="preserve">The raw interface to the Application Programming Interface (API) is available at:</w:t>
      </w:r>
    </w:p>
    <w:p>
      <w:pPr>
        <w:pStyle w:val="Compact"/>
        <w:numPr>
          <w:ilvl w:val="0"/>
          <w:numId w:val="1004"/>
        </w:numPr>
      </w:pPr>
      <w:hyperlink r:id="rId41">
        <w:r>
          <w:rPr>
            <w:rStyle w:val="Hyperlink"/>
          </w:rPr>
          <w:t xml:space="preserve">api.calcofi.io</w:t>
        </w:r>
      </w:hyperlink>
    </w:p>
    <w:p>
      <w:pPr>
        <w:pStyle w:val="FirstParagraph"/>
      </w:pPr>
      <w:r>
        <w:t xml:space="preserve">Here we will provide more guidance on how to use the API functions with documented input arguments, output results and examples of use.</w:t>
      </w:r>
    </w:p>
    <w:bookmarkStart w:id="42" w:name="Xdb5bff4ab80b125e0ec9e269dee45c035441004"/>
    <w:p>
      <w:pPr>
        <w:pStyle w:val="Heading2"/>
      </w:pPr>
      <w:r>
        <w:t xml:space="preserve">4.1</w:t>
      </w:r>
      <w:r>
        <w:t xml:space="preserve"> </w:t>
      </w:r>
      <w:r>
        <w:rPr>
          <w:rStyle w:val="VerbatimChar"/>
        </w:rPr>
        <w:t xml:space="preserve">/variables</w:t>
      </w:r>
      <w:r>
        <w:t xml:space="preserve">: get list of variables for timeseries</w:t>
      </w:r>
    </w:p>
    <w:p>
      <w:pPr>
        <w:pStyle w:val="FirstParagraph"/>
      </w:pPr>
      <w:r>
        <w:t xml:space="preserve">Get list of variables for use in</w:t>
      </w:r>
      <w:r>
        <w:t xml:space="preserve"> </w:t>
      </w:r>
      <w:r>
        <w:rPr>
          <w:rStyle w:val="VerbatimChar"/>
        </w:rPr>
        <w:t xml:space="preserve">/timeseries</w:t>
      </w:r>
    </w:p>
    <w:bookmarkEnd w:id="42"/>
    <w:bookmarkStart w:id="43" w:name="X2e8db8a58726b26347d058597f7a3dd58280c6c"/>
    <w:p>
      <w:pPr>
        <w:pStyle w:val="Heading2"/>
      </w:pPr>
      <w:r>
        <w:t xml:space="preserve">4.2</w:t>
      </w:r>
      <w:r>
        <w:t xml:space="preserve"> </w:t>
      </w:r>
      <w:r>
        <w:rPr>
          <w:rStyle w:val="VerbatimChar"/>
        </w:rPr>
        <w:t xml:space="preserve">/species_groups</w:t>
      </w:r>
      <w:r>
        <w:t xml:space="preserve">: get species groups for larvae</w:t>
      </w:r>
    </w:p>
    <w:p>
      <w:pPr>
        <w:pStyle w:val="FirstParagraph"/>
      </w:pPr>
      <w:r>
        <w:t xml:space="preserve">Not yet working. Get list of species groups for use with variables</w:t>
      </w:r>
      <w:r>
        <w:t xml:space="preserve"> </w:t>
      </w:r>
      <w:r>
        <w:rPr>
          <w:rStyle w:val="VerbatimChar"/>
        </w:rPr>
        <w:t xml:space="preserve">larvae_counts.count</w:t>
      </w:r>
      <w:r>
        <w:t xml:space="preserve"> </w:t>
      </w:r>
      <w:r>
        <w:t xml:space="preserve">in</w:t>
      </w:r>
      <w:r>
        <w:t xml:space="preserve"> </w:t>
      </w:r>
      <w:r>
        <w:rPr>
          <w:rStyle w:val="VerbatimChar"/>
        </w:rPr>
        <w:t xml:space="preserve">/timeseries</w:t>
      </w:r>
    </w:p>
    <w:bookmarkEnd w:id="43"/>
    <w:bookmarkStart w:id="44" w:name="timeseries-get-time-series-data"/>
    <w:p>
      <w:pPr>
        <w:pStyle w:val="Heading2"/>
      </w:pPr>
      <w:r>
        <w:t xml:space="preserve">4.3</w:t>
      </w:r>
      <w:r>
        <w:t xml:space="preserve"> </w:t>
      </w:r>
      <w:r>
        <w:rPr>
          <w:rStyle w:val="VerbatimChar"/>
        </w:rPr>
        <w:t xml:space="preserve">/timeseries</w:t>
      </w:r>
      <w:r>
        <w:t xml:space="preserve">: get time series data</w:t>
      </w:r>
    </w:p>
    <w:bookmarkEnd w:id="44"/>
    <w:bookmarkStart w:id="45" w:name="cruises-get-list-of-cruises"/>
    <w:p>
      <w:pPr>
        <w:pStyle w:val="Heading2"/>
      </w:pPr>
      <w:r>
        <w:t xml:space="preserve">4.4</w:t>
      </w:r>
      <w:r>
        <w:t xml:space="preserve"> </w:t>
      </w:r>
      <w:r>
        <w:rPr>
          <w:rStyle w:val="VerbatimChar"/>
        </w:rPr>
        <w:t xml:space="preserve">/cruises</w:t>
      </w:r>
      <w:r>
        <w:t xml:space="preserve">: get list of cruises</w:t>
      </w:r>
    </w:p>
    <w:p>
      <w:pPr>
        <w:pStyle w:val="FirstParagraph"/>
      </w:pPr>
      <w:r>
        <w:t xml:space="preserve">Get list of cruises with summary stats as CSV table for time (</w:t>
      </w:r>
      <w:r>
        <w:rPr>
          <w:rStyle w:val="VerbatimChar"/>
        </w:rPr>
        <w:t xml:space="preserve">date_beg</w:t>
      </w:r>
      <w:r>
        <w:t xml:space="preserve">)</w:t>
      </w:r>
    </w:p>
    <w:bookmarkEnd w:id="45"/>
    <w:bookmarkStart w:id="46" w:name="raster-get-raster-map-of-variable"/>
    <w:p>
      <w:pPr>
        <w:pStyle w:val="Heading2"/>
      </w:pPr>
      <w:r>
        <w:t xml:space="preserve">4.5</w:t>
      </w:r>
      <w:r>
        <w:t xml:space="preserve"> </w:t>
      </w:r>
      <w:r>
        <w:rPr>
          <w:rStyle w:val="VerbatimChar"/>
        </w:rPr>
        <w:t xml:space="preserve">/raster</w:t>
      </w:r>
      <w:r>
        <w:t xml:space="preserve">: get raster map of variable</w:t>
      </w:r>
    </w:p>
    <w:p>
      <w:pPr>
        <w:pStyle w:val="FirstParagraph"/>
      </w:pPr>
      <w:r>
        <w:t xml:space="preserve">Get raster of variable</w:t>
      </w:r>
    </w:p>
    <w:bookmarkEnd w:id="46"/>
    <w:bookmarkStart w:id="47" w:name="Xa9a102ad85f0c24be017fb63291e7ac82393149"/>
    <w:p>
      <w:pPr>
        <w:pStyle w:val="Heading2"/>
      </w:pPr>
      <w:r>
        <w:t xml:space="preserve">4.6</w:t>
      </w:r>
      <w:r>
        <w:t xml:space="preserve"> </w:t>
      </w:r>
      <w:r>
        <w:rPr>
          <w:rStyle w:val="VerbatimChar"/>
        </w:rPr>
        <w:t xml:space="preserve">/cruise_lines</w:t>
      </w:r>
      <w:r>
        <w:t xml:space="preserve">: get station lines from cruises</w:t>
      </w:r>
    </w:p>
    <w:p>
      <w:pPr>
        <w:pStyle w:val="FirstParagraph"/>
      </w:pPr>
      <w:r>
        <w:t xml:space="preserve">Get station lines from cruises (with more than one cast)</w:t>
      </w:r>
    </w:p>
    <w:bookmarkEnd w:id="47"/>
    <w:bookmarkStart w:id="48" w:name="cruise_line_profile"/>
    <w:p>
      <w:pPr>
        <w:pStyle w:val="Heading2"/>
      </w:pPr>
      <w:r>
        <w:t xml:space="preserve">4.7</w:t>
      </w:r>
      <w:r>
        <w:t xml:space="preserve"> </w:t>
      </w:r>
      <w:r>
        <w:rPr>
          <w:rStyle w:val="VerbatimChar"/>
        </w:rPr>
        <w:t xml:space="preserve">/cruise_line_profile</w:t>
      </w:r>
    </w:p>
    <w:p>
      <w:pPr>
        <w:pStyle w:val="FirstParagraph"/>
      </w:pPr>
      <w:r>
        <w:t xml:space="preserve">Get profile at depths for given variable of casts along line of stations</w:t>
      </w:r>
    </w:p>
    <w:bookmarkEnd w:id="48"/>
    <w:bookmarkEnd w:id="49"/>
    <w:bookmarkStart w:id="97" w:name="database"/>
    <w:p>
      <w:pPr>
        <w:pStyle w:val="Heading1"/>
      </w:pPr>
      <w:r>
        <w:t xml:space="preserve">5. Database</w:t>
      </w:r>
    </w:p>
    <w:bookmarkStart w:id="60" w:name="database-naming-conventions"/>
    <w:p>
      <w:pPr>
        <w:pStyle w:val="Heading2"/>
      </w:pPr>
      <w:r>
        <w:t xml:space="preserve">5.1 Database naming conventions</w:t>
      </w:r>
    </w:p>
    <w:p>
      <w:pPr>
        <w:pStyle w:val="BlockText"/>
      </w:pPr>
      <w:r>
        <w:t xml:space="preserve">There are only two hard things in Computer Science: cache invalidation and naming things. – Phil Karlton (Netscape architect)</w:t>
      </w:r>
    </w:p>
    <w:p>
      <w:pPr>
        <w:pStyle w:val="FirstParagraph"/>
      </w:pPr>
      <w:r>
        <w:t xml:space="preserve">We’re circling the wagons to come up with the best conventions for naming. Here are some ideas:</w:t>
      </w:r>
    </w:p>
    <w:p>
      <w:pPr>
        <w:pStyle w:val="Compact"/>
        <w:numPr>
          <w:ilvl w:val="0"/>
          <w:numId w:val="1005"/>
        </w:numPr>
      </w:pPr>
      <w:hyperlink r:id="rId50">
        <w:r>
          <w:rPr>
            <w:rStyle w:val="Hyperlink"/>
          </w:rPr>
          <w:t xml:space="preserve">Learn SQL: Naming Conventions</w:t>
        </w:r>
      </w:hyperlink>
    </w:p>
    <w:p>
      <w:pPr>
        <w:pStyle w:val="Compact"/>
        <w:numPr>
          <w:ilvl w:val="0"/>
          <w:numId w:val="1005"/>
        </w:numPr>
      </w:pPr>
      <w:hyperlink r:id="rId51">
        <w:r>
          <w:rPr>
            <w:rStyle w:val="Hyperlink"/>
          </w:rPr>
          <w:t xml:space="preserve">Best Practices for Database Naming Conventions - Drygast.NET</w:t>
        </w:r>
      </w:hyperlink>
    </w:p>
    <w:bookmarkStart w:id="52" w:name="name-tables"/>
    <w:p>
      <w:pPr>
        <w:pStyle w:val="Heading3"/>
      </w:pPr>
      <w:r>
        <w:t xml:space="preserve">5.1.1 Name tables</w:t>
      </w:r>
    </w:p>
    <w:p>
      <w:pPr>
        <w:pStyle w:val="Compact"/>
        <w:numPr>
          <w:ilvl w:val="0"/>
          <w:numId w:val="1006"/>
        </w:numPr>
      </w:pPr>
      <w:r>
        <w:t xml:space="preserve">Table names are singular and use all lower case.</w:t>
      </w:r>
    </w:p>
    <w:bookmarkEnd w:id="52"/>
    <w:bookmarkStart w:id="59" w:name="name-columns"/>
    <w:p>
      <w:pPr>
        <w:pStyle w:val="Heading3"/>
      </w:pPr>
      <w:r>
        <w:t xml:space="preserve">5.1.2 Name columns</w:t>
      </w:r>
    </w:p>
    <w:p>
      <w:pPr>
        <w:numPr>
          <w:ilvl w:val="0"/>
          <w:numId w:val="1007"/>
        </w:numPr>
      </w:pPr>
      <w:r>
        <w:t xml:space="preserve">To name columns, use</w:t>
      </w:r>
      <w:r>
        <w:t xml:space="preserve"> </w:t>
      </w:r>
      <w:hyperlink r:id="rId53">
        <w:r>
          <w:rPr>
            <w:rStyle w:val="Hyperlink"/>
            <w:b/>
            <w:bCs/>
          </w:rPr>
          <w:t xml:space="preserve">snake-case</w:t>
        </w:r>
      </w:hyperlink>
      <w:r>
        <w:t xml:space="preserve"> </w:t>
      </w:r>
      <w:r>
        <w:t xml:space="preserve">(i.e., lower-case with underscores) so as to prevent the need to quote SQL statements. (TIP: Use</w:t>
      </w:r>
      <w:r>
        <w:t xml:space="preserve"> </w:t>
      </w:r>
      <w:hyperlink r:id="rId54">
        <w:r>
          <w:rPr>
            <w:rStyle w:val="VerbatimChar"/>
          </w:rPr>
          <w:t xml:space="preserve">janitor::clean_names()</w:t>
        </w:r>
      </w:hyperlink>
      <w:r>
        <w:t xml:space="preserve"> </w:t>
      </w:r>
      <w:r>
        <w:t xml:space="preserve">to convert a table.)</w:t>
      </w:r>
    </w:p>
    <w:p>
      <w:pPr>
        <w:numPr>
          <w:ilvl w:val="0"/>
          <w:numId w:val="1007"/>
        </w:numPr>
      </w:pPr>
      <w:r>
        <w:t xml:space="preserve">Unique</w:t>
      </w:r>
      <w:r>
        <w:t xml:space="preserve"> </w:t>
      </w:r>
      <w:r>
        <w:rPr>
          <w:b/>
          <w:bCs/>
        </w:rPr>
        <w:t xml:space="preserve">identifiers</w:t>
      </w:r>
      <w:r>
        <w:t xml:space="preserve"> </w:t>
      </w:r>
      <w:r>
        <w:t xml:space="preserve">are suffixed with:</w:t>
      </w:r>
    </w:p>
    <w:p>
      <w:pPr>
        <w:pStyle w:val="Compact"/>
        <w:numPr>
          <w:ilvl w:val="1"/>
          <w:numId w:val="1008"/>
        </w:numPr>
      </w:pPr>
      <w:r>
        <w:rPr>
          <w:rStyle w:val="VerbatimChar"/>
        </w:rPr>
        <w:t xml:space="preserve">*_id</w:t>
      </w:r>
      <w:r>
        <w:t xml:space="preserve"> </w:t>
      </w:r>
      <w:r>
        <w:t xml:space="preserve">for unique integer keys;</w:t>
      </w:r>
    </w:p>
    <w:p>
      <w:pPr>
        <w:pStyle w:val="Compact"/>
        <w:numPr>
          <w:ilvl w:val="1"/>
          <w:numId w:val="1008"/>
        </w:numPr>
      </w:pPr>
      <w:r>
        <w:rPr>
          <w:rStyle w:val="VerbatimChar"/>
        </w:rPr>
        <w:t xml:space="preserve">*_uuid</w:t>
      </w:r>
      <w:r>
        <w:t xml:space="preserve"> </w:t>
      </w:r>
      <w:r>
        <w:t xml:space="preserve">for universally unique identifiers as defined by</w:t>
      </w:r>
      <w:r>
        <w:t xml:space="preserve"> </w:t>
      </w:r>
      <w:hyperlink r:id="rId55">
        <w:r>
          <w:rPr>
            <w:rStyle w:val="Hyperlink"/>
          </w:rPr>
          <w:t xml:space="preserve">RFC 4122</w:t>
        </w:r>
      </w:hyperlink>
      <w:r>
        <w:t xml:space="preserve"> </w:t>
      </w:r>
      <w:r>
        <w:t xml:space="preserve">and stored in Postgres as</w:t>
      </w:r>
      <w:r>
        <w:t xml:space="preserve"> </w:t>
      </w:r>
      <w:hyperlink r:id="rId56">
        <w:r>
          <w:rPr>
            <w:rStyle w:val="Hyperlink"/>
          </w:rPr>
          <w:t xml:space="preserve">UUID Type</w:t>
        </w:r>
      </w:hyperlink>
      <w:r>
        <w:t xml:space="preserve">.</w:t>
      </w:r>
    </w:p>
    <w:p>
      <w:pPr>
        <w:pStyle w:val="Compact"/>
        <w:numPr>
          <w:ilvl w:val="1"/>
          <w:numId w:val="1008"/>
        </w:numPr>
      </w:pPr>
      <w:r>
        <w:rPr>
          <w:rStyle w:val="VerbatimChar"/>
        </w:rPr>
        <w:t xml:space="preserve">*_key</w:t>
      </w:r>
      <w:r>
        <w:t xml:space="preserve"> </w:t>
      </w:r>
      <w:r>
        <w:t xml:space="preserve">for unique string keys;</w:t>
      </w:r>
    </w:p>
    <w:p>
      <w:pPr>
        <w:pStyle w:val="Compact"/>
        <w:numPr>
          <w:ilvl w:val="1"/>
          <w:numId w:val="1008"/>
        </w:numPr>
      </w:pPr>
      <w:r>
        <w:rPr>
          <w:rStyle w:val="VerbatimChar"/>
        </w:rPr>
        <w:t xml:space="preserve">*_seq</w:t>
      </w:r>
      <w:r>
        <w:t xml:space="preserve"> </w:t>
      </w:r>
      <w:r>
        <w:t xml:space="preserve">for auto-incrementing sequence integer keys.</w:t>
      </w:r>
    </w:p>
    <w:p>
      <w:pPr>
        <w:numPr>
          <w:ilvl w:val="0"/>
          <w:numId w:val="1007"/>
        </w:numPr>
      </w:pPr>
      <w:r>
        <w:t xml:space="preserve">Suffix with</w:t>
      </w:r>
      <w:r>
        <w:t xml:space="preserve"> </w:t>
      </w:r>
      <w:r>
        <w:rPr>
          <w:b/>
          <w:bCs/>
        </w:rPr>
        <w:t xml:space="preserve">units</w:t>
      </w:r>
      <w:r>
        <w:t xml:space="preserve"> </w:t>
      </w:r>
      <w:r>
        <w:t xml:space="preserve">where applicable (e.g.,</w:t>
      </w:r>
      <w:r>
        <w:t xml:space="preserve"> </w:t>
      </w:r>
      <w:r>
        <w:rPr>
          <w:rStyle w:val="VerbatimChar"/>
        </w:rPr>
        <w:t xml:space="preserve">*_m</w:t>
      </w:r>
      <w:r>
        <w:t xml:space="preserve"> </w:t>
      </w:r>
      <w:r>
        <w:t xml:space="preserve">for meters,</w:t>
      </w:r>
      <w:r>
        <w:t xml:space="preserve"> </w:t>
      </w:r>
      <w:r>
        <w:rPr>
          <w:rStyle w:val="VerbatimChar"/>
        </w:rPr>
        <w:t xml:space="preserve">*_km</w:t>
      </w:r>
      <w:r>
        <w:t xml:space="preserve"> </w:t>
      </w:r>
      <w:r>
        <w:t xml:space="preserve">for kilometers,</w:t>
      </w:r>
      <w:r>
        <w:t xml:space="preserve"> </w:t>
      </w:r>
      <w:r>
        <w:rPr>
          <w:rStyle w:val="VerbatimChar"/>
        </w:rPr>
        <w:t xml:space="preserve">degc</w:t>
      </w:r>
      <w:r>
        <w:t xml:space="preserve"> </w:t>
      </w:r>
      <w:r>
        <w:t xml:space="preserve">for degrees Celsius). See</w:t>
      </w:r>
      <w:r>
        <w:t xml:space="preserve"> </w:t>
      </w:r>
      <w:hyperlink r:id="rId57">
        <w:r>
          <w:rPr>
            <w:rStyle w:val="Hyperlink"/>
          </w:rPr>
          <w:t xml:space="preserve">units vignette</w:t>
        </w:r>
      </w:hyperlink>
      <w:r>
        <w:t xml:space="preserve">.</w:t>
      </w:r>
    </w:p>
    <w:p>
      <w:pPr>
        <w:numPr>
          <w:ilvl w:val="0"/>
          <w:numId w:val="1007"/>
        </w:numPr>
      </w:pPr>
      <w:r>
        <w:t xml:space="preserve">Set geometry column to</w:t>
      </w:r>
      <w:r>
        <w:t xml:space="preserve"> </w:t>
      </w:r>
      <w:r>
        <w:rPr>
          <w:rStyle w:val="VerbatimChar"/>
          <w:b/>
          <w:bCs/>
        </w:rPr>
        <w:t xml:space="preserve">geom</w:t>
      </w:r>
      <w:r>
        <w:t xml:space="preserve"> </w:t>
      </w:r>
      <w:r>
        <w:t xml:space="preserve">(used by</w:t>
      </w:r>
      <w:r>
        <w:t xml:space="preserve"> </w:t>
      </w:r>
      <w:hyperlink r:id="rId58">
        <w:r>
          <w:rPr>
            <w:rStyle w:val="Hyperlink"/>
          </w:rPr>
          <w:t xml:space="preserve">PostGIS</w:t>
        </w:r>
      </w:hyperlink>
      <w:r>
        <w:t xml:space="preserve"> </w:t>
      </w:r>
      <w:r>
        <w:t xml:space="preserve">spatial extension). If the table has multiple geometry columns, use</w:t>
      </w:r>
      <w:r>
        <w:t xml:space="preserve"> </w:t>
      </w:r>
      <w:r>
        <w:rPr>
          <w:rStyle w:val="VerbatimChar"/>
        </w:rPr>
        <w:t xml:space="preserve">geom</w:t>
      </w:r>
      <w:r>
        <w:t xml:space="preserve"> </w:t>
      </w:r>
      <w:r>
        <w:t xml:space="preserve">for the default geometry column and</w:t>
      </w:r>
      <w:r>
        <w:t xml:space="preserve"> </w:t>
      </w:r>
      <w:r>
        <w:rPr>
          <w:rStyle w:val="VerbatimChar"/>
        </w:rPr>
        <w:t xml:space="preserve">geom_{type}</w:t>
      </w:r>
      <w:r>
        <w:t xml:space="preserve"> </w:t>
      </w:r>
      <w:r>
        <w:t xml:space="preserve">for additional geometry columns (e.g.,</w:t>
      </w:r>
      <w:r>
        <w:t xml:space="preserve"> </w:t>
      </w:r>
      <w:r>
        <w:rPr>
          <w:rStyle w:val="VerbatimChar"/>
        </w:rPr>
        <w:t xml:space="preserve">geom_point</w:t>
      </w:r>
      <w:r>
        <w:t xml:space="preserve">,</w:t>
      </w:r>
      <w:r>
        <w:t xml:space="preserve"> </w:t>
      </w:r>
      <w:r>
        <w:rPr>
          <w:rStyle w:val="VerbatimChar"/>
        </w:rPr>
        <w:t xml:space="preserve">geom_line</w:t>
      </w:r>
      <w:r>
        <w:t xml:space="preserve">,</w:t>
      </w:r>
      <w:r>
        <w:t xml:space="preserve"> </w:t>
      </w:r>
      <w:r>
        <w:rPr>
          <w:rStyle w:val="VerbatimChar"/>
        </w:rPr>
        <w:t xml:space="preserve">geom_polygon</w:t>
      </w:r>
      <w:r>
        <w:t xml:space="preserve">).</w:t>
      </w:r>
    </w:p>
    <w:bookmarkEnd w:id="59"/>
    <w:bookmarkEnd w:id="60"/>
    <w:bookmarkStart w:id="68" w:name="use-unicode-for-text"/>
    <w:p>
      <w:pPr>
        <w:pStyle w:val="Heading2"/>
      </w:pPr>
      <w:r>
        <w:t xml:space="preserve">5.2 Use Unicode for text</w:t>
      </w:r>
    </w:p>
    <w:p>
      <w:pPr>
        <w:pStyle w:val="FirstParagraph"/>
      </w:pPr>
      <w:r>
        <w:t xml:space="preserve">The</w:t>
      </w:r>
      <w:r>
        <w:t xml:space="preserve"> </w:t>
      </w:r>
      <w:hyperlink r:id="rId61">
        <w:r>
          <w:rPr>
            <w:rStyle w:val="Hyperlink"/>
          </w:rPr>
          <w:t xml:space="preserve">default character encoding for Postgresql</w:t>
        </w:r>
      </w:hyperlink>
      <w:r>
        <w:t xml:space="preserve"> </w:t>
      </w:r>
      <w:r>
        <w:t xml:space="preserve">is unicode (</w:t>
      </w:r>
      <w:r>
        <w:rPr>
          <w:rStyle w:val="VerbatimChar"/>
        </w:rPr>
        <w:t xml:space="preserve">UTF8</w:t>
      </w:r>
      <w:r>
        <w:t xml:space="preserve">), which allows for international characters, accents and special characters. Improper encoding can royally mess up basic text.</w:t>
      </w:r>
    </w:p>
    <w:p>
      <w:pPr>
        <w:pStyle w:val="BodyText"/>
      </w:pPr>
      <w:r>
        <w:t xml:space="preserve">Logging into the server, we can see this with the following command:</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postgis psql </w:t>
      </w:r>
      <w:r>
        <w:rPr>
          <w:rStyle w:val="AttributeTok"/>
        </w:rPr>
        <w:t xml:space="preserve">-l</w:t>
      </w:r>
    </w:p>
    <w:p>
      <w:pPr>
        <w:pStyle w:val="SourceCode"/>
      </w:pPr>
      <w:r>
        <w:rPr>
          <w:rStyle w:val="VerbatimChar"/>
        </w:rPr>
        <w:t xml:space="preserve">                                  List of databases</w:t>
      </w:r>
      <w:r>
        <w:br/>
      </w:r>
      <w:r>
        <w:rPr>
          <w:rStyle w:val="VerbatimChar"/>
        </w:rPr>
        <w:t xml:space="preserve">        Name        | Owner | Encoding |  Collate   |   Ctype    | Access privileges </w:t>
      </w:r>
      <w:r>
        <w:br/>
      </w:r>
      <w:r>
        <w:rPr>
          <w:rStyle w:val="VerbatimChar"/>
        </w:rPr>
        <w:t xml:space="preserve">--------------------+-------+----------+------------+------------+-------------------</w:t>
      </w:r>
      <w:r>
        <w:br/>
      </w:r>
      <w:r>
        <w:rPr>
          <w:rStyle w:val="VerbatimChar"/>
        </w:rPr>
        <w:t xml:space="preserve"> gis                | admin | UTF8     | en_US.utf8 | en_US.utf8 | =Tc/admin        +</w:t>
      </w:r>
      <w:r>
        <w:br/>
      </w:r>
      <w:r>
        <w:rPr>
          <w:rStyle w:val="VerbatimChar"/>
        </w:rPr>
        <w:t xml:space="preserve">                    |       |          |            |            | admin=CTc/admin  +</w:t>
      </w:r>
      <w:r>
        <w:br/>
      </w:r>
      <w:r>
        <w:rPr>
          <w:rStyle w:val="VerbatimChar"/>
        </w:rPr>
        <w:t xml:space="preserve">                    |       |          |            |            | ro_user=c/admin</w:t>
      </w:r>
      <w:r>
        <w:br/>
      </w:r>
      <w:r>
        <w:rPr>
          <w:rStyle w:val="VerbatimChar"/>
        </w:rPr>
        <w:t xml:space="preserve"> lter_core_metabase | admin | UTF8     | en_US.utf8 | en_US.utf8 | =Tc/admin        +</w:t>
      </w:r>
      <w:r>
        <w:br/>
      </w:r>
      <w:r>
        <w:rPr>
          <w:rStyle w:val="VerbatimChar"/>
        </w:rPr>
        <w:t xml:space="preserve">                    |       |          |            |            | admin=CTc/admin  +</w:t>
      </w:r>
      <w:r>
        <w:br/>
      </w:r>
      <w:r>
        <w:rPr>
          <w:rStyle w:val="VerbatimChar"/>
        </w:rPr>
        <w:t xml:space="preserve">                    |       |          |            |            | rw_user=c/admin</w:t>
      </w:r>
      <w:r>
        <w:br/>
      </w:r>
      <w:r>
        <w:rPr>
          <w:rStyle w:val="VerbatimChar"/>
        </w:rPr>
        <w:t xml:space="preserve"> postgres           | admin | UTF8     | en_US.utf8 | en_US.utf8 | </w:t>
      </w:r>
      <w:r>
        <w:br/>
      </w:r>
      <w:r>
        <w:rPr>
          <w:rStyle w:val="VerbatimChar"/>
        </w:rPr>
        <w:t xml:space="preserve"> template0          | admin | UTF8     | en_US.utf8 | en_US.utf8 | =c/admin         +</w:t>
      </w:r>
      <w:r>
        <w:br/>
      </w:r>
      <w:r>
        <w:rPr>
          <w:rStyle w:val="VerbatimChar"/>
        </w:rPr>
        <w:t xml:space="preserve">                    |       |          |            |            | admin=CTc/admin</w:t>
      </w:r>
      <w:r>
        <w:br/>
      </w:r>
      <w:r>
        <w:rPr>
          <w:rStyle w:val="VerbatimChar"/>
        </w:rPr>
        <w:t xml:space="preserve"> template1          | admin | UTF8     | en_US.utf8 | en_US.utf8 | =c/admin         +</w:t>
      </w:r>
      <w:r>
        <w:br/>
      </w:r>
      <w:r>
        <w:rPr>
          <w:rStyle w:val="VerbatimChar"/>
        </w:rPr>
        <w:t xml:space="preserve">                    |       |          |            |            | admin=CTc/admin</w:t>
      </w:r>
      <w:r>
        <w:br/>
      </w:r>
      <w:r>
        <w:rPr>
          <w:rStyle w:val="VerbatimChar"/>
        </w:rPr>
        <w:t xml:space="preserve"> template_postgis   | admin | UTF8     | en_US.utf8 | en_US.utf8 | </w:t>
      </w:r>
      <w:r>
        <w:br/>
      </w:r>
      <w:r>
        <w:rPr>
          <w:rStyle w:val="VerbatimChar"/>
        </w:rPr>
        <w:t xml:space="preserve">(6 rows)</w:t>
      </w:r>
    </w:p>
    <w:p>
      <w:pPr>
        <w:pStyle w:val="FirstParagraph"/>
      </w:pPr>
      <w:r>
        <w:t xml:space="preserve">Use Unicode (</w:t>
      </w:r>
      <w:r>
        <w:rPr>
          <w:rStyle w:val="VerbatimChar"/>
        </w:rPr>
        <w:t xml:space="preserve">utf-8</w:t>
      </w:r>
      <w:r>
        <w:t xml:space="preserve"> </w:t>
      </w:r>
      <w:r>
        <w:t xml:space="preserve">in Python or</w:t>
      </w:r>
      <w:r>
        <w:t xml:space="preserve"> </w:t>
      </w:r>
      <w:r>
        <w:rPr>
          <w:rStyle w:val="VerbatimChar"/>
        </w:rPr>
        <w:t xml:space="preserve">UTF8</w:t>
      </w:r>
      <w:r>
        <w:t xml:space="preserve"> </w:t>
      </w:r>
      <w:r>
        <w:t xml:space="preserve">in Postgresql) encoding for all database text values to support international characters and documentation (i.e., tabs, etc for markdown conversion).</w:t>
      </w:r>
    </w:p>
    <w:p>
      <w:pPr>
        <w:numPr>
          <w:ilvl w:val="0"/>
          <w:numId w:val="1009"/>
        </w:numPr>
      </w:pPr>
      <w:r>
        <w:t xml:space="preserve">In</w:t>
      </w:r>
      <w:r>
        <w:t xml:space="preserve"> </w:t>
      </w:r>
      <w:r>
        <w:rPr>
          <w:b/>
          <w:bCs/>
        </w:rPr>
        <w:t xml:space="preserve">Python</w:t>
      </w:r>
      <w:r>
        <w:t xml:space="preserve">, use</w:t>
      </w:r>
      <w:r>
        <w:t xml:space="preserve"> </w:t>
      </w:r>
      <w:hyperlink r:id="rId62">
        <w:r>
          <w:rPr>
            <w:rStyle w:val="VerbatimChar"/>
            <w:b/>
            <w:bCs/>
          </w:rPr>
          <w:t xml:space="preserve">pandas</w:t>
        </w:r>
      </w:hyperlink>
      <w:r>
        <w:t xml:space="preserve"> </w:t>
      </w:r>
      <w:r>
        <w:t xml:space="preserve">to read (</w:t>
      </w:r>
      <w:hyperlink r:id="rId63">
        <w:r>
          <w:rPr>
            <w:rStyle w:val="VerbatimChar"/>
          </w:rPr>
          <w:t xml:space="preserve">read_csv()</w:t>
        </w:r>
      </w:hyperlink>
      <w:r>
        <w:t xml:space="preserve">) and write (</w:t>
      </w:r>
      <w:hyperlink r:id="rId64">
        <w:r>
          <w:rPr>
            <w:rStyle w:val="VerbatimChar"/>
          </w:rPr>
          <w:t xml:space="preserve">to_csv()</w:t>
        </w:r>
      </w:hyperlink>
      <w:r>
        <w:t xml:space="preserve">) with UTF-8 encoding (i.e.,</w:t>
      </w:r>
      <w:r>
        <w:t xml:space="preserve"> </w:t>
      </w:r>
      <w:r>
        <w:rPr>
          <w:rStyle w:val="VerbatimChar"/>
        </w:rPr>
        <w:t xml:space="preserve">encoding='utf-8'</w:t>
      </w:r>
      <w:r>
        <w:t xml:space="preserve">).:</w:t>
      </w:r>
    </w:p>
    <w:p>
      <w:pPr>
        <w:pStyle w:val="SourceCode"/>
        <w:numPr>
          <w:ilvl w:val="0"/>
          <w:numId w:val="1000"/>
        </w:numPr>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'postgresql://user:password@localhost:5432/dbname'</w:t>
      </w:r>
      <w:r>
        <w:rPr>
          <w:rStyle w:val="NormalTok"/>
        </w:rPr>
        <w:t xml:space="preserve">)</w:t>
      </w:r>
      <w:r>
        <w:br/>
      </w:r>
      <w:r>
        <w:br/>
      </w:r>
      <w:r>
        <w:rPr>
          <w:rStyle w:val="CommentTok"/>
        </w:rPr>
        <w:t xml:space="preserve"># read from a csv file</w:t>
      </w:r>
      <w:r>
        <w:br/>
      </w:r>
      <w:r>
        <w:rPr>
          <w:rStyle w:val="NormalTok"/>
        </w:rPr>
        <w:t xml:space="preserve">df </w:t>
      </w:r>
      <w:r>
        <w:rPr>
          <w:rStyle w:val="OperatorTok"/>
        </w:rPr>
        <w:t xml:space="preserve">=</w:t>
      </w:r>
      <w:r>
        <w:rPr>
          <w:rStyle w:val="NormalTok"/>
        </w:rPr>
        <w:t xml:space="preserve"> pd.read_csv(</w:t>
      </w:r>
      <w:r>
        <w:rPr>
          <w:rStyle w:val="StringTok"/>
        </w:rPr>
        <w:t xml:space="preserve">'file.csv'</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CommentTok"/>
        </w:rPr>
        <w:t xml:space="preserve"># write to PostgreSQL</w:t>
      </w:r>
      <w:r>
        <w:br/>
      </w:r>
      <w:r>
        <w:rPr>
          <w:rStyle w:val="NormalTok"/>
        </w:rPr>
        <w:t xml:space="preserve">df.to_sql(</w:t>
      </w:r>
      <w:r>
        <w:rPr>
          <w:rStyle w:val="StringTok"/>
        </w:rPr>
        <w:t xml:space="preserve">'table_name'</w:t>
      </w:r>
      <w:r>
        <w:rPr>
          <w:rStyle w:val="NormalTok"/>
        </w:rPr>
        <w:t xml:space="preserve">, engine,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 method</w:t>
      </w:r>
      <w:r>
        <w:rPr>
          <w:rStyle w:val="OperatorTok"/>
        </w:rPr>
        <w:t xml:space="preserve">=</w:t>
      </w:r>
      <w:r>
        <w:rPr>
          <w:rStyle w:val="StringTok"/>
        </w:rPr>
        <w:t xml:space="preserve">'multi'</w:t>
      </w:r>
      <w:r>
        <w:rPr>
          <w:rStyle w:val="NormalTok"/>
        </w:rPr>
        <w:t xml:space="preserve">, chunksize</w:t>
      </w:r>
      <w:r>
        <w:rPr>
          <w:rStyle w:val="OperatorTok"/>
        </w:rPr>
        <w:t xml:space="preserve">=</w:t>
      </w:r>
      <w:r>
        <w:rPr>
          <w:rStyle w:val="DecValTok"/>
        </w:rPr>
        <w:t xml:space="preserve">1000</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CommentTok"/>
        </w:rPr>
        <w:t xml:space="preserve"># read from PostgreSQL</w:t>
      </w:r>
      <w:r>
        <w:br/>
      </w:r>
      <w:r>
        <w:rPr>
          <w:rStyle w:val="NormalTok"/>
        </w:rPr>
        <w:t xml:space="preserve">df </w:t>
      </w:r>
      <w:r>
        <w:rPr>
          <w:rStyle w:val="OperatorTok"/>
        </w:rPr>
        <w:t xml:space="preserve">=</w:t>
      </w:r>
      <w:r>
        <w:rPr>
          <w:rStyle w:val="NormalTok"/>
        </w:rPr>
        <w:t xml:space="preserve"> pd.read_sql(</w:t>
      </w:r>
      <w:r>
        <w:rPr>
          <w:rStyle w:val="StringTok"/>
        </w:rPr>
        <w:t xml:space="preserve">'SELECT * FROM table_name'</w:t>
      </w:r>
      <w:r>
        <w:rPr>
          <w:rStyle w:val="NormalTok"/>
        </w:rPr>
        <w:t xml:space="preserve">, engine, encoding</w:t>
      </w:r>
      <w:r>
        <w:rPr>
          <w:rStyle w:val="OperatorTok"/>
        </w:rPr>
        <w:t xml:space="preserve">=</w:t>
      </w:r>
      <w:r>
        <w:rPr>
          <w:rStyle w:val="StringTok"/>
        </w:rPr>
        <w:t xml:space="preserve">'utf-8'</w:t>
      </w:r>
      <w:r>
        <w:rPr>
          <w:rStyle w:val="NormalTok"/>
        </w:rPr>
        <w:t xml:space="preserve">)</w:t>
      </w:r>
      <w:r>
        <w:br/>
      </w:r>
      <w:r>
        <w:br/>
      </w:r>
      <w:r>
        <w:rPr>
          <w:rStyle w:val="CommentTok"/>
        </w:rPr>
        <w:t xml:space="preserve"># write to a csv file with UTF-8 encoding</w:t>
      </w:r>
      <w:r>
        <w:br/>
      </w:r>
      <w:r>
        <w:rPr>
          <w:rStyle w:val="NormalTok"/>
        </w:rPr>
        <w:t xml:space="preserve">df.to_csv(</w:t>
      </w:r>
      <w:r>
        <w:rPr>
          <w:rStyle w:val="StringTok"/>
        </w:rPr>
        <w:t xml:space="preserve">'file.csv'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w:t>
      </w:r>
      <w:r>
        <w:rPr>
          <w:rStyle w:val="NormalTok"/>
        </w:rPr>
        <w:t xml:space="preserve">)</w:t>
      </w:r>
    </w:p>
    <w:p>
      <w:pPr>
        <w:numPr>
          <w:ilvl w:val="0"/>
          <w:numId w:val="1009"/>
        </w:numPr>
      </w:pPr>
      <w:r>
        <w:t xml:space="preserve">In</w:t>
      </w:r>
      <w:r>
        <w:t xml:space="preserve"> </w:t>
      </w:r>
      <w:r>
        <w:rPr>
          <w:b/>
          <w:bCs/>
        </w:rPr>
        <w:t xml:space="preserve">R</w:t>
      </w:r>
      <w:r>
        <w:t xml:space="preserve">, use</w:t>
      </w:r>
      <w:r>
        <w:t xml:space="preserve"> </w:t>
      </w:r>
      <w:hyperlink r:id="rId65">
        <w:r>
          <w:rPr>
            <w:rStyle w:val="VerbatimChar"/>
            <w:b/>
            <w:bCs/>
          </w:rPr>
          <w:t xml:space="preserve">readr</w:t>
        </w:r>
      </w:hyperlink>
      <w:r>
        <w:t xml:space="preserve"> </w:t>
      </w:r>
      <w:r>
        <w:t xml:space="preserve">to read (</w:t>
      </w:r>
      <w:hyperlink r:id="rId66">
        <w:r>
          <w:rPr>
            <w:rStyle w:val="VerbatimChar"/>
          </w:rPr>
          <w:t xml:space="preserve">read_csv()</w:t>
        </w:r>
      </w:hyperlink>
      <w:r>
        <w:t xml:space="preserve">) and write (</w:t>
      </w:r>
      <w:hyperlink r:id="rId67">
        <w:r>
          <w:rPr>
            <w:rStyle w:val="VerbatimChar"/>
          </w:rPr>
          <w:t xml:space="preserve">write_excel_csv()</w:t>
        </w:r>
      </w:hyperlink>
      <w:r>
        <w:t xml:space="preserve">) to force UTF-8 encoding.</w:t>
      </w:r>
    </w:p>
    <w:p>
      <w:pPr>
        <w:pStyle w:val="SourceCode"/>
        <w:numPr>
          <w:ilvl w:val="0"/>
          <w:numId w:val="1000"/>
        </w:numPr>
      </w:pPr>
      <w:r>
        <w:rPr>
          <w:rStyle w:val="FunctionTok"/>
        </w:rPr>
        <w:t xml:space="preserve">library</w:t>
      </w:r>
      <w:r>
        <w:rPr>
          <w:rStyle w:val="NormalTok"/>
        </w:rPr>
        <w:t xml:space="preserve">(readr)</w:t>
      </w:r>
      <w:r>
        <w:br/>
      </w:r>
      <w:r>
        <w:rPr>
          <w:rStyle w:val="FunctionTok"/>
        </w:rPr>
        <w:t xml:space="preserve">library</w:t>
      </w:r>
      <w:r>
        <w:rPr>
          <w:rStyle w:val="NormalTok"/>
        </w:rPr>
        <w:t xml:space="preserve">(DBI)</w:t>
      </w:r>
      <w:r>
        <w:br/>
      </w:r>
      <w:r>
        <w:rPr>
          <w:rStyle w:val="FunctionTok"/>
        </w:rPr>
        <w:t xml:space="preserve">library</w:t>
      </w:r>
      <w:r>
        <w:rPr>
          <w:rStyle w:val="NormalTok"/>
        </w:rPr>
        <w:t xml:space="preserve">(RPostgres)</w:t>
      </w:r>
      <w:r>
        <w:br/>
      </w:r>
      <w:r>
        <w:br/>
      </w:r>
      <w:r>
        <w:rPr>
          <w:rStyle w:val="CommentTok"/>
        </w:rPr>
        <w:t xml:space="preserve"># connect to PostgreSQL</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(RPostgres</w:t>
      </w:r>
      <w:r>
        <w:rPr>
          <w:rStyle w:val="SpecialCharTok"/>
        </w:rPr>
        <w:t xml:space="preserve">::</w:t>
      </w:r>
      <w:r>
        <w:rPr>
          <w:rStyle w:val="FunctionTok"/>
        </w:rPr>
        <w:t xml:space="preserve">Postgres</w:t>
      </w:r>
      <w:r>
        <w:rPr>
          <w:rStyle w:val="NormalTok"/>
        </w:rPr>
        <w:t xml:space="preserve">(), </w:t>
      </w:r>
      <w:r>
        <w:rPr>
          <w:rStyle w:val="AttributeTok"/>
        </w:rPr>
        <w:t xml:space="preserve">dbname =</w:t>
      </w:r>
      <w:r>
        <w:rPr>
          <w:rStyle w:val="NormalTok"/>
        </w:rPr>
        <w:t xml:space="preserve"> </w:t>
      </w:r>
      <w:r>
        <w:rPr>
          <w:rStyle w:val="StringTok"/>
        </w:rPr>
        <w:t xml:space="preserve">"dbname"</w:t>
      </w:r>
      <w:r>
        <w:rPr>
          <w:rStyle w:val="NormalTok"/>
        </w:rPr>
        <w:t xml:space="preserve">, </w:t>
      </w:r>
      <w:r>
        <w:rPr>
          <w:rStyle w:val="AttributeTok"/>
        </w:rPr>
        <w:t xml:space="preserve">host =</w:t>
      </w:r>
      <w:r>
        <w:rPr>
          <w:rStyle w:val="NormalTok"/>
        </w:rPr>
        <w:t xml:space="preserve"> </w:t>
      </w:r>
      <w:r>
        <w:rPr>
          <w:rStyle w:val="StringTok"/>
        </w:rPr>
        <w:t xml:space="preserve">"localhost"</w:t>
      </w:r>
      <w:r>
        <w:rPr>
          <w:rStyle w:val="NormalTok"/>
        </w:rPr>
        <w:t xml:space="preserve">, </w:t>
      </w:r>
      <w:r>
        <w:rPr>
          <w:rStyle w:val="AttributeTok"/>
        </w:rPr>
        <w:t xml:space="preserve">port =</w:t>
      </w:r>
      <w:r>
        <w:rPr>
          <w:rStyle w:val="NormalTok"/>
        </w:rPr>
        <w:t xml:space="preserve"> </w:t>
      </w:r>
      <w:r>
        <w:rPr>
          <w:rStyle w:val="DecValTok"/>
        </w:rPr>
        <w:t xml:space="preserve">5432</w:t>
      </w:r>
      <w:r>
        <w:rPr>
          <w:rStyle w:val="NormalTok"/>
        </w:rPr>
        <w:t xml:space="preserve">, </w:t>
      </w:r>
      <w:r>
        <w:rPr>
          <w:rStyle w:val="AttributeTok"/>
        </w:rPr>
        <w:t xml:space="preserve">user =</w:t>
      </w:r>
      <w:r>
        <w:rPr>
          <w:rStyle w:val="NormalTok"/>
        </w:rPr>
        <w:t xml:space="preserve"> </w:t>
      </w:r>
      <w:r>
        <w:rPr>
          <w:rStyle w:val="StringTok"/>
        </w:rPr>
        <w:t xml:space="preserve">"user"</w:t>
      </w:r>
      <w:r>
        <w:rPr>
          <w:rStyle w:val="NormalTok"/>
        </w:rPr>
        <w:t xml:space="preserve">, </w:t>
      </w:r>
      <w:r>
        <w:rPr>
          <w:rStyle w:val="AttributeTok"/>
        </w:rPr>
        <w:t xml:space="preserve">password =</w:t>
      </w:r>
      <w:r>
        <w:rPr>
          <w:rStyle w:val="NormalTok"/>
        </w:rPr>
        <w:t xml:space="preserve"> </w:t>
      </w:r>
      <w:r>
        <w:rPr>
          <w:rStyle w:val="StringTok"/>
        </w:rPr>
        <w:t xml:space="preserve">"password"</w:t>
      </w:r>
      <w:r>
        <w:rPr>
          <w:rStyle w:val="NormalTok"/>
        </w:rPr>
        <w:t xml:space="preserve">)</w:t>
      </w:r>
      <w:r>
        <w:br/>
      </w:r>
      <w:r>
        <w:br/>
      </w:r>
      <w:r>
        <w:rPr>
          <w:rStyle w:val="CommentTok"/>
        </w:rPr>
        <w:t xml:space="preserve"># read from a csv file</w:t>
      </w:r>
      <w:r>
        <w:br/>
      </w:r>
      <w:r>
        <w:rPr>
          <w:rStyle w:val="NormalTok"/>
        </w:rPr>
        <w:t xml:space="preserve">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'file.csv'</w:t>
      </w:r>
      <w:r>
        <w:rPr>
          <w:rStyle w:val="NormalTok"/>
        </w:rPr>
        <w:t xml:space="preserve">, </w:t>
      </w:r>
      <w:r>
        <w:rPr>
          <w:rStyle w:val="AttributeTok"/>
        </w:rPr>
        <w:t xml:space="preserve">locale =</w:t>
      </w:r>
      <w:r>
        <w:rPr>
          <w:rStyle w:val="NormalTok"/>
        </w:rPr>
        <w:t xml:space="preserve"> </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  </w:t>
      </w:r>
      <w:r>
        <w:rPr>
          <w:rStyle w:val="CommentTok"/>
        </w:rPr>
        <w:t xml:space="preserve"># explicit</w:t>
      </w:r>
      <w:r>
        <w:br/>
      </w:r>
      <w:r>
        <w:rPr>
          <w:rStyle w:val="NormalTok"/>
        </w:rPr>
        <w:t xml:space="preserve">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'file.csv'</w:t>
      </w:r>
      <w:r>
        <w:rPr>
          <w:rStyle w:val="NormalTok"/>
        </w:rPr>
        <w:t xml:space="preserve">)                                       </w:t>
      </w:r>
      <w:r>
        <w:rPr>
          <w:rStyle w:val="CommentTok"/>
        </w:rPr>
        <w:t xml:space="preserve"># implicit</w:t>
      </w:r>
      <w:r>
        <w:br/>
      </w:r>
      <w:r>
        <w:br/>
      </w:r>
      <w:r>
        <w:rPr>
          <w:rStyle w:val="CommentTok"/>
        </w:rPr>
        <w:t xml:space="preserve"># write to PostgreSQL</w:t>
      </w:r>
      <w:r>
        <w:br/>
      </w:r>
      <w:r>
        <w:rPr>
          <w:rStyle w:val="FunctionTok"/>
        </w:rPr>
        <w:t xml:space="preserve">dbWriteTable</w:t>
      </w:r>
      <w:r>
        <w:rPr>
          <w:rStyle w:val="NormalTok"/>
        </w:rPr>
        <w:t xml:space="preserve">(con, </w:t>
      </w:r>
      <w:r>
        <w:rPr>
          <w:rStyle w:val="StringTok"/>
        </w:rPr>
        <w:t xml:space="preserve">'table_name'</w:t>
      </w:r>
      <w:r>
        <w:rPr>
          <w:rStyle w:val="NormalTok"/>
        </w:rPr>
        <w:t xml:space="preserve">, df,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br/>
      </w:r>
      <w:r>
        <w:rPr>
          <w:rStyle w:val="CommentTok"/>
        </w:rPr>
        <w:t xml:space="preserve"># read from PostgreSQL</w:t>
      </w:r>
      <w:r>
        <w:br/>
      </w:r>
      <w:r>
        <w:rPr>
          <w:rStyle w:val="NormalTok"/>
        </w:rPr>
        <w:t xml:space="preserve">df </w:t>
      </w:r>
      <w:r>
        <w:rPr>
          <w:rStyle w:val="OtherTok"/>
        </w:rPr>
        <w:t xml:space="preserve">&lt;-</w:t>
      </w:r>
      <w:r>
        <w:rPr>
          <w:rStyle w:val="NormalTok"/>
        </w:rPr>
        <w:t xml:space="preserve"> </w:t>
      </w:r>
      <w:r>
        <w:rPr>
          <w:rStyle w:val="FunctionTok"/>
        </w:rPr>
        <w:t xml:space="preserve">dbReadTable</w:t>
      </w:r>
      <w:r>
        <w:rPr>
          <w:rStyle w:val="NormalTok"/>
        </w:rPr>
        <w:t xml:space="preserve">(con, </w:t>
      </w:r>
      <w:r>
        <w:rPr>
          <w:rStyle w:val="StringTok"/>
        </w:rPr>
        <w:t xml:space="preserve">'table_name'</w:t>
      </w:r>
      <w:r>
        <w:rPr>
          <w:rStyle w:val="NormalTok"/>
        </w:rPr>
        <w:t xml:space="preserve">)</w:t>
      </w:r>
      <w:r>
        <w:br/>
      </w:r>
      <w:r>
        <w:br/>
      </w:r>
      <w:r>
        <w:rPr>
          <w:rStyle w:val="CommentTok"/>
        </w:rPr>
        <w:t xml:space="preserve"># write to a csv file with UTF-8 encoding</w:t>
      </w:r>
      <w:r>
        <w:br/>
      </w:r>
      <w:r>
        <w:rPr>
          <w:rStyle w:val="FunctionTok"/>
        </w:rPr>
        <w:t xml:space="preserve">write_excel_csv</w:t>
      </w:r>
      <w:r>
        <w:rPr>
          <w:rStyle w:val="NormalTok"/>
        </w:rPr>
        <w:t xml:space="preserve">(df, </w:t>
      </w:r>
      <w:r>
        <w:rPr>
          <w:rStyle w:val="StringTok"/>
        </w:rPr>
        <w:t xml:space="preserve">'file.csv'</w:t>
      </w:r>
      <w:r>
        <w:rPr>
          <w:rStyle w:val="NormalTok"/>
        </w:rPr>
        <w:t xml:space="preserve">, </w:t>
      </w:r>
      <w:r>
        <w:rPr>
          <w:rStyle w:val="AttributeTok"/>
        </w:rPr>
        <w:t xml:space="preserve">locale =</w:t>
      </w:r>
      <w:r>
        <w:rPr>
          <w:rStyle w:val="NormalTok"/>
        </w:rPr>
        <w:t xml:space="preserve"> </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  </w:t>
      </w:r>
      <w:r>
        <w:rPr>
          <w:rStyle w:val="CommentTok"/>
        </w:rPr>
        <w:t xml:space="preserve"># explicit</w:t>
      </w:r>
      <w:r>
        <w:br/>
      </w:r>
      <w:r>
        <w:rPr>
          <w:rStyle w:val="FunctionTok"/>
        </w:rPr>
        <w:t xml:space="preserve">write_excel_csv</w:t>
      </w:r>
      <w:r>
        <w:rPr>
          <w:rStyle w:val="NormalTok"/>
        </w:rPr>
        <w:t xml:space="preserve">(df, </w:t>
      </w:r>
      <w:r>
        <w:rPr>
          <w:rStyle w:val="StringTok"/>
        </w:rPr>
        <w:t xml:space="preserve">'file.csv'</w:t>
      </w:r>
      <w:r>
        <w:rPr>
          <w:rStyle w:val="NormalTok"/>
        </w:rPr>
        <w:t xml:space="preserve">)                                       </w:t>
      </w:r>
      <w:r>
        <w:rPr>
          <w:rStyle w:val="CommentTok"/>
        </w:rPr>
        <w:t xml:space="preserve"># implicit</w:t>
      </w:r>
    </w:p>
    <w:bookmarkEnd w:id="68"/>
    <w:bookmarkStart w:id="92" w:name="integrated-database-ingestion-strategy"/>
    <w:p>
      <w:pPr>
        <w:pStyle w:val="Heading2"/>
      </w:pPr>
      <w:r>
        <w:t xml:space="preserve">5.3 Integrated database ingestion strategy</w:t>
      </w:r>
    </w:p>
    <w:bookmarkStart w:id="69" w:name="overview"/>
    <w:p>
      <w:pPr>
        <w:pStyle w:val="Heading3"/>
      </w:pPr>
      <w:r>
        <w:t xml:space="preserve">5.3.1 Overview</w:t>
      </w:r>
    </w:p>
    <w:p>
      <w:pPr>
        <w:pStyle w:val="FirstParagraph"/>
      </w:pPr>
      <w:r>
        <w:t xml:space="preserve">The CalCOFI database uses a two-schema strategy for development and production:</w:t>
      </w:r>
    </w:p>
    <w:p>
      <w:pPr>
        <w:pStyle w:val="Compact"/>
        <w:numPr>
          <w:ilvl w:val="0"/>
          <w:numId w:val="1010"/>
        </w:numPr>
      </w:pPr>
      <w:r>
        <w:rPr>
          <w:rStyle w:val="VerbatimChar"/>
          <w:b/>
          <w:bCs/>
        </w:rPr>
        <w:t xml:space="preserve">dev</w:t>
      </w:r>
      <w:r>
        <w:rPr>
          <w:b/>
          <w:bCs/>
        </w:rPr>
        <w:t xml:space="preserve"> </w:t>
      </w:r>
      <w:r>
        <w:rPr>
          <w:b/>
          <w:bCs/>
        </w:rPr>
        <w:t xml:space="preserve">schema</w:t>
      </w:r>
      <w:r>
        <w:t xml:space="preserve">: Development schema where new datasets, tables, fields, and relationships are ingested and QA/QC’d. This schema is recreated fresh with each ingestion run using the master ingestion script.</w:t>
      </w:r>
    </w:p>
    <w:p>
      <w:pPr>
        <w:pStyle w:val="Compact"/>
        <w:numPr>
          <w:ilvl w:val="0"/>
          <w:numId w:val="1010"/>
        </w:numPr>
      </w:pPr>
      <w:r>
        <w:rPr>
          <w:rStyle w:val="VerbatimChar"/>
          <w:b/>
          <w:bCs/>
        </w:rPr>
        <w:t xml:space="preserve">prod</w:t>
      </w:r>
      <w:r>
        <w:rPr>
          <w:b/>
          <w:bCs/>
        </w:rPr>
        <w:t xml:space="preserve"> </w:t>
      </w:r>
      <w:r>
        <w:rPr>
          <w:b/>
          <w:bCs/>
        </w:rPr>
        <w:t xml:space="preserve">schema</w:t>
      </w:r>
      <w:r>
        <w:t xml:space="preserve">: Production schema for stable, versioned data used by public APIs, apps, and data portals (OBIS, EDI, ERDDAP). Once</w:t>
      </w:r>
      <w:r>
        <w:t xml:space="preserve"> </w:t>
      </w:r>
      <w:r>
        <w:rPr>
          <w:rStyle w:val="VerbatimChar"/>
        </w:rPr>
        <w:t xml:space="preserve">dev</w:t>
      </w:r>
      <w:r>
        <w:t xml:space="preserve"> </w:t>
      </w:r>
      <w:r>
        <w:t xml:space="preserve">is validated, it’s copied to</w:t>
      </w:r>
      <w:r>
        <w:t xml:space="preserve"> </w:t>
      </w:r>
      <w:r>
        <w:rPr>
          <w:rStyle w:val="VerbatimChar"/>
        </w:rPr>
        <w:t xml:space="preserve">prod</w:t>
      </w:r>
      <w:r>
        <w:t xml:space="preserve"> </w:t>
      </w:r>
      <w:r>
        <w:t xml:space="preserve">with a version number.</w:t>
      </w:r>
    </w:p>
    <w:bookmarkEnd w:id="69"/>
    <w:bookmarkStart w:id="75" w:name="master-ingestion-workflow"/>
    <w:p>
      <w:pPr>
        <w:pStyle w:val="Heading3"/>
      </w:pPr>
      <w:r>
        <w:t xml:space="preserve">5.3.2 Master ingestion workflow</w:t>
      </w:r>
    </w:p>
    <w:p>
      <w:pPr>
        <w:pStyle w:val="FirstParagraph"/>
      </w:pPr>
      <w:r>
        <w:t xml:space="preserve">All datasets are ingested using a single master Quarto script</w:t>
      </w:r>
      <w:r>
        <w:t xml:space="preserve"> </w:t>
      </w:r>
      <w:hyperlink r:id="rId70">
        <w:r>
          <w:rPr>
            <w:rStyle w:val="VerbatimChar"/>
          </w:rPr>
          <w:t xml:space="preserve">calcofi4db/inst/create_db.qmd</w:t>
        </w:r>
      </w:hyperlink>
      <w:r>
        <w:t xml:space="preserve"> </w:t>
      </w:r>
      <w:r>
        <w:t xml:space="preserve">that:</w:t>
      </w:r>
    </w:p>
    <w:p>
      <w:pPr>
        <w:pStyle w:val="Compact"/>
        <w:numPr>
          <w:ilvl w:val="0"/>
          <w:numId w:val="1011"/>
        </w:numPr>
      </w:pPr>
      <w:r>
        <w:rPr>
          <w:b/>
          <w:bCs/>
        </w:rPr>
        <w:t xml:space="preserve">Drops and recreates</w:t>
      </w:r>
      <w:r>
        <w:t xml:space="preserve"> </w:t>
      </w:r>
      <w:r>
        <w:t xml:space="preserve">the</w:t>
      </w:r>
      <w:r>
        <w:t xml:space="preserve"> </w:t>
      </w:r>
      <w:r>
        <w:rPr>
          <w:rStyle w:val="VerbatimChar"/>
        </w:rPr>
        <w:t xml:space="preserve">dev</w:t>
      </w:r>
      <w:r>
        <w:t xml:space="preserve"> </w:t>
      </w:r>
      <w:r>
        <w:t xml:space="preserve">schema (fresh start each run)</w:t>
      </w:r>
    </w:p>
    <w:p>
      <w:pPr>
        <w:pStyle w:val="Compact"/>
        <w:numPr>
          <w:ilvl w:val="0"/>
          <w:numId w:val="1011"/>
        </w:numPr>
      </w:pPr>
      <w:r>
        <w:rPr>
          <w:b/>
          <w:bCs/>
        </w:rPr>
        <w:t xml:space="preserve">Ingests multiple datasets</w:t>
      </w:r>
      <w:r>
        <w:t xml:space="preserve"> </w:t>
      </w:r>
      <w:r>
        <w:t xml:space="preserve">from Google Drive source files (CSV, potentially SHP/NC in future)</w:t>
      </w:r>
    </w:p>
    <w:p>
      <w:pPr>
        <w:pStyle w:val="Compact"/>
        <w:numPr>
          <w:ilvl w:val="0"/>
          <w:numId w:val="1011"/>
        </w:numPr>
      </w:pPr>
      <w:r>
        <w:rPr>
          <w:b/>
          <w:bCs/>
        </w:rPr>
        <w:t xml:space="preserve">Applies transformations</w:t>
      </w:r>
      <w:r>
        <w:t xml:space="preserve"> </w:t>
      </w:r>
      <w:r>
        <w:t xml:space="preserve">using redefinition files (</w:t>
      </w:r>
      <w:r>
        <w:rPr>
          <w:rStyle w:val="VerbatimChar"/>
        </w:rPr>
        <w:t xml:space="preserve">tbls_redefine.csv</w:t>
      </w:r>
      <w:r>
        <w:t xml:space="preserve">,</w:t>
      </w:r>
      <w:r>
        <w:t xml:space="preserve"> </w:t>
      </w:r>
      <w:r>
        <w:rPr>
          <w:rStyle w:val="VerbatimChar"/>
        </w:rPr>
        <w:t xml:space="preserve">flds_redefine.csv</w:t>
      </w:r>
      <w:r>
        <w:t xml:space="preserve">)</w:t>
      </w:r>
    </w:p>
    <w:p>
      <w:pPr>
        <w:pStyle w:val="Compact"/>
        <w:numPr>
          <w:ilvl w:val="0"/>
          <w:numId w:val="1011"/>
        </w:numPr>
      </w:pPr>
      <w:r>
        <w:rPr>
          <w:b/>
          <w:bCs/>
        </w:rPr>
        <w:t xml:space="preserve">Creates relationships</w:t>
      </w:r>
      <w:r>
        <w:t xml:space="preserve"> </w:t>
      </w:r>
      <w:r>
        <w:t xml:space="preserve">(primary keys, foreign keys, indexes)</w:t>
      </w:r>
    </w:p>
    <w:p>
      <w:pPr>
        <w:pStyle w:val="Compact"/>
        <w:numPr>
          <w:ilvl w:val="0"/>
          <w:numId w:val="1011"/>
        </w:numPr>
      </w:pPr>
      <w:r>
        <w:rPr>
          <w:b/>
          <w:bCs/>
        </w:rPr>
        <w:t xml:space="preserve">Records schema version</w:t>
      </w:r>
      <w:r>
        <w:t xml:space="preserve"> </w:t>
      </w:r>
      <w:r>
        <w:t xml:space="preserve">with metadata in</w:t>
      </w:r>
      <w:r>
        <w:t xml:space="preserve"> </w:t>
      </w:r>
      <w:r>
        <w:rPr>
          <w:rStyle w:val="VerbatimChar"/>
        </w:rPr>
        <w:t xml:space="preserve">schema_version</w:t>
      </w:r>
      <w:r>
        <w:t xml:space="preserve"> </w:t>
      </w:r>
      <w:r>
        <w:t xml:space="preserve">table</w:t>
      </w:r>
    </w:p>
    <w:p>
      <w:pPr>
        <w:pStyle w:val="FirstParagraph"/>
      </w:pPr>
      <w:r>
        <w:t xml:space="preserve">Each dataset section in the master script handles:</w:t>
      </w:r>
    </w:p>
    <w:p>
      <w:pPr>
        <w:pStyle w:val="Compact"/>
        <w:numPr>
          <w:ilvl w:val="0"/>
          <w:numId w:val="1012"/>
        </w:numPr>
      </w:pPr>
      <w:r>
        <w:t xml:space="preserve">Reading CSV files from Google Drive</w:t>
      </w:r>
    </w:p>
    <w:p>
      <w:pPr>
        <w:pStyle w:val="Compact"/>
        <w:numPr>
          <w:ilvl w:val="0"/>
          <w:numId w:val="1012"/>
        </w:numPr>
      </w:pPr>
      <w:r>
        <w:t xml:space="preserve">Transforming data according to redefinition rules</w:t>
      </w:r>
    </w:p>
    <w:p>
      <w:pPr>
        <w:pStyle w:val="Compact"/>
        <w:numPr>
          <w:ilvl w:val="0"/>
          <w:numId w:val="1012"/>
        </w:numPr>
      </w:pPr>
      <w:r>
        <w:t xml:space="preserve">Loading into database tables</w:t>
      </w:r>
    </w:p>
    <w:p>
      <w:pPr>
        <w:pStyle w:val="Compact"/>
        <w:numPr>
          <w:ilvl w:val="0"/>
          <w:numId w:val="1012"/>
        </w:numPr>
      </w:pPr>
      <w:r>
        <w:t xml:space="preserve">Adding table/field comments with metadata</w:t>
      </w:r>
    </w:p>
    <w:tbl>
      <w:tblPr>
        <w:tblStyle w:val="Table"/>
        <w:tblW w:type="pct" w:w="5000"/>
        <w:tblLayout w:type="fixed"/>
        <w:tblLook w:firstRow="0" w:lastRow="0" w:firstColumn="0" w:lastColumn="0" w:noHBand="0" w:noVBand="0" w:val="0000"/>
      </w:tblPr>
      <w:tblGrid>
        <w:gridCol w:w="7920"/>
      </w:tblGrid>
      <w:tr>
        <w:tc>
          <w:tcPr/>
          <w:bookmarkStart w:id="74" w:name="fig-db_doc"/>
          <w:p>
            <w:pPr>
              <w:jc w:val="center"/>
            </w:pPr>
            <w:r>
              <w:drawing>
                <wp:inline>
                  <wp:extent cx="5334000" cy="8900367"/>
                  <wp:effectExtent b="0" l="0" r="0" t="0"/>
                  <wp:docPr descr="" title="" id="72" name="Picture"/>
                  <a:graphic>
                    <a:graphicData uri="http://schemas.openxmlformats.org/drawingml/2006/picture">
                      <pic:pic>
                        <pic:nvPicPr>
                          <pic:cNvPr descr="db_files/figure-docx/mermaid-figure-1.png" id="73" name="Picture"/>
                          <pic:cNvPicPr>
                            <a:picLocks noChangeArrowheads="1" noChangeAspect="1"/>
                          </pic:cNvPicPr>
                        </pic:nvPicPr>
                        <pic:blipFill>
                          <a:blip r:embed="rId71"/>
                          <a:stretch>
                            <a:fillRect/>
                          </a:stretch>
                        </pic:blipFill>
                        <pic:spPr bwMode="auto">
                          <a:xfrm>
                            <a:off x="0" y="0"/>
                            <a:ext cx="5334000" cy="8900367"/>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Integrated database ingestion scheme.</w:t>
            </w:r>
          </w:p>
          <w:bookmarkEnd w:id="74"/>
        </w:tc>
      </w:tr>
    </w:tbl>
    <w:bookmarkEnd w:id="75"/>
    <w:bookmarkStart w:id="77" w:name="using-calcofi4db-package"/>
    <w:p>
      <w:pPr>
        <w:pStyle w:val="Heading3"/>
      </w:pPr>
      <w:r>
        <w:t xml:space="preserve">5.3.3 Using calcofi4db package</w:t>
      </w:r>
    </w:p>
    <w:p>
      <w:pPr>
        <w:pStyle w:val="FirstParagraph"/>
      </w:pPr>
      <w:r>
        <w:t xml:space="preserve">The</w:t>
      </w:r>
      <w:r>
        <w:t xml:space="preserve"> </w:t>
      </w:r>
      <w:hyperlink r:id="rId76">
        <w:r>
          <w:rPr>
            <w:rStyle w:val="Hyperlink"/>
          </w:rPr>
          <w:t xml:space="preserve">calcofi4db</w:t>
        </w:r>
      </w:hyperlink>
      <w:r>
        <w:t xml:space="preserve"> </w:t>
      </w:r>
      <w:r>
        <w:t xml:space="preserve">package provides streamlined functions for dataset ingestion:</w:t>
      </w:r>
    </w:p>
    <w:p>
      <w:pPr>
        <w:pStyle w:val="SourceCode"/>
      </w:pPr>
      <w:r>
        <w:rPr>
          <w:rStyle w:val="FunctionTok"/>
        </w:rPr>
        <w:t xml:space="preserve">library</w:t>
      </w:r>
      <w:r>
        <w:rPr>
          <w:rStyle w:val="NormalTok"/>
        </w:rPr>
        <w:t xml:space="preserve">(calcofi4db)</w:t>
      </w:r>
      <w:r>
        <w:br/>
      </w:r>
      <w:r>
        <w:rPr>
          <w:rStyle w:val="FunctionTok"/>
        </w:rPr>
        <w:t xml:space="preserve">library</w:t>
      </w:r>
      <w:r>
        <w:rPr>
          <w:rStyle w:val="NormalTok"/>
        </w:rPr>
        <w:t xml:space="preserve">(DBI)</w:t>
      </w:r>
      <w:r>
        <w:br/>
      </w:r>
      <w:r>
        <w:rPr>
          <w:rStyle w:val="FunctionTok"/>
        </w:rPr>
        <w:t xml:space="preserve">library</w:t>
      </w:r>
      <w:r>
        <w:rPr>
          <w:rStyle w:val="NormalTok"/>
        </w:rPr>
        <w:t xml:space="preserve">(RPostgres)</w:t>
      </w:r>
      <w:r>
        <w:br/>
      </w:r>
      <w:r>
        <w:br/>
      </w:r>
      <w:r>
        <w:rPr>
          <w:rStyle w:val="CommentTok"/>
        </w:rPr>
        <w:t xml:space="preserve"># Connect to database</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w:t>
      </w:r>
      <w:r>
        <w:br/>
      </w:r>
      <w:r>
        <w:rPr>
          <w:rStyle w:val="NormalTok"/>
        </w:rPr>
        <w:t xml:space="preserve">  </w:t>
      </w:r>
      <w:r>
        <w:rPr>
          <w:rStyle w:val="FunctionTok"/>
        </w:rPr>
        <w:t xml:space="preserve">Postgres</w:t>
      </w:r>
      <w:r>
        <w:rPr>
          <w:rStyle w:val="NormalTok"/>
        </w:rPr>
        <w:t xml:space="preserve">(),</w:t>
      </w:r>
      <w:r>
        <w:br/>
      </w:r>
      <w:r>
        <w:rPr>
          <w:rStyle w:val="NormalTok"/>
        </w:rPr>
        <w:t xml:space="preserve">  </w:t>
      </w:r>
      <w:r>
        <w:rPr>
          <w:rStyle w:val="AttributeTok"/>
        </w:rPr>
        <w:t xml:space="preserve">dbname =</w:t>
      </w:r>
      <w:r>
        <w:rPr>
          <w:rStyle w:val="NormalTok"/>
        </w:rPr>
        <w:t xml:space="preserve"> </w:t>
      </w:r>
      <w:r>
        <w:rPr>
          <w:rStyle w:val="StringTok"/>
        </w:rPr>
        <w:t xml:space="preserve">"gis"</w:t>
      </w:r>
      <w:r>
        <w:rPr>
          <w:rStyle w:val="NormalTok"/>
        </w:rPr>
        <w:t xml:space="preserve">,</w:t>
      </w:r>
      <w:r>
        <w:br/>
      </w:r>
      <w:r>
        <w:rPr>
          <w:rStyle w:val="NormalTok"/>
        </w:rPr>
        <w:t xml:space="preserve">  </w:t>
      </w:r>
      <w:r>
        <w:rPr>
          <w:rStyle w:val="AttributeTok"/>
        </w:rPr>
        <w:t xml:space="preserve">host =</w:t>
      </w:r>
      <w:r>
        <w:rPr>
          <w:rStyle w:val="NormalTok"/>
        </w:rPr>
        <w:t xml:space="preserve"> </w:t>
      </w:r>
      <w:r>
        <w:rPr>
          <w:rStyle w:val="StringTok"/>
        </w:rPr>
        <w:t xml:space="preserve">"localhost"</w:t>
      </w:r>
      <w:r>
        <w:rPr>
          <w:rStyle w:val="NormalTok"/>
        </w:rPr>
        <w:t xml:space="preserve">,</w:t>
      </w:r>
      <w:r>
        <w:br/>
      </w:r>
      <w:r>
        <w:rPr>
          <w:rStyle w:val="NormalTok"/>
        </w:rPr>
        <w:t xml:space="preserve">  </w:t>
      </w:r>
      <w:r>
        <w:rPr>
          <w:rStyle w:val="AttributeTok"/>
        </w:rPr>
        <w:t xml:space="preserve">port =</w:t>
      </w:r>
      <w:r>
        <w:rPr>
          <w:rStyle w:val="NormalTok"/>
        </w:rPr>
        <w:t xml:space="preserve"> </w:t>
      </w:r>
      <w:r>
        <w:rPr>
          <w:rStyle w:val="DecValTok"/>
        </w:rPr>
        <w:t xml:space="preserve">5432</w:t>
      </w:r>
      <w:r>
        <w:rPr>
          <w:rStyle w:val="NormalTok"/>
        </w:rPr>
        <w:t xml:space="preserve">,</w:t>
      </w:r>
      <w:r>
        <w:br/>
      </w:r>
      <w:r>
        <w:rPr>
          <w:rStyle w:val="NormalTok"/>
        </w:rPr>
        <w:t xml:space="preserve">  </w:t>
      </w:r>
      <w:r>
        <w:rPr>
          <w:rStyle w:val="AttributeTok"/>
        </w:rPr>
        <w:t xml:space="preserve">user =</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AttributeTok"/>
        </w:rPr>
        <w:t xml:space="preserve">password =</w:t>
      </w:r>
      <w:r>
        <w:rPr>
          <w:rStyle w:val="NormalTok"/>
        </w:rPr>
        <w:t xml:space="preserve"> </w:t>
      </w:r>
      <w:r>
        <w:rPr>
          <w:rStyle w:val="StringTok"/>
        </w:rPr>
        <w:t xml:space="preserve">"postgres"</w:t>
      </w:r>
      <w:r>
        <w:br/>
      </w:r>
      <w:r>
        <w:rPr>
          <w:rStyle w:val="NormalTok"/>
        </w:rPr>
        <w:t xml:space="preserve">)</w:t>
      </w:r>
      <w:r>
        <w:br/>
      </w:r>
      <w:r>
        <w:br/>
      </w:r>
      <w:r>
        <w:rPr>
          <w:rStyle w:val="CommentTok"/>
        </w:rPr>
        <w:t xml:space="preserve"># Read CSV files and metadata</w:t>
      </w:r>
      <w:r>
        <w:br/>
      </w:r>
      <w:r>
        <w:rPr>
          <w:rStyle w:val="NormalTok"/>
        </w:rPr>
        <w:t xml:space="preserve">d </w:t>
      </w:r>
      <w:r>
        <w:rPr>
          <w:rStyle w:val="OtherTok"/>
        </w:rPr>
        <w:t xml:space="preserve">&lt;-</w:t>
      </w:r>
      <w:r>
        <w:rPr>
          <w:rStyle w:val="NormalTok"/>
        </w:rPr>
        <w:t xml:space="preserve"> </w:t>
      </w:r>
      <w:r>
        <w:rPr>
          <w:rStyle w:val="FunctionTok"/>
        </w:rPr>
        <w:t xml:space="preserve">read_csv_files</w:t>
      </w:r>
      <w:r>
        <w:rPr>
          <w:rStyle w:val="NormalTok"/>
        </w:rPr>
        <w:t xml:space="preserve">(</w:t>
      </w:r>
      <w:r>
        <w:br/>
      </w:r>
      <w:r>
        <w:rPr>
          <w:rStyle w:val="NormalTok"/>
        </w:rPr>
        <w:t xml:space="preserve">  </w:t>
      </w:r>
      <w:r>
        <w:rPr>
          <w:rStyle w:val="AttributeTok"/>
        </w:rPr>
        <w:t xml:space="preserve">provider =</w:t>
      </w:r>
      <w:r>
        <w:rPr>
          <w:rStyle w:val="NormalTok"/>
        </w:rPr>
        <w:t xml:space="preserve"> </w:t>
      </w:r>
      <w:r>
        <w:rPr>
          <w:rStyle w:val="StringTok"/>
        </w:rPr>
        <w:t xml:space="preserve">"swfsc.noaa.gov"</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StringTok"/>
        </w:rPr>
        <w:t xml:space="preserve">"calcofi-db"</w:t>
      </w:r>
      <w:r>
        <w:br/>
      </w:r>
      <w:r>
        <w:rPr>
          <w:rStyle w:val="NormalTok"/>
        </w:rPr>
        <w:t xml:space="preserve">)</w:t>
      </w:r>
      <w:r>
        <w:br/>
      </w:r>
      <w:r>
        <w:br/>
      </w:r>
      <w:r>
        <w:rPr>
          <w:rStyle w:val="CommentTok"/>
        </w:rPr>
        <w:t xml:space="preserve"># Transform data according to redefinitions</w:t>
      </w:r>
      <w:r>
        <w:br/>
      </w:r>
      <w:r>
        <w:rPr>
          <w:rStyle w:val="NormalTok"/>
        </w:rPr>
        <w:t xml:space="preserve">transformed_data </w:t>
      </w:r>
      <w:r>
        <w:rPr>
          <w:rStyle w:val="OtherTok"/>
        </w:rPr>
        <w:t xml:space="preserve">&lt;-</w:t>
      </w:r>
      <w:r>
        <w:rPr>
          <w:rStyle w:val="NormalTok"/>
        </w:rPr>
        <w:t xml:space="preserve"> </w:t>
      </w:r>
      <w:r>
        <w:rPr>
          <w:rStyle w:val="FunctionTok"/>
        </w:rPr>
        <w:t xml:space="preserve">transform_data</w:t>
      </w:r>
      <w:r>
        <w:rPr>
          <w:rStyle w:val="NormalTok"/>
        </w:rPr>
        <w:t xml:space="preserve">(d)</w:t>
      </w:r>
      <w:r>
        <w:br/>
      </w:r>
      <w:r>
        <w:br/>
      </w:r>
      <w:r>
        <w:rPr>
          <w:rStyle w:val="CommentTok"/>
        </w:rPr>
        <w:t xml:space="preserve"># Ingest into dev schema</w:t>
      </w:r>
      <w:r>
        <w:br/>
      </w:r>
      <w:r>
        <w:rPr>
          <w:rStyle w:val="FunctionTok"/>
        </w:rPr>
        <w:t xml:space="preserve">ingest_csv_to_db</w:t>
      </w:r>
      <w:r>
        <w:rPr>
          <w:rStyle w:val="NormalTok"/>
        </w:rPr>
        <w:t xml:space="preserve">(</w:t>
      </w:r>
      <w:r>
        <w:br/>
      </w:r>
      <w:r>
        <w:rPr>
          <w:rStyle w:val="NormalTok"/>
        </w:rPr>
        <w:t xml:space="preserve">  </w:t>
      </w:r>
      <w:r>
        <w:rPr>
          <w:rStyle w:val="AttributeTok"/>
        </w:rPr>
        <w:t xml:space="preserve">con =</w:t>
      </w:r>
      <w:r>
        <w:rPr>
          <w:rStyle w:val="NormalTok"/>
        </w:rPr>
        <w:t xml:space="preserve"> con,</w:t>
      </w:r>
      <w:r>
        <w:br/>
      </w:r>
      <w:r>
        <w:rPr>
          <w:rStyle w:val="NormalTok"/>
        </w:rPr>
        <w:t xml:space="preserve">  </w:t>
      </w:r>
      <w:r>
        <w:rPr>
          <w:rStyle w:val="AttributeTok"/>
        </w:rPr>
        <w:t xml:space="preserve">schema =</w:t>
      </w:r>
      <w:r>
        <w:rPr>
          <w:rStyle w:val="NormalTok"/>
        </w:rPr>
        <w:t xml:space="preserve"> </w:t>
      </w:r>
      <w:r>
        <w:rPr>
          <w:rStyle w:val="StringTok"/>
        </w:rPr>
        <w:t xml:space="preserve">"dev"</w:t>
      </w:r>
      <w:r>
        <w:rPr>
          <w:rStyle w:val="NormalTok"/>
        </w:rPr>
        <w:t xml:space="preserve">,</w:t>
      </w:r>
      <w:r>
        <w:br/>
      </w:r>
      <w:r>
        <w:rPr>
          <w:rStyle w:val="NormalTok"/>
        </w:rPr>
        <w:t xml:space="preserve">  </w:t>
      </w:r>
      <w:r>
        <w:rPr>
          <w:rStyle w:val="AttributeTok"/>
        </w:rPr>
        <w:t xml:space="preserve">transformed_data =</w:t>
      </w:r>
      <w:r>
        <w:rPr>
          <w:rStyle w:val="NormalTok"/>
        </w:rPr>
        <w:t xml:space="preserve"> transformed_data,</w:t>
      </w:r>
      <w:r>
        <w:br/>
      </w:r>
      <w:r>
        <w:rPr>
          <w:rStyle w:val="NormalTok"/>
        </w:rPr>
        <w:t xml:space="preserve">  </w:t>
      </w:r>
      <w:r>
        <w:rPr>
          <w:rStyle w:val="AttributeTok"/>
        </w:rPr>
        <w:t xml:space="preserve">d_flds_rd =</w:t>
      </w:r>
      <w:r>
        <w:rPr>
          <w:rStyle w:val="NormalTok"/>
        </w:rPr>
        <w:t xml:space="preserve"> d</w:t>
      </w:r>
      <w:r>
        <w:rPr>
          <w:rStyle w:val="SpecialCharTok"/>
        </w:rPr>
        <w:t xml:space="preserve">$</w:t>
      </w:r>
      <w:r>
        <w:rPr>
          <w:rStyle w:val="NormalTok"/>
        </w:rPr>
        <w:t xml:space="preserve">d_flds_rd,</w:t>
      </w:r>
      <w:r>
        <w:br/>
      </w:r>
      <w:r>
        <w:rPr>
          <w:rStyle w:val="NormalTok"/>
        </w:rPr>
        <w:t xml:space="preserve">  </w:t>
      </w:r>
      <w:r>
        <w:rPr>
          <w:rStyle w:val="AttributeTok"/>
        </w:rPr>
        <w:t xml:space="preserve">d_gdata =</w:t>
      </w:r>
      <w:r>
        <w:rPr>
          <w:rStyle w:val="NormalTok"/>
        </w:rPr>
        <w:t xml:space="preserve"> d</w:t>
      </w:r>
      <w:r>
        <w:rPr>
          <w:rStyle w:val="SpecialCharTok"/>
        </w:rPr>
        <w:t xml:space="preserve">$</w:t>
      </w:r>
      <w:r>
        <w:rPr>
          <w:rStyle w:val="NormalTok"/>
        </w:rPr>
        <w:t xml:space="preserve">d_gdata,</w:t>
      </w:r>
      <w:r>
        <w:br/>
      </w:r>
      <w:r>
        <w:rPr>
          <w:rStyle w:val="NormalTok"/>
        </w:rPr>
        <w:t xml:space="preserve">  </w:t>
      </w:r>
      <w:r>
        <w:rPr>
          <w:rStyle w:val="AttributeTok"/>
        </w:rPr>
        <w:t xml:space="preserve">workflow_info =</w:t>
      </w:r>
      <w:r>
        <w:rPr>
          <w:rStyle w:val="NormalTok"/>
        </w:rPr>
        <w:t xml:space="preserve"> d</w:t>
      </w:r>
      <w:r>
        <w:rPr>
          <w:rStyle w:val="SpecialCharTok"/>
        </w:rPr>
        <w:t xml:space="preserve">$</w:t>
      </w:r>
      <w:r>
        <w:rPr>
          <w:rStyle w:val="NormalTok"/>
        </w:rPr>
        <w:t xml:space="preserve">workflow_info</w:t>
      </w:r>
      <w:r>
        <w:br/>
      </w:r>
      <w:r>
        <w:rPr>
          <w:rStyle w:val="NormalTok"/>
        </w:rPr>
        <w:t xml:space="preserve">)</w:t>
      </w:r>
      <w:r>
        <w:br/>
      </w:r>
      <w:r>
        <w:br/>
      </w:r>
      <w:r>
        <w:rPr>
          <w:rStyle w:val="CommentTok"/>
        </w:rPr>
        <w:t xml:space="preserve"># Record schema version</w:t>
      </w:r>
      <w:r>
        <w:br/>
      </w:r>
      <w:r>
        <w:rPr>
          <w:rStyle w:val="FunctionTok"/>
        </w:rPr>
        <w:t xml:space="preserve">record_schema_version</w:t>
      </w:r>
      <w:r>
        <w:rPr>
          <w:rStyle w:val="NormalTok"/>
        </w:rPr>
        <w:t xml:space="preserve">(</w:t>
      </w:r>
      <w:r>
        <w:br/>
      </w:r>
      <w:r>
        <w:rPr>
          <w:rStyle w:val="NormalTok"/>
        </w:rPr>
        <w:t xml:space="preserve">  </w:t>
      </w:r>
      <w:r>
        <w:rPr>
          <w:rStyle w:val="AttributeTok"/>
        </w:rPr>
        <w:t xml:space="preserve">con =</w:t>
      </w:r>
      <w:r>
        <w:rPr>
          <w:rStyle w:val="NormalTok"/>
        </w:rPr>
        <w:t xml:space="preserve"> con,</w:t>
      </w:r>
      <w:r>
        <w:br/>
      </w:r>
      <w:r>
        <w:rPr>
          <w:rStyle w:val="NormalTok"/>
        </w:rPr>
        <w:t xml:space="preserve">  </w:t>
      </w:r>
      <w:r>
        <w:rPr>
          <w:rStyle w:val="AttributeTok"/>
        </w:rPr>
        <w:t xml:space="preserve">schema =</w:t>
      </w:r>
      <w:r>
        <w:rPr>
          <w:rStyle w:val="NormalTok"/>
        </w:rPr>
        <w:t xml:space="preserve"> </w:t>
      </w:r>
      <w:r>
        <w:rPr>
          <w:rStyle w:val="StringTok"/>
        </w:rPr>
        <w:t xml:space="preserve">"dev"</w:t>
      </w:r>
      <w:r>
        <w:rPr>
          <w:rStyle w:val="NormalTok"/>
        </w:rPr>
        <w:t xml:space="preserve">,</w:t>
      </w:r>
      <w:r>
        <w:br/>
      </w:r>
      <w:r>
        <w:rPr>
          <w:rStyle w:val="NormalTok"/>
        </w:rPr>
        <w:t xml:space="preserve">  </w:t>
      </w:r>
      <w:r>
        <w:rPr>
          <w:rStyle w:val="AttributeTok"/>
        </w:rPr>
        <w:t xml:space="preserve">version =</w:t>
      </w:r>
      <w:r>
        <w:rPr>
          <w:rStyle w:val="NormalTok"/>
        </w:rPr>
        <w:t xml:space="preserve"> </w:t>
      </w:r>
      <w:r>
        <w:rPr>
          <w:rStyle w:val="StringTok"/>
        </w:rPr>
        <w:t xml:space="preserve">"1.0.0"</w:t>
      </w:r>
      <w:r>
        <w:rPr>
          <w:rStyle w:val="NormalTok"/>
        </w:rPr>
        <w:t xml:space="preserve">,</w:t>
      </w:r>
      <w:r>
        <w:br/>
      </w:r>
      <w:r>
        <w:rPr>
          <w:rStyle w:val="NormalTok"/>
        </w:rPr>
        <w:t xml:space="preserve">  </w:t>
      </w:r>
      <w:r>
        <w:rPr>
          <w:rStyle w:val="AttributeTok"/>
        </w:rPr>
        <w:t xml:space="preserve">description =</w:t>
      </w:r>
      <w:r>
        <w:rPr>
          <w:rStyle w:val="NormalTok"/>
        </w:rPr>
        <w:t xml:space="preserve"> </w:t>
      </w:r>
      <w:r>
        <w:rPr>
          <w:rStyle w:val="StringTok"/>
        </w:rPr>
        <w:t xml:space="preserve">"Initial ingestion of NOAA CalCOFI Database"</w:t>
      </w:r>
      <w:r>
        <w:rPr>
          <w:rStyle w:val="NormalTok"/>
        </w:rPr>
        <w:t xml:space="preserve">,</w:t>
      </w:r>
      <w:r>
        <w:br/>
      </w:r>
      <w:r>
        <w:rPr>
          <w:rStyle w:val="NormalTok"/>
        </w:rPr>
        <w:t xml:space="preserve">  </w:t>
      </w:r>
      <w:r>
        <w:rPr>
          <w:rStyle w:val="AttributeTok"/>
        </w:rPr>
        <w:t xml:space="preserve">script_permalink =</w:t>
      </w:r>
      <w:r>
        <w:rPr>
          <w:rStyle w:val="NormalTok"/>
        </w:rPr>
        <w:t xml:space="preserve"> </w:t>
      </w:r>
      <w:r>
        <w:rPr>
          <w:rStyle w:val="StringTok"/>
        </w:rPr>
        <w:t xml:space="preserve">"https://github.com/CalCOFI/calcofi4db/blob/main/inst/create_db.qmd"</w:t>
      </w:r>
      <w:r>
        <w:br/>
      </w:r>
      <w:r>
        <w:rPr>
          <w:rStyle w:val="NormalTok"/>
        </w:rPr>
        <w:t xml:space="preserve">)</w:t>
      </w:r>
    </w:p>
    <w:bookmarkEnd w:id="77"/>
    <w:bookmarkStart w:id="78" w:name="schema-versioning"/>
    <w:p>
      <w:pPr>
        <w:pStyle w:val="Heading3"/>
      </w:pPr>
      <w:r>
        <w:t xml:space="preserve">5.3.4 Schema versioning</w:t>
      </w:r>
    </w:p>
    <w:p>
      <w:pPr>
        <w:pStyle w:val="FirstParagraph"/>
      </w:pPr>
      <w:r>
        <w:t xml:space="preserve">Each successful ingestion creates a new schema version recorded in the</w:t>
      </w:r>
      <w:r>
        <w:t xml:space="preserve"> </w:t>
      </w:r>
      <w:r>
        <w:rPr>
          <w:rStyle w:val="VerbatimChar"/>
        </w:rPr>
        <w:t xml:space="preserve">schema_version</w:t>
      </w:r>
      <w:r>
        <w:t xml:space="preserve"> </w:t>
      </w:r>
      <w:r>
        <w:t xml:space="preserve">table with:</w:t>
      </w:r>
    </w:p>
    <w:p>
      <w:pPr>
        <w:pStyle w:val="Compact"/>
        <w:numPr>
          <w:ilvl w:val="0"/>
          <w:numId w:val="1013"/>
        </w:numPr>
      </w:pPr>
      <w:r>
        <w:rPr>
          <w:b/>
          <w:bCs/>
        </w:rPr>
        <w:t xml:space="preserve">version</w:t>
      </w:r>
      <w:r>
        <w:t xml:space="preserve">: Semantic version number (e.g.,</w:t>
      </w:r>
      <w:r>
        <w:t xml:space="preserve"> </w:t>
      </w:r>
      <w:r>
        <w:t xml:space="preserve">“1.0.0”</w:t>
      </w:r>
      <w:r>
        <w:t xml:space="preserve">,</w:t>
      </w:r>
      <w:r>
        <w:t xml:space="preserve"> </w:t>
      </w:r>
      <w:r>
        <w:t xml:space="preserve">“1.1.0”</w:t>
      </w:r>
      <w:r>
        <w:t xml:space="preserve">)</w:t>
      </w:r>
    </w:p>
    <w:p>
      <w:pPr>
        <w:pStyle w:val="Compact"/>
        <w:numPr>
          <w:ilvl w:val="0"/>
          <w:numId w:val="1013"/>
        </w:numPr>
      </w:pPr>
      <w:r>
        <w:rPr>
          <w:b/>
          <w:bCs/>
        </w:rPr>
        <w:t xml:space="preserve">description</w:t>
      </w:r>
      <w:r>
        <w:t xml:space="preserve">: Changes introduced in this version</w:t>
      </w:r>
    </w:p>
    <w:p>
      <w:pPr>
        <w:pStyle w:val="Compact"/>
        <w:numPr>
          <w:ilvl w:val="0"/>
          <w:numId w:val="1013"/>
        </w:numPr>
      </w:pPr>
      <w:r>
        <w:rPr>
          <w:b/>
          <w:bCs/>
        </w:rPr>
        <w:t xml:space="preserve">date_created</w:t>
      </w:r>
      <w:r>
        <w:t xml:space="preserve">: Timestamp of ingestion</w:t>
      </w:r>
    </w:p>
    <w:p>
      <w:pPr>
        <w:pStyle w:val="Compact"/>
        <w:numPr>
          <w:ilvl w:val="0"/>
          <w:numId w:val="1013"/>
        </w:numPr>
      </w:pPr>
      <w:r>
        <w:rPr>
          <w:b/>
          <w:bCs/>
        </w:rPr>
        <w:t xml:space="preserve">script_permalink</w:t>
      </w:r>
      <w:r>
        <w:t xml:space="preserve">: GitHub permalink to the versioned ingestion script</w:t>
      </w:r>
    </w:p>
    <w:p>
      <w:pPr>
        <w:pStyle w:val="FirstParagraph"/>
      </w:pPr>
      <w:r>
        <w:t xml:space="preserve">Versions are also archived as SQL dumps in Google Drive for reproducibility.</w:t>
      </w:r>
    </w:p>
    <w:bookmarkEnd w:id="78"/>
    <w:bookmarkStart w:id="81" w:name="metadata-and-documentation"/>
    <w:p>
      <w:pPr>
        <w:pStyle w:val="Heading3"/>
      </w:pPr>
      <w:r>
        <w:t xml:space="preserve">5.3.5 Metadata and documentation</w:t>
      </w:r>
    </w:p>
    <w:p>
      <w:pPr>
        <w:pStyle w:val="FirstParagraph"/>
      </w:pPr>
      <w:r>
        <w:t xml:space="preserve">After ingestion, metadata is stored in PostgreSQL</w:t>
      </w:r>
      <w:r>
        <w:t xml:space="preserve"> </w:t>
      </w:r>
      <w:r>
        <w:rPr>
          <w:rStyle w:val="VerbatimChar"/>
        </w:rPr>
        <w:t xml:space="preserve">COMMENT</w:t>
      </w:r>
      <w:r>
        <w:t xml:space="preserve">s as JSON at the</w:t>
      </w:r>
      <w:r>
        <w:t xml:space="preserve"> </w:t>
      </w:r>
      <w:r>
        <w:rPr>
          <w:b/>
          <w:bCs/>
        </w:rPr>
        <w:t xml:space="preserve">table</w:t>
      </w:r>
      <w:r>
        <w:t xml:space="preserve"> </w:t>
      </w:r>
      <w:r>
        <w:t xml:space="preserve">level:</w:t>
      </w:r>
    </w:p>
    <w:p>
      <w:pPr>
        <w:pStyle w:val="Compact"/>
        <w:numPr>
          <w:ilvl w:val="0"/>
          <w:numId w:val="1014"/>
        </w:numPr>
      </w:pPr>
      <w:r>
        <w:rPr>
          <w:b/>
          <w:bCs/>
        </w:rPr>
        <w:t xml:space="preserve">description</w:t>
      </w:r>
      <w:r>
        <w:t xml:space="preserve">: General description and row uniqueness</w:t>
      </w:r>
    </w:p>
    <w:p>
      <w:pPr>
        <w:pStyle w:val="Compact"/>
        <w:numPr>
          <w:ilvl w:val="0"/>
          <w:numId w:val="1014"/>
        </w:numPr>
      </w:pPr>
      <w:r>
        <w:rPr>
          <w:b/>
          <w:bCs/>
        </w:rPr>
        <w:t xml:space="preserve">source</w:t>
      </w:r>
      <w:r>
        <w:t xml:space="preserve">: CSV file link to Google Drive</w:t>
      </w:r>
    </w:p>
    <w:p>
      <w:pPr>
        <w:pStyle w:val="Compact"/>
        <w:numPr>
          <w:ilvl w:val="0"/>
          <w:numId w:val="1014"/>
        </w:numPr>
      </w:pPr>
      <w:r>
        <w:rPr>
          <w:b/>
          <w:bCs/>
        </w:rPr>
        <w:t xml:space="preserve">source_created</w:t>
      </w:r>
      <w:r>
        <w:t xml:space="preserve">: Source file creation timestamp</w:t>
      </w:r>
    </w:p>
    <w:p>
      <w:pPr>
        <w:pStyle w:val="Compact"/>
        <w:numPr>
          <w:ilvl w:val="0"/>
          <w:numId w:val="1014"/>
        </w:numPr>
      </w:pPr>
      <w:r>
        <w:rPr>
          <w:b/>
          <w:bCs/>
        </w:rPr>
        <w:t xml:space="preserve">workflow</w:t>
      </w:r>
      <w:r>
        <w:t xml:space="preserve">: Link to rendered ingestion script</w:t>
      </w:r>
    </w:p>
    <w:p>
      <w:pPr>
        <w:pStyle w:val="Compact"/>
        <w:numPr>
          <w:ilvl w:val="0"/>
          <w:numId w:val="1014"/>
        </w:numPr>
      </w:pPr>
      <w:r>
        <w:rPr>
          <w:b/>
          <w:bCs/>
        </w:rPr>
        <w:t xml:space="preserve">workflow_ingested</w:t>
      </w:r>
      <w:r>
        <w:t xml:space="preserve">: Ingestion timestamp</w:t>
      </w:r>
    </w:p>
    <w:p>
      <w:pPr>
        <w:pStyle w:val="FirstParagraph"/>
      </w:pPr>
      <w:r>
        <w:t xml:space="preserve">And at the</w:t>
      </w:r>
      <w:r>
        <w:t xml:space="preserve"> </w:t>
      </w:r>
      <w:r>
        <w:rPr>
          <w:b/>
          <w:bCs/>
        </w:rPr>
        <w:t xml:space="preserve">field</w:t>
      </w:r>
      <w:r>
        <w:t xml:space="preserve"> </w:t>
      </w:r>
      <w:r>
        <w:t xml:space="preserve">level:</w:t>
      </w:r>
    </w:p>
    <w:p>
      <w:pPr>
        <w:pStyle w:val="Compact"/>
        <w:numPr>
          <w:ilvl w:val="0"/>
          <w:numId w:val="1015"/>
        </w:numPr>
      </w:pPr>
      <w:r>
        <w:rPr>
          <w:b/>
          <w:bCs/>
        </w:rPr>
        <w:t xml:space="preserve">description</w:t>
      </w:r>
      <w:r>
        <w:t xml:space="preserve">: Field description</w:t>
      </w:r>
    </w:p>
    <w:p>
      <w:pPr>
        <w:pStyle w:val="Compact"/>
        <w:numPr>
          <w:ilvl w:val="0"/>
          <w:numId w:val="1015"/>
        </w:numPr>
      </w:pPr>
      <w:r>
        <w:rPr>
          <w:b/>
          <w:bCs/>
        </w:rPr>
        <w:t xml:space="preserve">units</w:t>
      </w:r>
      <w:r>
        <w:t xml:space="preserve">: SI units where applicable</w:t>
      </w:r>
    </w:p>
    <w:p>
      <w:pPr>
        <w:pStyle w:val="FirstParagraph"/>
      </w:pPr>
      <w:r>
        <w:t xml:space="preserve">These comments are exposed via the API</w:t>
      </w:r>
      <w:r>
        <w:t xml:space="preserve"> </w:t>
      </w:r>
      <w:hyperlink r:id="rId79">
        <w:r>
          <w:rPr>
            <w:rStyle w:val="Hyperlink"/>
          </w:rPr>
          <w:t xml:space="preserve">db_tables</w:t>
        </w:r>
      </w:hyperlink>
      <w:r>
        <w:t xml:space="preserve"> </w:t>
      </w:r>
      <w:r>
        <w:t xml:space="preserve">endpoint and rendered with</w:t>
      </w:r>
      <w:r>
        <w:t xml:space="preserve"> </w:t>
      </w:r>
      <w:hyperlink r:id="rId80">
        <w:r>
          <w:rPr>
            <w:rStyle w:val="Hyperlink"/>
          </w:rPr>
          <w:t xml:space="preserve">calcofi4r::cc_db_catalog</w:t>
        </w:r>
      </w:hyperlink>
      <w:r>
        <w:t xml:space="preserve">.</w:t>
      </w:r>
    </w:p>
    <w:bookmarkEnd w:id="81"/>
    <w:bookmarkStart w:id="84" w:name="publishing-to-portals"/>
    <w:p>
      <w:pPr>
        <w:pStyle w:val="Heading3"/>
      </w:pPr>
      <w:r>
        <w:t xml:space="preserve">5.3.6 Publishing to portals</w:t>
      </w:r>
    </w:p>
    <w:p>
      <w:pPr>
        <w:pStyle w:val="FirstParagraph"/>
      </w:pPr>
      <w:r>
        <w:t xml:space="preserve">After</w:t>
      </w:r>
      <w:r>
        <w:t xml:space="preserve"> </w:t>
      </w:r>
      <w:r>
        <w:rPr>
          <w:rStyle w:val="VerbatimChar"/>
        </w:rPr>
        <w:t xml:space="preserve">prod</w:t>
      </w:r>
      <w:r>
        <w:t xml:space="preserve"> </w:t>
      </w:r>
      <w:r>
        <w:t xml:space="preserve">schema is versioned, additional workflows publish data to</w:t>
      </w:r>
      <w:r>
        <w:t xml:space="preserve"> </w:t>
      </w:r>
      <w:hyperlink r:id="rId82">
        <w:r>
          <w:rPr>
            <w:rStyle w:val="Hyperlink"/>
          </w:rPr>
          <w:t xml:space="preserve">Portals</w:t>
        </w:r>
      </w:hyperlink>
      <w:r>
        <w:t xml:space="preserve"> </w:t>
      </w:r>
      <w:r>
        <w:t xml:space="preserve">(ERDDAP, EDI, OBIS, NCEI) using ecological metadata language (EML) via the</w:t>
      </w:r>
      <w:r>
        <w:t xml:space="preserve"> </w:t>
      </w:r>
      <w:hyperlink r:id="rId83">
        <w:r>
          <w:rPr>
            <w:rStyle w:val="Hyperlink"/>
          </w:rPr>
          <w:t xml:space="preserve">EML</w:t>
        </w:r>
      </w:hyperlink>
      <w:r>
        <w:t xml:space="preserve"> </w:t>
      </w:r>
      <w:r>
        <w:t xml:space="preserve">R package, pulling metadata directly from database comments.</w:t>
      </w:r>
    </w:p>
    <w:bookmarkEnd w:id="84"/>
    <w:bookmarkStart w:id="88" w:name="or-describe-tables-and-columns-directly"/>
    <w:p>
      <w:pPr>
        <w:pStyle w:val="Heading3"/>
      </w:pPr>
      <w:r>
        <w:t xml:space="preserve">5.3.7 OR Describe tables and columns directly</w:t>
      </w:r>
    </w:p>
    <w:p>
      <w:pPr>
        <w:numPr>
          <w:ilvl w:val="0"/>
          <w:numId w:val="1016"/>
        </w:numPr>
      </w:pPr>
      <w:r>
        <w:t xml:space="preserve">Use the</w:t>
      </w:r>
      <w:r>
        <w:t xml:space="preserve"> </w:t>
      </w:r>
      <w:r>
        <w:rPr>
          <w:rStyle w:val="VerbatimChar"/>
        </w:rPr>
        <w:t xml:space="preserve">COMMENT</w:t>
      </w:r>
      <w:r>
        <w:t xml:space="preserve"> </w:t>
      </w:r>
      <w:r>
        <w:t xml:space="preserve">clause to add descriptions to tables and columns, either through the GUI</w:t>
      </w:r>
      <w:r>
        <w:t xml:space="preserve"> </w:t>
      </w:r>
      <w:hyperlink r:id="rId85">
        <w:r>
          <w:rPr>
            <w:rStyle w:val="Hyperlink"/>
          </w:rPr>
          <w:t xml:space="preserve">pgadmin.calcofi.io</w:t>
        </w:r>
      </w:hyperlink>
      <w:r>
        <w:t xml:space="preserve"> </w:t>
      </w:r>
      <w:r>
        <w:t xml:space="preserve">(by right-clicking on the table or column and selecting</w:t>
      </w:r>
      <w:r>
        <w:t xml:space="preserve"> </w:t>
      </w:r>
      <w:r>
        <w:rPr>
          <w:rStyle w:val="VerbatimChar"/>
        </w:rPr>
        <w:t xml:space="preserve">Properties</w:t>
      </w:r>
      <w:r>
        <w:t xml:space="preserve">) or with SQL. For example:</w:t>
      </w:r>
    </w:p>
    <w:p>
      <w:pPr>
        <w:pStyle w:val="SourceCode"/>
        <w:numPr>
          <w:ilvl w:val="0"/>
          <w:numId w:val="1000"/>
        </w:numPr>
      </w:pP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.aoi_fed_sanctuaries </w:t>
      </w:r>
      <w:r>
        <w:rPr>
          <w:rStyle w:val="KeywordTok"/>
        </w:rPr>
        <w:t xml:space="preserve">IS</w:t>
      </w:r>
      <w:r>
        <w:rPr>
          <w:rStyle w:val="NormalTok"/>
        </w:rPr>
        <w:t xml:space="preserve"> </w:t>
      </w:r>
      <w:r>
        <w:rPr>
          <w:rStyle w:val="StringTok"/>
        </w:rPr>
        <w:t xml:space="preserve">'areas of interest (`aoi`) polygons for federal **National Marine Sanctuaries**; loaded by _workflow_ [load_sanctuaries](https://calcofi.io/workflows/load_sanctuaries.html)'</w:t>
      </w:r>
      <w:r>
        <w:rPr>
          <w:rStyle w:val="NormalTok"/>
        </w:rPr>
        <w:t xml:space="preserve">;</w:t>
      </w:r>
    </w:p>
    <w:p>
      <w:pPr>
        <w:numPr>
          <w:ilvl w:val="0"/>
          <w:numId w:val="1016"/>
        </w:numPr>
      </w:pPr>
      <w:r>
        <w:t xml:space="preserve">Note the use of</w:t>
      </w:r>
      <w:r>
        <w:t xml:space="preserve"> </w:t>
      </w:r>
      <w:hyperlink r:id="rId86">
        <w:r>
          <w:rPr>
            <w:rStyle w:val="Hyperlink"/>
            <w:b/>
            <w:bCs/>
          </w:rPr>
          <w:t xml:space="preserve">markdown</w:t>
        </w:r>
      </w:hyperlink>
      <w:r>
        <w:t xml:space="preserve"> </w:t>
      </w:r>
      <w:r>
        <w:t xml:space="preserve">for including links and formatting (e.g., bold, code, italics), such that the above SQL will render like so:</w:t>
      </w:r>
    </w:p>
    <w:p>
      <w:pPr>
        <w:pStyle w:val="BlockText"/>
        <w:numPr>
          <w:ilvl w:val="0"/>
          <w:numId w:val="1000"/>
        </w:numPr>
      </w:pPr>
      <w:r>
        <w:t xml:space="preserve">areas of interest (</w:t>
      </w:r>
      <w:r>
        <w:rPr>
          <w:rStyle w:val="VerbatimChar"/>
        </w:rPr>
        <w:t xml:space="preserve">aoi</w:t>
      </w:r>
      <w:r>
        <w:t xml:space="preserve">) polygons for federal</w:t>
      </w:r>
      <w:r>
        <w:t xml:space="preserve"> </w:t>
      </w:r>
      <w:r>
        <w:rPr>
          <w:b/>
          <w:bCs/>
        </w:rPr>
        <w:t xml:space="preserve">National Marine Sanctuaries</w:t>
      </w:r>
      <w:r>
        <w:t xml:space="preserve">; loaded by</w:t>
      </w:r>
      <w:r>
        <w:t xml:space="preserve"> </w:t>
      </w:r>
      <w:r>
        <w:rPr>
          <w:i/>
          <w:iCs/>
        </w:rPr>
        <w:t xml:space="preserve">workflow</w:t>
      </w:r>
      <w:r>
        <w:t xml:space="preserve"> </w:t>
      </w:r>
      <w:hyperlink r:id="rId87">
        <w:r>
          <w:rPr>
            <w:rStyle w:val="Hyperlink"/>
          </w:rPr>
          <w:t xml:space="preserve">load_sanctuaries</w:t>
        </w:r>
      </w:hyperlink>
    </w:p>
    <w:p>
      <w:pPr>
        <w:numPr>
          <w:ilvl w:val="0"/>
          <w:numId w:val="1016"/>
        </w:numPr>
      </w:pPr>
      <w:r>
        <w:t xml:space="preserve">It is especially helpful to link to any</w:t>
      </w:r>
      <w:r>
        <w:t xml:space="preserve"> </w:t>
      </w:r>
      <w:r>
        <w:rPr>
          <w:b/>
          <w:bCs/>
          <w:i/>
          <w:iCs/>
        </w:rPr>
        <w:t xml:space="preserve">workflows</w:t>
      </w:r>
      <w:r>
        <w:t xml:space="preserve"> </w:t>
      </w:r>
      <w:r>
        <w:t xml:space="preserve">that are responsible for the ingesting or updating of the input data.</w:t>
      </w:r>
    </w:p>
    <w:bookmarkEnd w:id="88"/>
    <w:bookmarkStart w:id="91" w:name="display-tables-and-columns-with-metadata"/>
    <w:p>
      <w:pPr>
        <w:pStyle w:val="Heading3"/>
      </w:pPr>
      <w:r>
        <w:t xml:space="preserve">5.3.8 Display tables and columns with metadata</w:t>
      </w:r>
    </w:p>
    <w:p>
      <w:pPr>
        <w:pStyle w:val="Compact"/>
        <w:numPr>
          <w:ilvl w:val="0"/>
          <w:numId w:val="1017"/>
        </w:numPr>
      </w:pPr>
      <w:r>
        <w:t xml:space="preserve">These descriptions can be viewed in the CalCOFI</w:t>
      </w:r>
      <w:r>
        <w:t xml:space="preserve"> </w:t>
      </w:r>
      <w:r>
        <w:rPr>
          <w:b/>
          <w:bCs/>
        </w:rPr>
        <w:t xml:space="preserve">API</w:t>
      </w:r>
      <w:r>
        <w:t xml:space="preserve"> </w:t>
      </w:r>
      <w:hyperlink r:id="rId41">
        <w:r>
          <w:rPr>
            <w:rStyle w:val="Hyperlink"/>
          </w:rPr>
          <w:t xml:space="preserve">api.calcofi.io</w:t>
        </w:r>
      </w:hyperlink>
      <w:r>
        <w:t xml:space="preserve"> </w:t>
      </w:r>
      <w:r>
        <w:t xml:space="preserve">as CSV tables (see code in</w:t>
      </w:r>
      <w:r>
        <w:t xml:space="preserve"> </w:t>
      </w:r>
      <w:hyperlink r:id="rId89">
        <w:r>
          <w:rPr>
            <w:rStyle w:val="Hyperlink"/>
          </w:rPr>
          <w:t xml:space="preserve">calcofi/api:</w:t>
        </w:r>
        <w:r>
          <w:rPr>
            <w:rStyle w:val="Hyperlink"/>
          </w:rPr>
          <w:t xml:space="preserve"> </w:t>
        </w:r>
        <w:r>
          <w:rPr>
            <w:rStyle w:val="VerbatimChar"/>
          </w:rPr>
          <w:t xml:space="preserve">plumber.R</w:t>
        </w:r>
      </w:hyperlink>
      <w:r>
        <w:t xml:space="preserve">):</w:t>
      </w:r>
    </w:p>
    <w:p>
      <w:pPr>
        <w:pStyle w:val="Compact"/>
        <w:numPr>
          <w:ilvl w:val="1"/>
          <w:numId w:val="1018"/>
        </w:numPr>
      </w:pPr>
      <w:hyperlink r:id="rId79">
        <w:r>
          <w:rPr>
            <w:rStyle w:val="Hyperlink"/>
          </w:rPr>
          <w:t xml:space="preserve">api.calcofi.io</w:t>
        </w:r>
        <w:r>
          <w:rPr>
            <w:rStyle w:val="VerbatimChar"/>
          </w:rPr>
          <w:t xml:space="preserve">/db_tables</w:t>
        </w:r>
      </w:hyperlink>
      <w:r>
        <w:br/>
      </w:r>
      <w:r>
        <w:t xml:space="preserve">fields:</w:t>
      </w:r>
      <w:r>
        <w:br/>
      </w:r>
    </w:p>
    <w:p>
      <w:pPr>
        <w:pStyle w:val="Compact"/>
        <w:numPr>
          <w:ilvl w:val="2"/>
          <w:numId w:val="1019"/>
        </w:numPr>
      </w:pPr>
      <w:r>
        <w:rPr>
          <w:rStyle w:val="VerbatimChar"/>
        </w:rPr>
        <w:t xml:space="preserve">schema</w:t>
      </w:r>
      <w:r>
        <w:t xml:space="preserve">: (only</w:t>
      </w:r>
      <w:r>
        <w:t xml:space="preserve"> </w:t>
      </w:r>
      <w:r>
        <w:t xml:space="preserve">“public”</w:t>
      </w:r>
      <w:r>
        <w:t xml:space="preserve"> </w:t>
      </w:r>
      <w:r>
        <w:t xml:space="preserve">so far)</w:t>
      </w:r>
    </w:p>
    <w:p>
      <w:pPr>
        <w:pStyle w:val="Compact"/>
        <w:numPr>
          <w:ilvl w:val="2"/>
          <w:numId w:val="1019"/>
        </w:numPr>
      </w:pPr>
      <w:r>
        <w:rPr>
          <w:rStyle w:val="VerbatimChar"/>
        </w:rPr>
        <w:t xml:space="preserve">table_type</w:t>
      </w:r>
      <w:r>
        <w:t xml:space="preserve">:</w:t>
      </w:r>
      <w:r>
        <w:t xml:space="preserve"> </w:t>
      </w:r>
      <w:r>
        <w:t xml:space="preserve">“table”</w:t>
      </w:r>
      <w:r>
        <w:t xml:space="preserve">,</w:t>
      </w:r>
      <w:r>
        <w:t xml:space="preserve"> </w:t>
      </w:r>
      <w:r>
        <w:t xml:space="preserve">“view”</w:t>
      </w:r>
      <w:r>
        <w:t xml:space="preserve">, or</w:t>
      </w:r>
      <w:r>
        <w:t xml:space="preserve"> </w:t>
      </w:r>
      <w:r>
        <w:t xml:space="preserve">“materialized view”</w:t>
      </w:r>
      <w:r>
        <w:t xml:space="preserve"> </w:t>
      </w:r>
      <w:r>
        <w:t xml:space="preserve">(none yet)</w:t>
      </w:r>
    </w:p>
    <w:p>
      <w:pPr>
        <w:pStyle w:val="Compact"/>
        <w:numPr>
          <w:ilvl w:val="2"/>
          <w:numId w:val="1019"/>
        </w:numPr>
      </w:pPr>
      <w:r>
        <w:rPr>
          <w:rStyle w:val="VerbatimChar"/>
        </w:rPr>
        <w:t xml:space="preserve">table</w:t>
      </w:r>
      <w:r>
        <w:t xml:space="preserve">: name of table</w:t>
      </w:r>
    </w:p>
    <w:p>
      <w:pPr>
        <w:pStyle w:val="Compact"/>
        <w:numPr>
          <w:ilvl w:val="2"/>
          <w:numId w:val="1019"/>
        </w:numPr>
      </w:pPr>
      <w:r>
        <w:rPr>
          <w:rStyle w:val="VerbatimChar"/>
        </w:rPr>
        <w:t xml:space="preserve">table_description</w:t>
      </w:r>
      <w:r>
        <w:t xml:space="preserve">: description of table (possibly in markdown)</w:t>
      </w:r>
    </w:p>
    <w:p>
      <w:pPr>
        <w:pStyle w:val="Compact"/>
        <w:numPr>
          <w:ilvl w:val="1"/>
          <w:numId w:val="1018"/>
        </w:numPr>
      </w:pPr>
      <w:hyperlink r:id="rId90">
        <w:r>
          <w:rPr>
            <w:rStyle w:val="Hyperlink"/>
          </w:rPr>
          <w:t xml:space="preserve">api.calcofi.io</w:t>
        </w:r>
        <w:r>
          <w:rPr>
            <w:rStyle w:val="VerbatimChar"/>
          </w:rPr>
          <w:t xml:space="preserve">/db_columns</w:t>
        </w:r>
      </w:hyperlink>
      <w:r>
        <w:br/>
      </w:r>
      <w:r>
        <w:t xml:space="preserve">fields:</w:t>
      </w:r>
      <w:r>
        <w:br/>
      </w:r>
    </w:p>
    <w:p>
      <w:pPr>
        <w:pStyle w:val="Compact"/>
        <w:numPr>
          <w:ilvl w:val="2"/>
          <w:numId w:val="1020"/>
        </w:numPr>
      </w:pPr>
      <w:r>
        <w:rPr>
          <w:rStyle w:val="VerbatimChar"/>
        </w:rPr>
        <w:t xml:space="preserve">schema</w:t>
      </w:r>
      <w:r>
        <w:t xml:space="preserve">: (only</w:t>
      </w:r>
      <w:r>
        <w:t xml:space="preserve"> </w:t>
      </w:r>
      <w:r>
        <w:t xml:space="preserve">“public”</w:t>
      </w:r>
      <w:r>
        <w:t xml:space="preserve"> </w:t>
      </w:r>
      <w:r>
        <w:t xml:space="preserve">so far)</w:t>
      </w:r>
    </w:p>
    <w:p>
      <w:pPr>
        <w:pStyle w:val="Compact"/>
        <w:numPr>
          <w:ilvl w:val="2"/>
          <w:numId w:val="1020"/>
        </w:numPr>
      </w:pPr>
      <w:r>
        <w:rPr>
          <w:rStyle w:val="VerbatimChar"/>
        </w:rPr>
        <w:t xml:space="preserve">table_type</w:t>
      </w:r>
      <w:r>
        <w:t xml:space="preserve">:</w:t>
      </w:r>
      <w:r>
        <w:t xml:space="preserve"> </w:t>
      </w:r>
      <w:r>
        <w:t xml:space="preserve">“table”</w:t>
      </w:r>
      <w:r>
        <w:t xml:space="preserve">,</w:t>
      </w:r>
      <w:r>
        <w:t xml:space="preserve"> </w:t>
      </w:r>
      <w:r>
        <w:t xml:space="preserve">“view”</w:t>
      </w:r>
      <w:r>
        <w:t xml:space="preserve">, or</w:t>
      </w:r>
      <w:r>
        <w:t xml:space="preserve"> </w:t>
      </w:r>
      <w:r>
        <w:t xml:space="preserve">“materialized view”</w:t>
      </w:r>
      <w:r>
        <w:t xml:space="preserve"> </w:t>
      </w:r>
      <w:r>
        <w:t xml:space="preserve">(none yet)</w:t>
      </w:r>
    </w:p>
    <w:p>
      <w:pPr>
        <w:pStyle w:val="Compact"/>
        <w:numPr>
          <w:ilvl w:val="2"/>
          <w:numId w:val="1020"/>
        </w:numPr>
      </w:pPr>
      <w:r>
        <w:rPr>
          <w:rStyle w:val="VerbatimChar"/>
        </w:rPr>
        <w:t xml:space="preserve">table</w:t>
      </w:r>
      <w:r>
        <w:t xml:space="preserve">: name of table</w:t>
      </w:r>
    </w:p>
    <w:p>
      <w:pPr>
        <w:pStyle w:val="Compact"/>
        <w:numPr>
          <w:ilvl w:val="2"/>
          <w:numId w:val="1020"/>
        </w:numPr>
      </w:pPr>
      <w:r>
        <w:rPr>
          <w:rStyle w:val="VerbatimChar"/>
        </w:rPr>
        <w:t xml:space="preserve">column</w:t>
      </w:r>
      <w:r>
        <w:t xml:space="preserve">: name of column</w:t>
      </w:r>
    </w:p>
    <w:p>
      <w:pPr>
        <w:pStyle w:val="Compact"/>
        <w:numPr>
          <w:ilvl w:val="2"/>
          <w:numId w:val="1020"/>
        </w:numPr>
      </w:pPr>
      <w:r>
        <w:rPr>
          <w:rStyle w:val="VerbatimChar"/>
        </w:rPr>
        <w:t xml:space="preserve">column_type</w:t>
      </w:r>
      <w:r>
        <w:t xml:space="preserve">: data type of column</w:t>
      </w:r>
    </w:p>
    <w:p>
      <w:pPr>
        <w:pStyle w:val="Compact"/>
        <w:numPr>
          <w:ilvl w:val="2"/>
          <w:numId w:val="1020"/>
        </w:numPr>
      </w:pPr>
      <w:r>
        <w:rPr>
          <w:rStyle w:val="VerbatimChar"/>
        </w:rPr>
        <w:t xml:space="preserve">column_description</w:t>
      </w:r>
      <w:r>
        <w:t xml:space="preserve">: description of column (possibly in markdown)</w:t>
      </w:r>
    </w:p>
    <w:p>
      <w:pPr>
        <w:pStyle w:val="Compact"/>
        <w:numPr>
          <w:ilvl w:val="0"/>
          <w:numId w:val="1017"/>
        </w:numPr>
      </w:pPr>
      <w:r>
        <w:t xml:space="preserve">Fetch and display these descriptions into an interactive table with</w:t>
      </w:r>
      <w:r>
        <w:t xml:space="preserve"> </w:t>
      </w:r>
      <w:hyperlink r:id="rId80">
        <w:r>
          <w:rPr>
            <w:rStyle w:val="VerbatimChar"/>
          </w:rPr>
          <w:t xml:space="preserve">calcofi4r::</w:t>
        </w:r>
        <w:r>
          <w:rPr>
            <w:rStyle w:val="VerbatimChar"/>
            <w:b/>
            <w:bCs/>
          </w:rPr>
          <w:t xml:space="preserve">cc_db_catalog()</w:t>
        </w:r>
      </w:hyperlink>
      <w:r>
        <w:t xml:space="preserve">.</w:t>
      </w:r>
    </w:p>
    <w:bookmarkEnd w:id="91"/>
    <w:bookmarkEnd w:id="92"/>
    <w:bookmarkStart w:id="94" w:name="relationships-between-tables"/>
    <w:p>
      <w:pPr>
        <w:pStyle w:val="Heading2"/>
      </w:pPr>
      <w:r>
        <w:t xml:space="preserve">5.4 Relationships between tables</w:t>
      </w:r>
    </w:p>
    <w:p>
      <w:pPr>
        <w:numPr>
          <w:ilvl w:val="0"/>
          <w:numId w:val="1021"/>
        </w:numPr>
      </w:pPr>
      <w:r>
        <w:t xml:space="preserve">See</w:t>
      </w:r>
      <w:r>
        <w:t xml:space="preserve"> </w:t>
      </w:r>
      <w:hyperlink r:id="rId93">
        <w:r>
          <w:rPr>
            <w:rStyle w:val="Hyperlink"/>
          </w:rPr>
          <w:t xml:space="preserve">calcofi/workflows:</w:t>
        </w:r>
        <w:r>
          <w:rPr>
            <w:rStyle w:val="Hyperlink"/>
          </w:rPr>
          <w:t xml:space="preserve"> </w:t>
        </w:r>
        <w:r>
          <w:rPr>
            <w:rStyle w:val="Hyperlink"/>
            <w:b/>
            <w:bCs/>
          </w:rPr>
          <w:t xml:space="preserve">clean_db</w:t>
        </w:r>
      </w:hyperlink>
      <w:r>
        <w:br/>
      </w:r>
    </w:p>
    <w:p>
      <w:pPr>
        <w:numPr>
          <w:ilvl w:val="0"/>
          <w:numId w:val="1021"/>
        </w:numPr>
      </w:pPr>
      <w:r>
        <w:rPr>
          <w:rStyle w:val="VerbatimChar"/>
        </w:rPr>
        <w:t xml:space="preserve">TODO:</w:t>
      </w:r>
      <w:r>
        <w:t xml:space="preserve"> </w:t>
      </w:r>
      <w:r>
        <w:t xml:space="preserve">add calcofi/apps: db to show latest tables, columns and relationsips</w:t>
      </w:r>
    </w:p>
    <w:bookmarkEnd w:id="94"/>
    <w:bookmarkStart w:id="96" w:name="spatial-tips"/>
    <w:p>
      <w:pPr>
        <w:pStyle w:val="Heading2"/>
      </w:pPr>
      <w:r>
        <w:t xml:space="preserve">5.5 Spatial Tips</w:t>
      </w:r>
    </w:p>
    <w:p>
      <w:pPr>
        <w:pStyle w:val="Compact"/>
        <w:numPr>
          <w:ilvl w:val="0"/>
          <w:numId w:val="1022"/>
        </w:numPr>
      </w:pPr>
      <w:r>
        <w:t xml:space="preserve">Use</w:t>
      </w:r>
      <w:r>
        <w:t xml:space="preserve"> </w:t>
      </w:r>
      <w:hyperlink r:id="rId95">
        <w:r>
          <w:rPr>
            <w:rStyle w:val="VerbatimChar"/>
          </w:rPr>
          <w:t xml:space="preserve">ST_Subdivide()</w:t>
        </w:r>
      </w:hyperlink>
      <w:r>
        <w:t xml:space="preserve"> </w:t>
      </w:r>
      <w:r>
        <w:t xml:space="preserve">when running spatial joins on large polygons.</w:t>
      </w:r>
    </w:p>
    <w:bookmarkEnd w:id="96"/>
    <w:bookmarkEnd w:id="97"/>
    <w:bookmarkStart w:id="137" w:name="portals"/>
    <w:p>
      <w:pPr>
        <w:pStyle w:val="Heading1"/>
      </w:pPr>
      <w:r>
        <w:t xml:space="preserve">6. Portals</w:t>
      </w:r>
    </w:p>
    <w:bookmarkStart w:id="98" w:name="overview-1"/>
    <w:p>
      <w:pPr>
        <w:pStyle w:val="Heading2"/>
      </w:pPr>
      <w:r>
        <w:t xml:space="preserve">6.1 Overview</w:t>
      </w:r>
    </w:p>
    <w:p>
      <w:pPr>
        <w:pStyle w:val="FirstParagraph"/>
      </w:pPr>
      <w:r>
        <w:t xml:space="preserve">CalCOFI data is available through various portals, each serving different purposes and user needs. This document outlines the main access points and their characteristics.</w:t>
      </w:r>
    </w:p>
    <w:bookmarkEnd w:id="98"/>
    <w:bookmarkStart w:id="103" w:name="data-flow"/>
    <w:p>
      <w:pPr>
        <w:pStyle w:val="Heading2"/>
      </w:pPr>
      <w:r>
        <w:t xml:space="preserve">6.2 Data Flow</w:t>
      </w:r>
    </w:p>
    <w:p>
      <w:pPr>
        <w:pStyle w:val="FirstParagraph"/>
      </w:pPr>
      <w:r>
        <w:t xml:space="preserve">While it would be ideal for CalCOFI data to be available through a single portal, each portal has its strengths and limitations. The following diagram illustrates one possible realization of data flow between CalCOFI data and the portals: from raw data to the integrated database to portals and meta-portals.</w:t>
      </w:r>
    </w:p>
    <w:tbl>
      <w:tblPr>
        <w:tblStyle w:val="Table"/>
        <w:tblW w:type="pct" w:w="5000"/>
        <w:tblLayout w:type="fixed"/>
        <w:tblLook w:firstRow="0" w:lastRow="0" w:firstColumn="0" w:lastColumn="0" w:noHBand="0" w:noVBand="0" w:val="0000"/>
      </w:tblPr>
      <w:tblGrid>
        <w:gridCol w:w="7920"/>
      </w:tblGrid>
      <w:tr>
        <w:tc>
          <w:tcPr/>
          <w:bookmarkStart w:id="102" w:name="fig-portals-flow"/>
          <w:p>
            <w:pPr>
              <w:jc w:val="center"/>
            </w:pPr>
            <w:r>
              <w:drawing>
                <wp:inline>
                  <wp:extent cx="5334000" cy="5707380"/>
                  <wp:effectExtent b="0" l="0" r="0" t="0"/>
                  <wp:docPr descr="" title="" id="100" name="Picture"/>
                  <a:graphic>
                    <a:graphicData uri="http://schemas.openxmlformats.org/drawingml/2006/picture">
                      <pic:pic>
                        <pic:nvPicPr>
                          <pic:cNvPr descr="portals_files/figure-docx/mermaid-figure-1.png" id="101" name="Picture"/>
                          <pic:cNvPicPr>
                            <a:picLocks noChangeArrowheads="1" noChangeAspect="1"/>
                          </pic:cNvPicPr>
                        </pic:nvPicPr>
                        <pic:blipFill>
                          <a:blip r:embed="rId99"/>
                          <a:stretch>
                            <a:fillRect/>
                          </a:stretch>
                        </pic:blipFill>
                        <pic:spPr bwMode="auto">
                          <a:xfrm>
                            <a:off x="0" y="0"/>
                            <a:ext cx="5334000" cy="5707380"/>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Flow of data from raw to database to portals and meta-portals.</w:t>
            </w:r>
          </w:p>
          <w:bookmarkEnd w:id="102"/>
        </w:tc>
      </w:tr>
    </w:tbl>
    <w:p>
      <w:pPr>
        <w:pStyle w:val="BodyText"/>
      </w:pPr>
      <w:r>
        <w:t xml:space="preserve">In practice, CalCOFI is a partnership with various contributing members, so the authoritative dataset might flow differently, such as from EDI to the database to the other portals. The other portals, such as OBIS or ERDDAP, serve different audiences or purposes. The meta-portals like ODIS and Data.gov then index these portals to provide broader discovery of CalCOFI datasets.</w:t>
      </w:r>
    </w:p>
    <w:bookmarkEnd w:id="103"/>
    <w:bookmarkStart w:id="118" w:name="portals-1"/>
    <w:p>
      <w:pPr>
        <w:pStyle w:val="Heading2"/>
      </w:pPr>
      <w:r>
        <w:t xml:space="preserve">6.3 Portals</w:t>
      </w:r>
    </w:p>
    <w:p>
      <w:pPr>
        <w:pStyle w:val="FirstParagraph"/>
      </w:pPr>
      <w:r>
        <w:t xml:space="preserve">While some portals serve as data repositories, others provide advanced data access and visualization tools. The following sections describe the main portals where CalCOFI data is available and their key features.</w:t>
      </w:r>
    </w:p>
    <w:tbl>
      <w:tblPr>
        <w:tblStyle w:val="Table"/>
        <w:tblW w:type="pct" w:w="5000"/>
        <w:tblLayout w:type="fixed"/>
        <w:tblLook w:firstRow="0" w:lastRow="0" w:firstColumn="0" w:lastColumn="0" w:noHBand="0" w:noVBand="0" w:val="0000"/>
      </w:tblPr>
      <w:tblGrid>
        <w:gridCol w:w="7920"/>
      </w:tblGrid>
      <w:tr>
        <w:tc>
          <w:tcPr/>
          <w:bookmarkStart w:id="104" w:name="tbl-portals"/>
          <w:p>
            <w:pPr>
              <w:jc w:val="center"/>
            </w:pPr>
            <w:pPr>
              <w:jc w:val="left"/>
              <w:spacing w:before="200"/>
              <w:pStyle w:val="ImageCaption"/>
            </w:pPr>
            <w:r>
              <w:t xml:space="preserve">Table 6.1: Portal Capabilities.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Full Archive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Versioning</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DOI Issued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Query by xyt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Query by taxa</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Multiple formats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API Access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EDI</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NCEI</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OBIS</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ERDDAP</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gridSpan w:val="8"/>
                </w:tcPr>
                <w:p>
                  <w:pPr>
                    <w:spacing w:before="0" w:after="60"/>
                    <w:keepNext/>
                  </w:pPr>
                  <w:r>
                    <w:rPr>
                      <w:b w:val="true"/>
                      <w:rFonts w:ascii="Calibri" w:hAnsi="Calibri"/>
                      <w:sz w:val="20"/>
                    </w:rPr>
                    <w:t xml:space="preserve">Capability Legend</w:t>
                  </w:r>
                  <w:r>
                    <w:rPr>
                      <w:rFonts w:ascii="Calibri" w:hAnsi="Calibri"/>
                      <w:sz w:val="20"/>
                    </w:rPr>
                    <w:t xml:space="preserve">: ✔ = full, ▲ = partial, ✖ = none</w:t>
                  </w:r>
                </w:p>
              </w:tc>
            </w:tr>
          </w:tbl>
          <w:bookmarkEnd w:id="104"/>
        </w:tc>
      </w:tr>
    </w:tbl>
    <w:bookmarkStart w:id="107" w:name="edi"/>
    <w:p>
      <w:pPr>
        <w:pStyle w:val="Heading3"/>
      </w:pPr>
      <w:r>
        <w:t xml:space="preserve">6.3.1 EDI</w:t>
      </w:r>
    </w:p>
    <w:p>
      <w:pPr>
        <w:pStyle w:val="FirstParagraph"/>
      </w:pPr>
      <w:r>
        <w:rPr>
          <w:b/>
          <w:bCs/>
        </w:rPr>
        <w:t xml:space="preserve">Environmental Data Initiative</w:t>
      </w:r>
    </w:p>
    <w:p>
      <w:pPr>
        <w:pStyle w:val="Compact"/>
        <w:numPr>
          <w:ilvl w:val="0"/>
          <w:numId w:val="1023"/>
        </w:numPr>
      </w:pPr>
      <w:r>
        <w:t xml:space="preserve">Complete dataset archives using DataOne software and EML metadata</w:t>
      </w:r>
    </w:p>
    <w:p>
      <w:pPr>
        <w:pStyle w:val="Compact"/>
        <w:numPr>
          <w:ilvl w:val="0"/>
          <w:numId w:val="1023"/>
        </w:numPr>
      </w:pPr>
      <w:r>
        <w:t xml:space="preserve">DOIs issued for all datasets ensuring citability</w:t>
      </w:r>
    </w:p>
    <w:p>
      <w:pPr>
        <w:pStyle w:val="Compact"/>
        <w:numPr>
          <w:ilvl w:val="0"/>
          <w:numId w:val="1023"/>
        </w:numPr>
      </w:pPr>
      <w:r>
        <w:t xml:space="preserve">Full archive allowing for any data file types</w:t>
      </w:r>
    </w:p>
    <w:p>
      <w:pPr>
        <w:pStyle w:val="Compact"/>
        <w:numPr>
          <w:ilvl w:val="0"/>
          <w:numId w:val="1023"/>
        </w:numPr>
      </w:pPr>
      <w:r>
        <w:t xml:space="preserve">Basic spatial and temporal filtering through web interface</w:t>
      </w:r>
    </w:p>
    <w:p>
      <w:pPr>
        <w:pStyle w:val="Compact"/>
        <w:numPr>
          <w:ilvl w:val="0"/>
          <w:numId w:val="1023"/>
        </w:numPr>
      </w:pPr>
      <w:r>
        <w:t xml:space="preserve">Download in original formats with metadata</w:t>
      </w:r>
    </w:p>
    <w:p>
      <w:pPr>
        <w:pStyle w:val="Compact"/>
        <w:numPr>
          <w:ilvl w:val="0"/>
          <w:numId w:val="1023"/>
        </w:numPr>
      </w:pPr>
      <w:r>
        <w:t xml:space="preserve">Access through DataOne API</w:t>
      </w:r>
    </w:p>
    <w:p>
      <w:pPr>
        <w:pStyle w:val="Compact"/>
        <w:numPr>
          <w:ilvl w:val="0"/>
          <w:numId w:val="1023"/>
        </w:numPr>
      </w:pPr>
      <w:r>
        <w:t xml:space="preserve">Links:</w:t>
      </w:r>
    </w:p>
    <w:p>
      <w:pPr>
        <w:pStyle w:val="Compact"/>
        <w:numPr>
          <w:ilvl w:val="1"/>
          <w:numId w:val="1024"/>
        </w:numPr>
      </w:pPr>
      <w:hyperlink r:id="rId105">
        <w:r>
          <w:rPr>
            <w:rStyle w:val="Hyperlink"/>
          </w:rPr>
          <w:t xml:space="preserve">EDIrepository.org</w:t>
        </w:r>
      </w:hyperlink>
    </w:p>
    <w:p>
      <w:pPr>
        <w:pStyle w:val="Compact"/>
        <w:numPr>
          <w:ilvl w:val="1"/>
          <w:numId w:val="1024"/>
        </w:numPr>
      </w:pPr>
      <w:r>
        <w:t xml:space="preserve">CalCOFI datasets:</w:t>
      </w:r>
      <w:r>
        <w:t xml:space="preserve"> </w:t>
      </w:r>
      <w:hyperlink r:id="rId106">
        <w:r>
          <w:rPr>
            <w:rStyle w:val="Hyperlink"/>
          </w:rPr>
          <w:t xml:space="preserve">EDI query</w:t>
        </w:r>
        <w:r>
          <w:rPr>
            <w:rStyle w:val="Hyperlink"/>
          </w:rPr>
          <w:t xml:space="preserve"> </w:t>
        </w:r>
        <w:r>
          <w:rPr>
            <w:rStyle w:val="Hyperlink"/>
          </w:rPr>
          <w:t xml:space="preserve">“CalCOFI”</w:t>
        </w:r>
      </w:hyperlink>
    </w:p>
    <w:bookmarkEnd w:id="107"/>
    <w:bookmarkStart w:id="110" w:name="ncei"/>
    <w:p>
      <w:pPr>
        <w:pStyle w:val="Heading3"/>
      </w:pPr>
      <w:r>
        <w:t xml:space="preserve">6.3.2 NCEI</w:t>
      </w:r>
    </w:p>
    <w:p>
      <w:pPr>
        <w:pStyle w:val="FirstParagraph"/>
      </w:pPr>
      <w:r>
        <w:rPr>
          <w:b/>
          <w:bCs/>
        </w:rPr>
        <w:t xml:space="preserve">National Centers for Environmental Information</w:t>
      </w:r>
    </w:p>
    <w:p>
      <w:pPr>
        <w:pStyle w:val="Compact"/>
        <w:numPr>
          <w:ilvl w:val="0"/>
          <w:numId w:val="1025"/>
        </w:numPr>
      </w:pPr>
      <w:r>
        <w:t xml:space="preserve">Long-term archival of oceanographic data</w:t>
      </w:r>
    </w:p>
    <w:p>
      <w:pPr>
        <w:pStyle w:val="Compact"/>
        <w:numPr>
          <w:ilvl w:val="0"/>
          <w:numId w:val="1025"/>
        </w:numPr>
      </w:pPr>
      <w:r>
        <w:t xml:space="preserve">DOIs issued for dataset submissions</w:t>
      </w:r>
    </w:p>
    <w:p>
      <w:pPr>
        <w:pStyle w:val="Compact"/>
        <w:numPr>
          <w:ilvl w:val="0"/>
          <w:numId w:val="1025"/>
        </w:numPr>
      </w:pPr>
      <w:r>
        <w:t xml:space="preserve">Standardized metadata using ISO 19115-2</w:t>
      </w:r>
    </w:p>
    <w:p>
      <w:pPr>
        <w:pStyle w:val="Compact"/>
        <w:numPr>
          <w:ilvl w:val="0"/>
          <w:numId w:val="1025"/>
        </w:numPr>
      </w:pPr>
      <w:r>
        <w:t xml:space="preserve">Basic search interface with geographic and temporal filtering</w:t>
      </w:r>
    </w:p>
    <w:p>
      <w:pPr>
        <w:pStyle w:val="Compact"/>
        <w:numPr>
          <w:ilvl w:val="0"/>
          <w:numId w:val="1025"/>
        </w:numPr>
      </w:pPr>
      <w:r>
        <w:t xml:space="preserve">Data preserved in original submission formats</w:t>
      </w:r>
    </w:p>
    <w:p>
      <w:pPr>
        <w:pStyle w:val="Compact"/>
        <w:numPr>
          <w:ilvl w:val="0"/>
          <w:numId w:val="1025"/>
        </w:numPr>
      </w:pPr>
      <w:r>
        <w:t xml:space="preserve">Access through NCEI API services</w:t>
      </w:r>
    </w:p>
    <w:p>
      <w:pPr>
        <w:pStyle w:val="Compact"/>
        <w:numPr>
          <w:ilvl w:val="0"/>
          <w:numId w:val="1025"/>
        </w:numPr>
      </w:pPr>
      <w:r>
        <w:t xml:space="preserve">Links:</w:t>
      </w:r>
    </w:p>
    <w:p>
      <w:pPr>
        <w:pStyle w:val="Compact"/>
        <w:numPr>
          <w:ilvl w:val="1"/>
          <w:numId w:val="1026"/>
        </w:numPr>
      </w:pPr>
      <w:hyperlink r:id="rId108">
        <w:r>
          <w:rPr>
            <w:rStyle w:val="Hyperlink"/>
          </w:rPr>
          <w:t xml:space="preserve">NCEI Ocean Archive</w:t>
        </w:r>
      </w:hyperlink>
    </w:p>
    <w:p>
      <w:pPr>
        <w:pStyle w:val="Compact"/>
        <w:numPr>
          <w:ilvl w:val="1"/>
          <w:numId w:val="1026"/>
        </w:numPr>
      </w:pPr>
      <w:r>
        <w:t xml:space="preserve">CalCOFI datasets:</w:t>
      </w:r>
      <w:r>
        <w:t xml:space="preserve"> </w:t>
      </w:r>
      <w:hyperlink r:id="rId109">
        <w:r>
          <w:rPr>
            <w:rStyle w:val="Hyperlink"/>
          </w:rPr>
          <w:t xml:space="preserve">NCEI search</w:t>
        </w:r>
        <w:r>
          <w:rPr>
            <w:rStyle w:val="Hyperlink"/>
          </w:rPr>
          <w:t xml:space="preserve"> </w:t>
        </w:r>
        <w:r>
          <w:rPr>
            <w:rStyle w:val="Hyperlink"/>
          </w:rPr>
          <w:t xml:space="preserve">“CalCOFI”</w:t>
        </w:r>
      </w:hyperlink>
    </w:p>
    <w:bookmarkEnd w:id="110"/>
    <w:bookmarkStart w:id="113" w:name="obis"/>
    <w:p>
      <w:pPr>
        <w:pStyle w:val="Heading3"/>
      </w:pPr>
      <w:r>
        <w:t xml:space="preserve">6.3.3 OBIS</w:t>
      </w:r>
    </w:p>
    <w:p>
      <w:pPr>
        <w:pStyle w:val="FirstParagraph"/>
      </w:pPr>
      <w:r>
        <w:rPr>
          <w:b/>
          <w:bCs/>
        </w:rPr>
        <w:t xml:space="preserve">Ocean Biodiversity Information System</w:t>
      </w:r>
    </w:p>
    <w:p>
      <w:pPr>
        <w:pStyle w:val="Compact"/>
        <w:numPr>
          <w:ilvl w:val="0"/>
          <w:numId w:val="1027"/>
        </w:numPr>
      </w:pPr>
      <w:r>
        <w:t xml:space="preserve">Specialized in marine biodiversity data</w:t>
      </w:r>
    </w:p>
    <w:p>
      <w:pPr>
        <w:pStyle w:val="Compact"/>
        <w:numPr>
          <w:ilvl w:val="0"/>
          <w:numId w:val="1027"/>
        </w:numPr>
      </w:pPr>
      <w:r>
        <w:t xml:space="preserve">Standardized using DarwinCore fields</w:t>
      </w:r>
    </w:p>
    <w:p>
      <w:pPr>
        <w:pStyle w:val="Compact"/>
        <w:numPr>
          <w:ilvl w:val="0"/>
          <w:numId w:val="1027"/>
        </w:numPr>
      </w:pPr>
      <w:r>
        <w:t xml:space="preserve">Extended measurements supported via</w:t>
      </w:r>
      <w:r>
        <w:t xml:space="preserve"> </w:t>
      </w:r>
      <w:hyperlink r:id="rId111">
        <w:r>
          <w:rPr>
            <w:rStyle w:val="Hyperlink"/>
          </w:rPr>
          <w:t xml:space="preserve">extendedMeasurementOrFact</w:t>
        </w:r>
      </w:hyperlink>
    </w:p>
    <w:p>
      <w:pPr>
        <w:pStyle w:val="Compact"/>
        <w:numPr>
          <w:ilvl w:val="0"/>
          <w:numId w:val="1027"/>
        </w:numPr>
      </w:pPr>
      <w:r>
        <w:t xml:space="preserve">Powerful filtering by space, time, and taxonomic parameters</w:t>
      </w:r>
    </w:p>
    <w:p>
      <w:pPr>
        <w:pStyle w:val="Compact"/>
        <w:numPr>
          <w:ilvl w:val="0"/>
          <w:numId w:val="1027"/>
        </w:numPr>
      </w:pPr>
      <w:r>
        <w:t xml:space="preserve">Multiple download formats (CSV, JSON, Darwin Core Archive)</w:t>
      </w:r>
    </w:p>
    <w:p>
      <w:pPr>
        <w:pStyle w:val="Compact"/>
        <w:numPr>
          <w:ilvl w:val="0"/>
          <w:numId w:val="1027"/>
        </w:numPr>
      </w:pPr>
      <w:r>
        <w:t xml:space="preserve">Full REST API access</w:t>
      </w:r>
    </w:p>
    <w:p>
      <w:pPr>
        <w:pStyle w:val="Compact"/>
        <w:numPr>
          <w:ilvl w:val="0"/>
          <w:numId w:val="1027"/>
        </w:numPr>
      </w:pPr>
      <w:r>
        <w:t xml:space="preserve">Links:</w:t>
      </w:r>
    </w:p>
    <w:p>
      <w:pPr>
        <w:pStyle w:val="Compact"/>
        <w:numPr>
          <w:ilvl w:val="1"/>
          <w:numId w:val="1028"/>
        </w:numPr>
      </w:pPr>
      <w:hyperlink r:id="rId29">
        <w:r>
          <w:rPr>
            <w:rStyle w:val="Hyperlink"/>
          </w:rPr>
          <w:t xml:space="preserve">OBIS.org</w:t>
        </w:r>
      </w:hyperlink>
    </w:p>
    <w:p>
      <w:pPr>
        <w:pStyle w:val="Compact"/>
        <w:numPr>
          <w:ilvl w:val="1"/>
          <w:numId w:val="1028"/>
        </w:numPr>
      </w:pPr>
      <w:r>
        <w:t xml:space="preserve">CalCOFI datasets:</w:t>
      </w:r>
      <w:r>
        <w:t xml:space="preserve"> </w:t>
      </w:r>
      <w:hyperlink r:id="rId112">
        <w:r>
          <w:rPr>
            <w:rStyle w:val="Hyperlink"/>
          </w:rPr>
          <w:t xml:space="preserve">obis.org/dataset</w:t>
        </w:r>
      </w:hyperlink>
      <w:r>
        <w:t xml:space="preserve"> </w:t>
      </w:r>
      <w:r>
        <w:t xml:space="preserve">+</w:t>
      </w:r>
      <w:r>
        <w:t xml:space="preserve"> </w:t>
      </w:r>
      <w:r>
        <w:t xml:space="preserve">“calcofi”</w:t>
      </w:r>
      <w:r>
        <w:t xml:space="preserve"> </w:t>
      </w:r>
      <w:r>
        <w:t xml:space="preserve">Keyword</w:t>
      </w:r>
    </w:p>
    <w:bookmarkEnd w:id="113"/>
    <w:bookmarkStart w:id="117" w:name="erddap"/>
    <w:p>
      <w:pPr>
        <w:pStyle w:val="Heading3"/>
      </w:pPr>
      <w:r>
        <w:t xml:space="preserve">6.3.4 ERDDAP</w:t>
      </w:r>
    </w:p>
    <w:p>
      <w:pPr>
        <w:pStyle w:val="FirstParagraph"/>
      </w:pPr>
      <w:r>
        <w:rPr>
          <w:b/>
          <w:bCs/>
        </w:rPr>
        <w:t xml:space="preserve">Environmental Research Division Data Access Program</w:t>
      </w:r>
    </w:p>
    <w:p>
      <w:pPr>
        <w:pStyle w:val="Compact"/>
        <w:numPr>
          <w:ilvl w:val="0"/>
          <w:numId w:val="1029"/>
        </w:numPr>
      </w:pPr>
      <w:r>
        <w:t xml:space="preserve">Tabular and gridded data server</w:t>
      </w:r>
    </w:p>
    <w:p>
      <w:pPr>
        <w:pStyle w:val="Compact"/>
        <w:numPr>
          <w:ilvl w:val="0"/>
          <w:numId w:val="1029"/>
        </w:numPr>
      </w:pPr>
      <w:r>
        <w:t xml:space="preserve">Advanced subsetting by space, time, and parameters</w:t>
      </w:r>
    </w:p>
    <w:p>
      <w:pPr>
        <w:pStyle w:val="Compact"/>
        <w:numPr>
          <w:ilvl w:val="0"/>
          <w:numId w:val="1029"/>
        </w:numPr>
      </w:pPr>
      <w:r>
        <w:t xml:space="preserve">Multiple output formats (CSV, JSON, NetCDF, etc.)</w:t>
      </w:r>
    </w:p>
    <w:p>
      <w:pPr>
        <w:pStyle w:val="Compact"/>
        <w:numPr>
          <w:ilvl w:val="0"/>
          <w:numId w:val="1029"/>
        </w:numPr>
      </w:pPr>
      <w:r>
        <w:t xml:space="preserve">RESTful API with direct data access</w:t>
      </w:r>
    </w:p>
    <w:p>
      <w:pPr>
        <w:pStyle w:val="Compact"/>
        <w:numPr>
          <w:ilvl w:val="0"/>
          <w:numId w:val="1029"/>
        </w:numPr>
      </w:pPr>
      <w:r>
        <w:t xml:space="preserve">Built-in data visualization tools</w:t>
      </w:r>
    </w:p>
    <w:p>
      <w:pPr>
        <w:pStyle w:val="Compact"/>
        <w:numPr>
          <w:ilvl w:val="0"/>
          <w:numId w:val="1029"/>
        </w:numPr>
      </w:pPr>
      <w:r>
        <w:t xml:space="preserve">No persistent identifiers but stable URLs</w:t>
      </w:r>
    </w:p>
    <w:p>
      <w:pPr>
        <w:pStyle w:val="Compact"/>
        <w:numPr>
          <w:ilvl w:val="0"/>
          <w:numId w:val="1029"/>
        </w:numPr>
      </w:pPr>
      <w:r>
        <w:t xml:space="preserve">Links:</w:t>
      </w:r>
    </w:p>
    <w:p>
      <w:pPr>
        <w:pStyle w:val="Compact"/>
        <w:numPr>
          <w:ilvl w:val="1"/>
          <w:numId w:val="1030"/>
        </w:numPr>
      </w:pPr>
      <w:hyperlink r:id="rId114">
        <w:r>
          <w:rPr>
            <w:rStyle w:val="Hyperlink"/>
          </w:rPr>
          <w:t xml:space="preserve">ERDDAP</w:t>
        </w:r>
      </w:hyperlink>
    </w:p>
    <w:p>
      <w:pPr>
        <w:pStyle w:val="Compact"/>
        <w:numPr>
          <w:ilvl w:val="1"/>
          <w:numId w:val="1030"/>
        </w:numPr>
      </w:pPr>
      <w:r>
        <w:t xml:space="preserve">CalCOFI datasets:</w:t>
      </w:r>
    </w:p>
    <w:p>
      <w:pPr>
        <w:pStyle w:val="Compact"/>
        <w:numPr>
          <w:ilvl w:val="2"/>
          <w:numId w:val="1031"/>
        </w:numPr>
      </w:pPr>
      <w:hyperlink r:id="rId115">
        <w:r>
          <w:rPr>
            <w:rStyle w:val="Hyperlink"/>
          </w:rPr>
          <w:t xml:space="preserve">ERDDAP, OceanView - CalCOFI seabirds</w:t>
        </w:r>
      </w:hyperlink>
    </w:p>
    <w:p>
      <w:pPr>
        <w:pStyle w:val="Compact"/>
        <w:numPr>
          <w:ilvl w:val="2"/>
          <w:numId w:val="1031"/>
        </w:numPr>
      </w:pPr>
      <w:hyperlink r:id="rId116">
        <w:r>
          <w:rPr>
            <w:rStyle w:val="Hyperlink"/>
          </w:rPr>
          <w:t xml:space="preserve">ERDDAP, CoastWatch - CalCOFI oceanographic</w:t>
        </w:r>
      </w:hyperlink>
    </w:p>
    <w:bookmarkEnd w:id="117"/>
    <w:bookmarkEnd w:id="118"/>
    <w:bookmarkStart w:id="124" w:name="metadata"/>
    <w:p>
      <w:pPr>
        <w:pStyle w:val="Heading2"/>
      </w:pPr>
      <w:r>
        <w:t xml:space="preserve">6.4 Metadata</w:t>
      </w:r>
    </w:p>
    <w:p>
      <w:pPr>
        <w:pStyle w:val="FirstParagraph"/>
      </w:pPr>
      <w:r>
        <w:t xml:space="preserve">The</w:t>
      </w:r>
      <w:r>
        <w:t xml:space="preserve"> </w:t>
      </w:r>
      <w:hyperlink r:id="rId119">
        <w:r>
          <w:rPr>
            <w:rStyle w:val="Hyperlink"/>
          </w:rPr>
          <w:t xml:space="preserve">Ecological Metadata Language (EML)</w:t>
        </w:r>
      </w:hyperlink>
      <w:r>
        <w:t xml:space="preserve"> </w:t>
      </w:r>
      <w:r>
        <w:t xml:space="preserve">(and using R package</w:t>
      </w:r>
      <w:r>
        <w:t xml:space="preserve"> </w:t>
      </w:r>
      <w:hyperlink r:id="rId83">
        <w:r>
          <w:rPr>
            <w:rStyle w:val="Hyperlink"/>
          </w:rPr>
          <w:t xml:space="preserve">EML</w:t>
        </w:r>
      </w:hyperlink>
      <w:r>
        <w:t xml:space="preserve"> </w:t>
      </w:r>
      <w:r>
        <w:t xml:space="preserve">in workflows) serves as a key standard for describing ecological and environmental data. For CalCOFI, EML metadata files are generated alongside data files, providing structured documentation that enables interoperability across different data portals. This metadata-driven approach allows automated ingestion into various data systems while maintaining data integrity and provenance.</w:t>
      </w:r>
    </w:p>
    <w:tbl>
      <w:tblPr>
        <w:tblStyle w:val="Table"/>
        <w:tblW w:type="pct" w:w="5000"/>
        <w:tblLayout w:type="fixed"/>
        <w:tblLook w:firstRow="0" w:lastRow="0" w:firstColumn="0" w:lastColumn="0" w:noHBand="0" w:noVBand="0" w:val="0000"/>
      </w:tblPr>
      <w:tblGrid>
        <w:gridCol w:w="7920"/>
      </w:tblGrid>
      <w:tr>
        <w:tc>
          <w:tcPr/>
          <w:bookmarkStart w:id="123" w:name="fig-portals-metadata"/>
          <w:p>
            <w:pPr>
              <w:jc w:val="center"/>
            </w:pPr>
            <w:r>
              <w:drawing>
                <wp:inline>
                  <wp:extent cx="5334000" cy="1858009"/>
                  <wp:effectExtent b="0" l="0" r="0" t="0"/>
                  <wp:docPr descr="" title="" id="121" name="Picture"/>
                  <a:graphic>
                    <a:graphicData uri="http://schemas.openxmlformats.org/drawingml/2006/picture">
                      <pic:pic>
                        <pic:nvPicPr>
                          <pic:cNvPr descr="portals_files/figure-docx/mermaid-figure-2.png" id="122" name="Picture"/>
                          <pic:cNvPicPr>
                            <a:picLocks noChangeArrowheads="1" noChangeAspect="1"/>
                          </pic:cNvPicPr>
                        </pic:nvPicPr>
                        <pic:blipFill>
                          <a:blip r:embed="rId120"/>
                          <a:stretch>
                            <a:fillRect/>
                          </a:stretch>
                        </pic:blipFill>
                        <pic:spPr bwMode="auto">
                          <a:xfrm>
                            <a:off x="0" y="0"/>
                            <a:ext cx="5334000" cy="1858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Metadata in the form of ecological metadata language (EML) is used to describe the dataset in a consistent manner that can be ingested by the portals.</w:t>
            </w:r>
          </w:p>
          <w:bookmarkEnd w:id="123"/>
        </w:tc>
      </w:tr>
    </w:tbl>
    <w:p>
      <w:pPr>
        <w:pStyle w:val="BodyText"/>
      </w:pPr>
      <w:r>
        <w:t xml:space="preserve">The EML specification provides detailed structure for describing datasets, including:</w:t>
      </w:r>
    </w:p>
    <w:p>
      <w:pPr>
        <w:pStyle w:val="Compact"/>
        <w:numPr>
          <w:ilvl w:val="0"/>
          <w:numId w:val="1032"/>
        </w:numPr>
      </w:pPr>
      <w:r>
        <w:t xml:space="preserve">Dataset identification and citation</w:t>
      </w:r>
    </w:p>
    <w:p>
      <w:pPr>
        <w:pStyle w:val="Compact"/>
        <w:numPr>
          <w:ilvl w:val="0"/>
          <w:numId w:val="1032"/>
        </w:numPr>
      </w:pPr>
      <w:r>
        <w:t xml:space="preserve">Geographic and temporal coverage</w:t>
      </w:r>
    </w:p>
    <w:p>
      <w:pPr>
        <w:pStyle w:val="Compact"/>
        <w:numPr>
          <w:ilvl w:val="0"/>
          <w:numId w:val="1032"/>
        </w:numPr>
      </w:pPr>
      <w:r>
        <w:t xml:space="preserve">Variable definitions and units</w:t>
      </w:r>
    </w:p>
    <w:p>
      <w:pPr>
        <w:pStyle w:val="Compact"/>
        <w:numPr>
          <w:ilvl w:val="0"/>
          <w:numId w:val="1032"/>
        </w:numPr>
      </w:pPr>
      <w:r>
        <w:t xml:space="preserve">Methods and protocols</w:t>
      </w:r>
    </w:p>
    <w:p>
      <w:pPr>
        <w:pStyle w:val="Compact"/>
        <w:numPr>
          <w:ilvl w:val="0"/>
          <w:numId w:val="1032"/>
        </w:numPr>
      </w:pPr>
      <w:r>
        <w:t xml:space="preserve">Quality control procedures</w:t>
      </w:r>
    </w:p>
    <w:p>
      <w:pPr>
        <w:pStyle w:val="Compact"/>
        <w:numPr>
          <w:ilvl w:val="0"/>
          <w:numId w:val="1032"/>
        </w:numPr>
      </w:pPr>
      <w:r>
        <w:t xml:space="preserve">Access and usage rights</w:t>
      </w:r>
    </w:p>
    <w:p>
      <w:pPr>
        <w:pStyle w:val="FirstParagraph"/>
      </w:pPr>
      <w:r>
        <w:t xml:space="preserve">This standardized metadata enables automated data transformation and ingestion into various portal systems while preserving the original data context and quality information.</w:t>
      </w:r>
    </w:p>
    <w:bookmarkEnd w:id="124"/>
    <w:bookmarkStart w:id="129" w:name="meta-portals"/>
    <w:p>
      <w:pPr>
        <w:pStyle w:val="Heading2"/>
      </w:pPr>
      <w:r>
        <w:t xml:space="preserve">6.5 Meta-Portals</w:t>
      </w:r>
    </w:p>
    <w:bookmarkStart w:id="126" w:name="google-dataset-search"/>
    <w:p>
      <w:pPr>
        <w:pStyle w:val="Heading3"/>
      </w:pPr>
      <w:r>
        <w:t xml:space="preserve">6.5.1 Google Dataset Search</w:t>
      </w:r>
    </w:p>
    <w:p>
      <w:pPr>
        <w:pStyle w:val="FirstParagraph"/>
      </w:pPr>
      <w:r>
        <w:t xml:space="preserve">The JSON-LD metadata in the Portal dataset web pages get indexed by</w:t>
      </w:r>
      <w:r>
        <w:t xml:space="preserve"> </w:t>
      </w:r>
      <w:hyperlink r:id="rId125">
        <w:r>
          <w:rPr>
            <w:rStyle w:val="Hyperlink"/>
          </w:rPr>
          <w:t xml:space="preserve">Google Dataset Search</w:t>
        </w:r>
      </w:hyperlink>
      <w:r>
        <w:t xml:space="preserve"> </w:t>
      </w:r>
      <w:r>
        <w:t xml:space="preserve">through schema.org metadata. This ensures that CalCOFI data is discoverable through Google search and other search engines.</w:t>
      </w:r>
    </w:p>
    <w:bookmarkEnd w:id="126"/>
    <w:bookmarkStart w:id="128" w:name="odis"/>
    <w:p>
      <w:pPr>
        <w:pStyle w:val="Heading3"/>
      </w:pPr>
      <w:r>
        <w:t xml:space="preserve">6.5.2 ODIS</w:t>
      </w:r>
    </w:p>
    <w:p>
      <w:pPr>
        <w:pStyle w:val="FirstParagraph"/>
      </w:pPr>
      <w:r>
        <w:rPr>
          <w:b/>
          <w:bCs/>
        </w:rPr>
        <w:t xml:space="preserve">Ocean Data Information System</w:t>
      </w:r>
    </w:p>
    <w:p>
      <w:pPr>
        <w:pStyle w:val="BodyText"/>
      </w:pPr>
      <w:r>
        <w:t xml:space="preserve">ODIS uses the same technology as Google Dataset Search (schema.org, JSON-LD), but focuses on ocean data. CalCOFI curates a sitemap of authoritative datasets to server to</w:t>
      </w:r>
      <w:r>
        <w:t xml:space="preserve"> </w:t>
      </w:r>
      <w:hyperlink r:id="rId127">
        <w:r>
          <w:rPr>
            <w:rStyle w:val="Hyperlink"/>
          </w:rPr>
          <w:t xml:space="preserve">ODIS.org</w:t>
        </w:r>
      </w:hyperlink>
    </w:p>
    <w:p>
      <w:pPr>
        <w:pStyle w:val="BodyText"/>
      </w:pPr>
      <w:r>
        <w:t xml:space="preserve">This federated approach ensures that CalCOFI data remains:</w:t>
      </w:r>
    </w:p>
    <w:p>
      <w:pPr>
        <w:pStyle w:val="Compact"/>
        <w:numPr>
          <w:ilvl w:val="0"/>
          <w:numId w:val="1033"/>
        </w:numPr>
      </w:pPr>
      <w:r>
        <w:t xml:space="preserve">Discoverable through multiple channels</w:t>
      </w:r>
    </w:p>
    <w:p>
      <w:pPr>
        <w:pStyle w:val="Compact"/>
        <w:numPr>
          <w:ilvl w:val="0"/>
          <w:numId w:val="1033"/>
        </w:numPr>
      </w:pPr>
      <w:r>
        <w:t xml:space="preserve">Properly cited and attributed</w:t>
      </w:r>
    </w:p>
    <w:p>
      <w:pPr>
        <w:pStyle w:val="Compact"/>
        <w:numPr>
          <w:ilvl w:val="0"/>
          <w:numId w:val="1033"/>
        </w:numPr>
      </w:pPr>
      <w:r>
        <w:t xml:space="preserve">Integrated with global ocean data systems</w:t>
      </w:r>
    </w:p>
    <w:bookmarkEnd w:id="128"/>
    <w:bookmarkEnd w:id="129"/>
    <w:bookmarkStart w:id="136" w:name="calcofi.io-tools"/>
    <w:p>
      <w:pPr>
        <w:pStyle w:val="Heading2"/>
      </w:pPr>
      <w:r>
        <w:t xml:space="preserve">6.6 CalCOFI.io Tools</w:t>
      </w:r>
    </w:p>
    <w:p>
      <w:pPr>
        <w:pStyle w:val="FirstParagraph"/>
      </w:pPr>
      <w:r>
        <w:t xml:space="preserve">CalCOFI is also developing an integrated database and tools that enable efficient data access and analysis:</w:t>
      </w:r>
    </w:p>
    <w:bookmarkStart w:id="131" w:name="apis"/>
    <w:p>
      <w:pPr>
        <w:pStyle w:val="Heading3"/>
      </w:pPr>
      <w:r>
        <w:t xml:space="preserve">6.6.1 APIs</w:t>
      </w:r>
    </w:p>
    <w:p>
      <w:pPr>
        <w:pStyle w:val="Compact"/>
        <w:numPr>
          <w:ilvl w:val="0"/>
          <w:numId w:val="1034"/>
        </w:numPr>
      </w:pPr>
      <w:r>
        <w:t xml:space="preserve">RESTful endpoints for programmatic access</w:t>
      </w:r>
    </w:p>
    <w:p>
      <w:pPr>
        <w:pStyle w:val="Compact"/>
        <w:numPr>
          <w:ilvl w:val="0"/>
          <w:numId w:val="1034"/>
        </w:numPr>
      </w:pPr>
      <w:r>
        <w:t xml:space="preserve">Filtering by space, time, and taxonomic parameters</w:t>
      </w:r>
    </w:p>
    <w:p>
      <w:pPr>
        <w:pStyle w:val="Compact"/>
        <w:numPr>
          <w:ilvl w:val="0"/>
          <w:numId w:val="1034"/>
        </w:numPr>
      </w:pPr>
      <w:r>
        <w:t xml:space="preserve">Relationship queries across tables</w:t>
      </w:r>
    </w:p>
    <w:p>
      <w:pPr>
        <w:pStyle w:val="Compact"/>
        <w:numPr>
          <w:ilvl w:val="0"/>
          <w:numId w:val="1034"/>
        </w:numPr>
      </w:pPr>
      <w:r>
        <w:t xml:space="preserve">Links:</w:t>
      </w:r>
    </w:p>
    <w:p>
      <w:pPr>
        <w:pStyle w:val="Compact"/>
        <w:numPr>
          <w:ilvl w:val="1"/>
          <w:numId w:val="1035"/>
        </w:numPr>
      </w:pPr>
      <w:hyperlink r:id="rId41">
        <w:r>
          <w:rPr>
            <w:rStyle w:val="Hyperlink"/>
          </w:rPr>
          <w:t xml:space="preserve">api.calcofi.io</w:t>
        </w:r>
      </w:hyperlink>
    </w:p>
    <w:p>
      <w:pPr>
        <w:pStyle w:val="Compact"/>
        <w:numPr>
          <w:ilvl w:val="1"/>
          <w:numId w:val="1035"/>
        </w:numPr>
      </w:pPr>
      <w:hyperlink r:id="rId130">
        <w:r>
          <w:rPr>
            <w:rStyle w:val="Hyperlink"/>
          </w:rPr>
          <w:t xml:space="preserve">tile.calcofi.io</w:t>
        </w:r>
      </w:hyperlink>
    </w:p>
    <w:bookmarkEnd w:id="131"/>
    <w:bookmarkStart w:id="133" w:name="library"/>
    <w:p>
      <w:pPr>
        <w:pStyle w:val="Heading3"/>
      </w:pPr>
      <w:r>
        <w:t xml:space="preserve">6.6.2 Library</w:t>
      </w:r>
    </w:p>
    <w:p>
      <w:pPr>
        <w:pStyle w:val="Compact"/>
        <w:numPr>
          <w:ilvl w:val="0"/>
          <w:numId w:val="1036"/>
        </w:numPr>
      </w:pPr>
      <w:r>
        <w:t xml:space="preserve">Direct data access from R</w:t>
      </w:r>
    </w:p>
    <w:p>
      <w:pPr>
        <w:pStyle w:val="Compact"/>
        <w:numPr>
          <w:ilvl w:val="0"/>
          <w:numId w:val="1036"/>
        </w:numPr>
      </w:pPr>
      <w:r>
        <w:t xml:space="preserve">Built-in analysis functions</w:t>
      </w:r>
    </w:p>
    <w:p>
      <w:pPr>
        <w:pStyle w:val="Compact"/>
        <w:numPr>
          <w:ilvl w:val="0"/>
          <w:numId w:val="1036"/>
        </w:numPr>
      </w:pPr>
      <w:r>
        <w:t xml:space="preserve">Integration with tidyverse ecosystem</w:t>
      </w:r>
    </w:p>
    <w:p>
      <w:pPr>
        <w:pStyle w:val="Compact"/>
        <w:numPr>
          <w:ilvl w:val="0"/>
          <w:numId w:val="1036"/>
        </w:numPr>
      </w:pPr>
      <w:r>
        <w:t xml:space="preserve">Link:</w:t>
      </w:r>
    </w:p>
    <w:p>
      <w:pPr>
        <w:pStyle w:val="Compact"/>
        <w:numPr>
          <w:ilvl w:val="1"/>
          <w:numId w:val="1037"/>
        </w:numPr>
      </w:pPr>
      <w:hyperlink r:id="rId132">
        <w:r>
          <w:rPr>
            <w:rStyle w:val="Hyperlink"/>
          </w:rPr>
          <w:t xml:space="preserve">calcofi.io/calcofi4r</w:t>
        </w:r>
      </w:hyperlink>
    </w:p>
    <w:bookmarkEnd w:id="133"/>
    <w:bookmarkStart w:id="135" w:name="apps"/>
    <w:p>
      <w:pPr>
        <w:pStyle w:val="Heading3"/>
      </w:pPr>
      <w:r>
        <w:t xml:space="preserve">6.6.3 Apps</w:t>
      </w:r>
    </w:p>
    <w:p>
      <w:pPr>
        <w:pStyle w:val="Compact"/>
        <w:numPr>
          <w:ilvl w:val="0"/>
          <w:numId w:val="1038"/>
        </w:numPr>
      </w:pPr>
      <w:r>
        <w:t xml:space="preserve">Interactive data exploration with Shiny applications</w:t>
      </w:r>
    </w:p>
    <w:p>
      <w:pPr>
        <w:pStyle w:val="Compact"/>
        <w:numPr>
          <w:ilvl w:val="0"/>
          <w:numId w:val="1038"/>
        </w:numPr>
      </w:pPr>
      <w:r>
        <w:t xml:space="preserve">User-friendly interfaces</w:t>
      </w:r>
    </w:p>
    <w:p>
      <w:pPr>
        <w:pStyle w:val="Compact"/>
        <w:numPr>
          <w:ilvl w:val="0"/>
          <w:numId w:val="1038"/>
        </w:numPr>
      </w:pPr>
      <w:r>
        <w:t xml:space="preserve">Subset and download data</w:t>
      </w:r>
    </w:p>
    <w:p>
      <w:pPr>
        <w:pStyle w:val="Compact"/>
        <w:numPr>
          <w:ilvl w:val="0"/>
          <w:numId w:val="1038"/>
        </w:numPr>
      </w:pPr>
      <w:r>
        <w:t xml:space="preserve">Link:</w:t>
      </w:r>
    </w:p>
    <w:p>
      <w:pPr>
        <w:pStyle w:val="Compact"/>
        <w:numPr>
          <w:ilvl w:val="1"/>
          <w:numId w:val="1039"/>
        </w:numPr>
      </w:pPr>
      <w:hyperlink r:id="rId134">
        <w:r>
          <w:rPr>
            <w:rStyle w:val="Hyperlink"/>
          </w:rPr>
          <w:t xml:space="preserve">calcofi.io</w:t>
        </w:r>
      </w:hyperlink>
      <w:r>
        <w:t xml:space="preserve">, App button</w:t>
      </w:r>
    </w:p>
    <w:bookmarkEnd w:id="135"/>
    <w:bookmarkEnd w:id="136"/>
    <w:bookmarkEnd w:id="137"/>
    <w:bookmarkStart w:id="185" w:name="status"/>
    <w:p>
      <w:pPr>
        <w:pStyle w:val="Heading1"/>
      </w:pPr>
      <w:r>
        <w:t xml:space="preserve">7. Status</w:t>
      </w:r>
    </w:p>
    <w:bookmarkStart w:id="144" w:name="section"/>
    <w:p>
      <w:pPr>
        <w:pStyle w:val="Heading2"/>
      </w:pPr>
      <w:r>
        <w:t xml:space="preserve">7.1 2025-12-01</w:t>
      </w:r>
    </w:p>
    <w:p>
      <w:pPr>
        <w:pStyle w:val="FirstParagraph"/>
      </w:pPr>
      <w:r>
        <w:t xml:space="preserve">Over the past several months, CalCOFI’s software and data systems have advanced significantly toward a unified, reliable, and user‑friendly platform for exploring and publishing CalCOFI data. Work has focused on four main areas: the integrated data app, the underlying database and workflows, pushing to OBIS, and organizing</w:t>
      </w:r>
      <w:r>
        <w:t xml:space="preserve"> </w:t>
      </w:r>
      <w:r>
        <w:t xml:space="preserve">of CTD data.</w:t>
      </w:r>
    </w:p>
    <w:bookmarkStart w:id="138" w:name="X937bd3087d53250a27eb0b6fbe085019fdffd80"/>
    <w:p>
      <w:pPr>
        <w:pStyle w:val="Heading3"/>
      </w:pPr>
      <w:r>
        <w:t xml:space="preserve">7.1.1 A More Capable, User-Friendly Integrated App</w:t>
      </w:r>
    </w:p>
    <w:p>
      <w:pPr>
        <w:pStyle w:val="FirstParagraph"/>
      </w:pPr>
      <w:r>
        <w:t xml:space="preserve">The</w:t>
      </w:r>
      <w:r>
        <w:t xml:space="preserve"> </w:t>
      </w:r>
      <w:r>
        <w:rPr>
          <w:b/>
          <w:bCs/>
        </w:rPr>
        <w:t xml:space="preserve">CalCOFI integrated application (</w:t>
      </w:r>
      <w:r>
        <w:rPr>
          <w:rStyle w:val="VerbatimChar"/>
          <w:b/>
          <w:bCs/>
        </w:rPr>
        <w:t xml:space="preserve">int-app</w:t>
      </w:r>
      <w:r>
        <w:rPr>
          <w:b/>
          <w:bCs/>
        </w:rPr>
        <w:t xml:space="preserve">)</w:t>
      </w:r>
      <w:r>
        <w:t xml:space="preserve"> </w:t>
      </w:r>
      <w:r>
        <w:t xml:space="preserve">has evolved into a much richer and more intuitive tool for scientists and partners:</w:t>
      </w:r>
    </w:p>
    <w:p>
      <w:pPr>
        <w:numPr>
          <w:ilvl w:val="0"/>
          <w:numId w:val="1040"/>
        </w:numPr>
      </w:pPr>
      <w:r>
        <w:rPr>
          <w:b/>
          <w:bCs/>
        </w:rPr>
        <w:t xml:space="preserve">Taxonomy-aware exploration</w:t>
      </w:r>
      <w:r>
        <w:br/>
      </w:r>
      <w:r>
        <w:t xml:space="preserve">The app now understands species and their taxonomic relationships. Users can browse taxa hierarchies, see taxonomic ranks, and work with improved species metadata tied to authoritative sources (e.g., WoRMS, ITIS). This makes it easier to find and compare species and groups of species consistently.</w:t>
      </w:r>
    </w:p>
    <w:p>
      <w:pPr>
        <w:numPr>
          <w:ilvl w:val="0"/>
          <w:numId w:val="1040"/>
        </w:numPr>
      </w:pPr>
      <w:r>
        <w:rPr>
          <w:b/>
          <w:bCs/>
        </w:rPr>
        <w:t xml:space="preserve">Better visual experience and theming</w:t>
      </w:r>
      <w:r>
        <w:br/>
      </w:r>
      <w:r>
        <w:t xml:space="preserve">A new</w:t>
      </w:r>
      <w:r>
        <w:t xml:space="preserve"> </w:t>
      </w:r>
      <w:r>
        <w:rPr>
          <w:b/>
          <w:bCs/>
        </w:rPr>
        <w:t xml:space="preserve">dark/light theme toggle</w:t>
      </w:r>
      <w:r>
        <w:t xml:space="preserve"> </w:t>
      </w:r>
      <w:r>
        <w:t xml:space="preserve">has been implemented and refined so that maps, time series, and other plots remain readable and visually consistent. Navigation has been reorganized, with a clearer About page, a guided</w:t>
      </w:r>
      <w:r>
        <w:t xml:space="preserve"> </w:t>
      </w:r>
      <w:r>
        <w:t xml:space="preserve">“tour”</w:t>
      </w:r>
      <w:r>
        <w:t xml:space="preserve"> </w:t>
      </w:r>
      <w:r>
        <w:t xml:space="preserve">of the app, and more intuitive icons and labels, making the app easier to learn and use.</w:t>
      </w:r>
    </w:p>
    <w:p>
      <w:pPr>
        <w:numPr>
          <w:ilvl w:val="0"/>
          <w:numId w:val="1040"/>
        </w:numPr>
      </w:pPr>
      <w:r>
        <w:rPr>
          <w:b/>
          <w:bCs/>
        </w:rPr>
        <w:t xml:space="preserve">Stronger spatial and temporal tools</w:t>
      </w:r>
      <w:r>
        <w:br/>
      </w:r>
      <w:r>
        <w:t xml:space="preserve">Spatial maps now rely on efficient hexagon grids calculated in the database, improving performance and scalability. Default settings for time and depth matching have been tuned to yield better joins between environmental and biological data out of the box.</w:t>
      </w:r>
    </w:p>
    <w:p>
      <w:pPr>
        <w:pStyle w:val="FirstParagraph"/>
      </w:pPr>
      <w:r>
        <w:t xml:space="preserve">Overall, the app is moving from a prototype to a</w:t>
      </w:r>
      <w:r>
        <w:t xml:space="preserve"> </w:t>
      </w:r>
      <w:r>
        <w:rPr>
          <w:b/>
          <w:bCs/>
        </w:rPr>
        <w:t xml:space="preserve">polished, guided interface</w:t>
      </w:r>
      <w:r>
        <w:t xml:space="preserve"> </w:t>
      </w:r>
      <w:r>
        <w:t xml:space="preserve">that better supports exploratory analysis and communication.</w:t>
      </w:r>
    </w:p>
    <w:p>
      <w:r>
        <w:pict>
          <v:rect style="width:0;height:1.5pt" o:hralign="center" o:hrstd="t" o:hr="t"/>
        </w:pict>
      </w:r>
    </w:p>
    <w:bookmarkEnd w:id="138"/>
    <w:bookmarkStart w:id="139" w:name="X4382a81008eef0c07c3d182046c591f52b58219"/>
    <w:p>
      <w:pPr>
        <w:pStyle w:val="Heading3"/>
      </w:pPr>
      <w:r>
        <w:t xml:space="preserve">7.1.2 A Stable, Well-Documented Database Foundation</w:t>
      </w:r>
    </w:p>
    <w:p>
      <w:pPr>
        <w:pStyle w:val="FirstParagraph"/>
      </w:pPr>
      <w:r>
        <w:t xml:space="preserve">The</w:t>
      </w:r>
      <w:r>
        <w:t xml:space="preserve"> </w:t>
      </w:r>
      <w:r>
        <w:rPr>
          <w:b/>
          <w:bCs/>
        </w:rPr>
        <w:t xml:space="preserve">CalCOFI database package (</w:t>
      </w:r>
      <w:r>
        <w:rPr>
          <w:rStyle w:val="VerbatimChar"/>
          <w:b/>
          <w:bCs/>
        </w:rPr>
        <w:t xml:space="preserve">calcofi4db</w:t>
      </w:r>
      <w:r>
        <w:rPr>
          <w:b/>
          <w:bCs/>
        </w:rPr>
        <w:t xml:space="preserve">)</w:t>
      </w:r>
      <w:r>
        <w:t xml:space="preserve"> </w:t>
      </w:r>
      <w:r>
        <w:t xml:space="preserve">has been formalized and versioned, providing a solid foundation for all downstream tools:</w:t>
      </w:r>
    </w:p>
    <w:p>
      <w:pPr>
        <w:pStyle w:val="Compact"/>
        <w:numPr>
          <w:ilvl w:val="0"/>
          <w:numId w:val="1041"/>
        </w:numPr>
      </w:pPr>
      <w:r>
        <w:rPr>
          <w:b/>
          <w:bCs/>
        </w:rPr>
        <w:t xml:space="preserve">Two stable releases</w:t>
      </w:r>
      <w:r>
        <w:t xml:space="preserve"> </w:t>
      </w:r>
      <w:r>
        <w:t xml:space="preserve">(versions 1.0 and 1.1) have established a reliable baseline for the database, including bottle-level data.</w:t>
      </w:r>
    </w:p>
    <w:p>
      <w:pPr>
        <w:pStyle w:val="Compact"/>
        <w:numPr>
          <w:ilvl w:val="0"/>
          <w:numId w:val="1041"/>
        </w:numPr>
      </w:pPr>
      <w:r>
        <w:t xml:space="preserve">The project now follows a</w:t>
      </w:r>
      <w:r>
        <w:t xml:space="preserve"> </w:t>
      </w:r>
      <w:r>
        <w:rPr>
          <w:b/>
          <w:bCs/>
        </w:rPr>
        <w:t xml:space="preserve">clear strategy for separate development and production databases</w:t>
      </w:r>
      <w:r>
        <w:t xml:space="preserve">, reducing risk when making changes and improving reproducibility.</w:t>
      </w:r>
    </w:p>
    <w:p>
      <w:pPr>
        <w:pStyle w:val="Compact"/>
        <w:numPr>
          <w:ilvl w:val="0"/>
          <w:numId w:val="1041"/>
        </w:numPr>
      </w:pPr>
      <w:r>
        <w:t xml:space="preserve">Data ingestion from NOAA and other sources has been</w:t>
      </w:r>
      <w:r>
        <w:t xml:space="preserve"> </w:t>
      </w:r>
      <w:r>
        <w:rPr>
          <w:b/>
          <w:bCs/>
        </w:rPr>
        <w:t xml:space="preserve">hardened</w:t>
      </w:r>
      <w:r>
        <w:t xml:space="preserve">, with several rounds of fixes to handle edge cases and ensure that raw files are consistently and correctly translated into the database.</w:t>
      </w:r>
    </w:p>
    <w:p>
      <w:pPr>
        <w:pStyle w:val="FirstParagraph"/>
      </w:pPr>
      <w:r>
        <w:t xml:space="preserve">In addition, the package’s</w:t>
      </w:r>
      <w:r>
        <w:t xml:space="preserve"> </w:t>
      </w:r>
      <w:r>
        <w:rPr>
          <w:b/>
          <w:bCs/>
        </w:rPr>
        <w:t xml:space="preserve">online documentation site</w:t>
      </w:r>
      <w:r>
        <w:t xml:space="preserve"> </w:t>
      </w:r>
      <w:r>
        <w:t xml:space="preserve">has been refreshed so that developers and analysts have up-to-date guidance on how data flow into and through the database.</w:t>
      </w:r>
    </w:p>
    <w:p>
      <w:r>
        <w:pict>
          <v:rect style="width:0;height:1.5pt" o:hralign="center" o:hrstd="t" o:hr="t"/>
        </w:pict>
      </w:r>
    </w:p>
    <w:bookmarkEnd w:id="139"/>
    <w:bookmarkStart w:id="140" w:name="X53211351bbaf319ff09e897ce4e2c10df4d26fa"/>
    <w:p>
      <w:pPr>
        <w:pStyle w:val="Heading3"/>
      </w:pPr>
      <w:r>
        <w:t xml:space="preserve">7.1.3 Unified R Tools and Documentation Around DuckDB</w:t>
      </w:r>
    </w:p>
    <w:p>
      <w:pPr>
        <w:pStyle w:val="FirstParagraph"/>
      </w:pPr>
      <w:r>
        <w:t xml:space="preserve">Across the toolchain, CalCOFI has standardized on</w:t>
      </w:r>
      <w:r>
        <w:t xml:space="preserve"> </w:t>
      </w:r>
      <w:r>
        <w:rPr>
          <w:b/>
          <w:bCs/>
        </w:rPr>
        <w:t xml:space="preserve">DuckDB</w:t>
      </w:r>
      <w:r>
        <w:t xml:space="preserve"> </w:t>
      </w:r>
      <w:r>
        <w:t xml:space="preserve">as the core data engine:</w:t>
      </w:r>
    </w:p>
    <w:p>
      <w:pPr>
        <w:pStyle w:val="Compact"/>
        <w:numPr>
          <w:ilvl w:val="0"/>
          <w:numId w:val="1042"/>
        </w:numPr>
      </w:pPr>
      <w:r>
        <w:t xml:space="preserve">The</w:t>
      </w:r>
      <w:r>
        <w:t xml:space="preserve"> </w:t>
      </w:r>
      <w:r>
        <w:rPr>
          <w:b/>
          <w:bCs/>
        </w:rPr>
        <w:t xml:space="preserve">R package (</w:t>
      </w:r>
      <w:r>
        <w:rPr>
          <w:rStyle w:val="VerbatimChar"/>
          <w:b/>
          <w:bCs/>
        </w:rPr>
        <w:t xml:space="preserve">calcofi4r</w:t>
      </w:r>
      <w:r>
        <w:rPr>
          <w:b/>
          <w:bCs/>
        </w:rPr>
        <w:t xml:space="preserve">)</w:t>
      </w:r>
      <w:r>
        <w:t xml:space="preserve"> </w:t>
      </w:r>
      <w:r>
        <w:t xml:space="preserve">now encapsulates key logic originally developed inside the integrated app, so the same high-quality data access and processing is available in scripts, reports, and analyses—not just in the web interface.</w:t>
      </w:r>
    </w:p>
    <w:p>
      <w:pPr>
        <w:pStyle w:val="Compact"/>
        <w:numPr>
          <w:ilvl w:val="0"/>
          <w:numId w:val="1042"/>
        </w:numPr>
      </w:pPr>
      <w:r>
        <w:t xml:space="preserve">Both the app and R package can connect to</w:t>
      </w:r>
      <w:r>
        <w:t xml:space="preserve"> </w:t>
      </w:r>
      <w:r>
        <w:rPr>
          <w:b/>
          <w:bCs/>
        </w:rPr>
        <w:t xml:space="preserve">local or remote DuckDB databases</w:t>
      </w:r>
      <w:r>
        <w:t xml:space="preserve">, improving performance and enabling offline or near‑offline workflows.</w:t>
      </w:r>
    </w:p>
    <w:p>
      <w:pPr>
        <w:pStyle w:val="Compact"/>
        <w:numPr>
          <w:ilvl w:val="0"/>
          <w:numId w:val="1042"/>
        </w:numPr>
      </w:pPr>
      <w:r>
        <w:t xml:space="preserve">Documentation in the</w:t>
      </w:r>
      <w:r>
        <w:t xml:space="preserve"> </w:t>
      </w:r>
      <w:r>
        <w:rPr>
          <w:rStyle w:val="VerbatimChar"/>
          <w:b/>
          <w:bCs/>
        </w:rPr>
        <w:t xml:space="preserve">docs</w:t>
      </w:r>
      <w:r>
        <w:rPr>
          <w:b/>
          <w:bCs/>
        </w:rPr>
        <w:t xml:space="preserve"> </w:t>
      </w:r>
      <w:r>
        <w:rPr>
          <w:b/>
          <w:bCs/>
        </w:rPr>
        <w:t xml:space="preserve">repository</w:t>
      </w:r>
      <w:r>
        <w:t xml:space="preserve"> </w:t>
      </w:r>
      <w:r>
        <w:t xml:space="preserve">has been updated to describe the full data creation process (from raw data to ready‑to‑use databases) and to explain the new development/production database strategy. Status documents and helper scripts provide clearer visibility into project progress.</w:t>
      </w:r>
    </w:p>
    <w:p>
      <w:pPr>
        <w:pStyle w:val="FirstParagraph"/>
      </w:pPr>
      <w:r>
        <w:t xml:space="preserve">This brings CalCOFI closer to a</w:t>
      </w:r>
      <w:r>
        <w:t xml:space="preserve"> </w:t>
      </w:r>
      <w:r>
        <w:rPr>
          <w:b/>
          <w:bCs/>
        </w:rPr>
        <w:t xml:space="preserve">coherent, documented platform</w:t>
      </w:r>
      <w:r>
        <w:t xml:space="preserve"> </w:t>
      </w:r>
      <w:r>
        <w:t xml:space="preserve">where analysts can move seamlessly between app-based exploration and scripted analysis.</w:t>
      </w:r>
    </w:p>
    <w:p>
      <w:r>
        <w:pict>
          <v:rect style="width:0;height:1.5pt" o:hralign="center" o:hrstd="t" o:hr="t"/>
        </w:pict>
      </w:r>
    </w:p>
    <w:bookmarkEnd w:id="140"/>
    <w:bookmarkStart w:id="141" w:name="X2ac610fbe735553e54612facbfaa0e7548a631f"/>
    <w:p>
      <w:pPr>
        <w:pStyle w:val="Heading3"/>
      </w:pPr>
      <w:r>
        <w:t xml:space="preserve">7.1.4 Standards-Compliant Publication of Biological Data</w:t>
      </w:r>
    </w:p>
    <w:p>
      <w:pPr>
        <w:pStyle w:val="FirstParagraph"/>
      </w:pPr>
      <w:r>
        <w:t xml:space="preserve">The</w:t>
      </w:r>
      <w:r>
        <w:t xml:space="preserve"> </w:t>
      </w:r>
      <w:r>
        <w:rPr>
          <w:rStyle w:val="VerbatimChar"/>
          <w:b/>
          <w:bCs/>
        </w:rPr>
        <w:t xml:space="preserve">workflows</w:t>
      </w:r>
      <w:r>
        <w:t xml:space="preserve"> </w:t>
      </w:r>
      <w:r>
        <w:t xml:space="preserve">repository has seen major progress in turning CalCOFI’s biological datasets into</w:t>
      </w:r>
      <w:r>
        <w:t xml:space="preserve"> </w:t>
      </w:r>
      <w:r>
        <w:rPr>
          <w:b/>
          <w:bCs/>
        </w:rPr>
        <w:t xml:space="preserve">publication-ready products</w:t>
      </w:r>
      <w:r>
        <w:t xml:space="preserve">:</w:t>
      </w:r>
    </w:p>
    <w:p>
      <w:pPr>
        <w:pStyle w:val="Compact"/>
        <w:numPr>
          <w:ilvl w:val="0"/>
          <w:numId w:val="1043"/>
        </w:numPr>
      </w:pPr>
      <w:r>
        <w:t xml:space="preserve">New workflows now</w:t>
      </w:r>
      <w:r>
        <w:t xml:space="preserve"> </w:t>
      </w:r>
      <w:r>
        <w:rPr>
          <w:b/>
          <w:bCs/>
        </w:rPr>
        <w:t xml:space="preserve">publish larval data to OBIS</w:t>
      </w:r>
      <w:r>
        <w:t xml:space="preserve">, the global biodiversity information system, with repeatable recipes that combine biological observations with CTD (oceanographic) data.</w:t>
      </w:r>
    </w:p>
    <w:p>
      <w:pPr>
        <w:pStyle w:val="Compact"/>
        <w:numPr>
          <w:ilvl w:val="0"/>
          <w:numId w:val="1043"/>
        </w:numPr>
      </w:pPr>
      <w:r>
        <w:t xml:space="preserve">The underlying data model for</w:t>
      </w:r>
      <w:r>
        <w:t xml:space="preserve"> </w:t>
      </w:r>
      <w:r>
        <w:rPr>
          <w:b/>
          <w:bCs/>
        </w:rPr>
        <w:t xml:space="preserve">events and occurrences</w:t>
      </w:r>
      <w:r>
        <w:t xml:space="preserve"> </w:t>
      </w:r>
      <w:r>
        <w:t xml:space="preserve">has been strengthened to align with international standards (e.g., Darwin Core), including:</w:t>
      </w:r>
    </w:p>
    <w:p>
      <w:pPr>
        <w:pStyle w:val="Compact"/>
        <w:numPr>
          <w:ilvl w:val="1"/>
          <w:numId w:val="1044"/>
        </w:numPr>
      </w:pPr>
      <w:r>
        <w:t xml:space="preserve">Clear hierarchies of sampling events,</w:t>
      </w:r>
    </w:p>
    <w:p>
      <w:pPr>
        <w:pStyle w:val="Compact"/>
        <w:numPr>
          <w:ilvl w:val="1"/>
          <w:numId w:val="1044"/>
        </w:numPr>
      </w:pPr>
      <w:r>
        <w:t xml:space="preserve">Better handling of life‑stage and size information (e.g., egg and larval stages),</w:t>
      </w:r>
    </w:p>
    <w:p>
      <w:pPr>
        <w:pStyle w:val="Compact"/>
        <w:numPr>
          <w:ilvl w:val="1"/>
          <w:numId w:val="1044"/>
        </w:numPr>
      </w:pPr>
      <w:r>
        <w:t xml:space="preserve">Automated generation of metadata files required for data archives.</w:t>
      </w:r>
    </w:p>
    <w:p>
      <w:pPr>
        <w:pStyle w:val="Compact"/>
        <w:numPr>
          <w:ilvl w:val="0"/>
          <w:numId w:val="1043"/>
        </w:numPr>
      </w:pPr>
      <w:r>
        <w:t xml:space="preserve">Additional integrity checks and foreign key relationships help ensure that data are correct and consistent before publication.</w:t>
      </w:r>
    </w:p>
    <w:p>
      <w:pPr>
        <w:pStyle w:val="FirstParagraph"/>
      </w:pPr>
      <w:r>
        <w:t xml:space="preserve">These advances substantially improve CalCOFI’s ability to</w:t>
      </w:r>
      <w:r>
        <w:t xml:space="preserve"> </w:t>
      </w:r>
      <w:r>
        <w:rPr>
          <w:b/>
          <w:bCs/>
        </w:rPr>
        <w:t xml:space="preserve">share high-quality, well-structured biodiversity data</w:t>
      </w:r>
      <w:r>
        <w:t xml:space="preserve"> </w:t>
      </w:r>
      <w:r>
        <w:t xml:space="preserve">with the broader scientific community.</w:t>
      </w:r>
    </w:p>
    <w:p>
      <w:r>
        <w:pict>
          <v:rect style="width:0;height:1.5pt" o:hralign="center" o:hrstd="t" o:hr="t"/>
        </w:pict>
      </w:r>
    </w:p>
    <w:bookmarkEnd w:id="141"/>
    <w:bookmarkStart w:id="142" w:name="X412fb6f606d875da645c881803255dde586bbc8"/>
    <w:p>
      <w:pPr>
        <w:pStyle w:val="Heading3"/>
      </w:pPr>
      <w:r>
        <w:t xml:space="preserve">7.1.5 Improved Public Access and Infrastructure</w:t>
      </w:r>
    </w:p>
    <w:p>
      <w:pPr>
        <w:pStyle w:val="FirstParagraph"/>
      </w:pPr>
      <w:r>
        <w:t xml:space="preserve">Finally, several changes improve how external users find and access CalCOFI tools:</w:t>
      </w:r>
    </w:p>
    <w:p>
      <w:pPr>
        <w:pStyle w:val="Compact"/>
        <w:numPr>
          <w:ilvl w:val="0"/>
          <w:numId w:val="1045"/>
        </w:numPr>
      </w:pPr>
      <w:r>
        <w:t xml:space="preserve">The</w:t>
      </w:r>
      <w:r>
        <w:t xml:space="preserve"> </w:t>
      </w:r>
      <w:r>
        <w:rPr>
          <w:b/>
          <w:bCs/>
        </w:rPr>
        <w:t xml:space="preserve">public website (</w:t>
      </w:r>
      <w:r>
        <w:rPr>
          <w:rStyle w:val="VerbatimChar"/>
          <w:b/>
          <w:bCs/>
        </w:rPr>
        <w:t xml:space="preserve">CalCOFI.github.io</w:t>
      </w:r>
      <w:r>
        <w:rPr>
          <w:b/>
          <w:bCs/>
        </w:rPr>
        <w:t xml:space="preserve">)</w:t>
      </w:r>
      <w:r>
        <w:t xml:space="preserve"> </w:t>
      </w:r>
      <w:r>
        <w:t xml:space="preserve">now highlights key applications, including the integrated app and a pollutants-focused app, making them easier to discover.</w:t>
      </w:r>
    </w:p>
    <w:p>
      <w:pPr>
        <w:pStyle w:val="Compact"/>
        <w:numPr>
          <w:ilvl w:val="0"/>
          <w:numId w:val="1045"/>
        </w:numPr>
      </w:pPr>
      <w:r>
        <w:t xml:space="preserve">Server configuration has been updated so that</w:t>
      </w:r>
      <w:r>
        <w:t xml:space="preserve"> </w:t>
      </w:r>
      <w:r>
        <w:rPr>
          <w:b/>
          <w:bCs/>
        </w:rPr>
        <w:t xml:space="preserve">Shiny apps are served from a new dedicated domain</w:t>
      </w:r>
      <w:r>
        <w:rPr>
          <w:b/>
          <w:bCs/>
        </w:rPr>
        <w:t xml:space="preserve"> </w:t>
      </w:r>
      <w:r>
        <w:rPr>
          <w:rStyle w:val="VerbatimChar"/>
          <w:b/>
          <w:bCs/>
        </w:rPr>
        <w:t xml:space="preserve">app.calcofi.io</w:t>
      </w:r>
      <w:r>
        <w:t xml:space="preserve"> </w:t>
      </w:r>
      <w:r>
        <w:t xml:space="preserve">(and still</w:t>
      </w:r>
      <w:r>
        <w:t xml:space="preserve"> </w:t>
      </w:r>
      <w:r>
        <w:rPr>
          <w:rStyle w:val="VerbatimChar"/>
        </w:rPr>
        <w:t xml:space="preserve">shiny.calcofi.io</w:t>
      </w:r>
      <w:r>
        <w:t xml:space="preserve">), clarifying the entry point for interactive tools and simplifying operations.</w:t>
      </w:r>
    </w:p>
    <w:p>
      <w:r>
        <w:pict>
          <v:rect style="width:0;height:1.5pt" o:hralign="center" o:hrstd="t" o:hr="t"/>
        </w:pict>
      </w:r>
    </w:p>
    <w:bookmarkEnd w:id="142"/>
    <w:bookmarkStart w:id="143" w:name="overall-impact"/>
    <w:p>
      <w:pPr>
        <w:pStyle w:val="Heading3"/>
      </w:pPr>
      <w:r>
        <w:t xml:space="preserve">7.1.6 Overall Impact</w:t>
      </w:r>
    </w:p>
    <w:p>
      <w:pPr>
        <w:pStyle w:val="FirstParagraph"/>
      </w:pPr>
      <w:r>
        <w:t xml:space="preserve">Together, these developments move CalCOFI toward a</w:t>
      </w:r>
      <w:r>
        <w:t xml:space="preserve"> </w:t>
      </w:r>
      <w:r>
        <w:rPr>
          <w:b/>
          <w:bCs/>
        </w:rPr>
        <w:t xml:space="preserve">modern, integrated data platform</w:t>
      </w:r>
      <w:r>
        <w:t xml:space="preserve">:</w:t>
      </w:r>
    </w:p>
    <w:p>
      <w:pPr>
        <w:pStyle w:val="Compact"/>
        <w:numPr>
          <w:ilvl w:val="0"/>
          <w:numId w:val="1046"/>
        </w:numPr>
      </w:pPr>
      <w:r>
        <w:t xml:space="preserve">Scientists and partners gain a more powerful, user‑friendly app and R toolkit for exploring CalCOFI data.</w:t>
      </w:r>
    </w:p>
    <w:p>
      <w:pPr>
        <w:pStyle w:val="Compact"/>
        <w:numPr>
          <w:ilvl w:val="0"/>
          <w:numId w:val="1046"/>
        </w:numPr>
      </w:pPr>
      <w:r>
        <w:t xml:space="preserve">The underlying database and workflows are more robust, testable, and clearly documented.</w:t>
      </w:r>
    </w:p>
    <w:p>
      <w:pPr>
        <w:pStyle w:val="Compact"/>
        <w:numPr>
          <w:ilvl w:val="0"/>
          <w:numId w:val="1046"/>
        </w:numPr>
      </w:pPr>
      <w:r>
        <w:t xml:space="preserve">CalCOFI’s biological data are better positioned for</w:t>
      </w:r>
      <w:r>
        <w:t xml:space="preserve"> </w:t>
      </w:r>
      <w:r>
        <w:rPr>
          <w:b/>
          <w:bCs/>
        </w:rPr>
        <w:t xml:space="preserve">global visibility and reuse</w:t>
      </w:r>
      <w:r>
        <w:t xml:space="preserve"> </w:t>
      </w:r>
      <w:r>
        <w:t xml:space="preserve">through standards‑compliant publication channels like OBIS.</w:t>
      </w:r>
    </w:p>
    <w:p>
      <w:pPr>
        <w:pStyle w:val="Compact"/>
        <w:numPr>
          <w:ilvl w:val="0"/>
          <w:numId w:val="1046"/>
        </w:numPr>
      </w:pPr>
      <w:r>
        <w:t xml:space="preserve">Public‑facing web presence and infrastructure are cleaner and more aligned, making it easier for stakeholders to find and use CalCOFI resources.</w:t>
      </w:r>
    </w:p>
    <w:bookmarkEnd w:id="143"/>
    <w:bookmarkEnd w:id="144"/>
    <w:bookmarkStart w:id="184" w:name="section-1"/>
    <w:p>
      <w:pPr>
        <w:pStyle w:val="Heading2"/>
      </w:pPr>
      <w:r>
        <w:t xml:space="preserve">7.2 2025-07-01</w:t>
      </w:r>
    </w:p>
    <w:p>
      <w:pPr>
        <w:pStyle w:val="FirstParagraph"/>
      </w:pPr>
      <w:r>
        <w:t xml:space="preserve">This report summarizes the key development activities, major accomplishments, and ongoing work for the first 6 monhts of 2025 across the CalCOFI GitHub repositories:</w:t>
      </w:r>
      <w:r>
        <w:t xml:space="preserve"> </w:t>
      </w:r>
      <w:r>
        <w:rPr>
          <w:b/>
          <w:bCs/>
        </w:rPr>
        <w:t xml:space="preserve">api, apps, calcofi4db, calcofi4r, docs, server, workflows</w:t>
      </w:r>
      <w:r>
        <w:t xml:space="preserve">. The findings are based on issues and commits from January–July 2025.</w:t>
      </w:r>
    </w:p>
    <w:p>
      <w:r>
        <w:pict>
          <v:rect style="width:0;height:1.5pt" o:hralign="center" o:hrstd="t" o:hr="t"/>
        </w:pict>
      </w:r>
    </w:p>
    <w:bookmarkStart w:id="151" w:name="api-enhancements"/>
    <w:p>
      <w:pPr>
        <w:pStyle w:val="Heading3"/>
      </w:pPr>
      <w:r>
        <w:t xml:space="preserve">7.2.1 API Enhancements</w:t>
      </w:r>
    </w:p>
    <w:bookmarkStart w:id="150" w:name="new-features-data-integration"/>
    <w:p>
      <w:pPr>
        <w:pStyle w:val="Heading4"/>
      </w:pPr>
      <w:r>
        <w:t xml:space="preserve">7.2.1.1 New Features &amp; Data Integration</w:t>
      </w:r>
    </w:p>
    <w:p>
      <w:pPr>
        <w:pStyle w:val="Compact"/>
        <w:numPr>
          <w:ilvl w:val="0"/>
          <w:numId w:val="1047"/>
        </w:numPr>
      </w:pPr>
      <w:r>
        <w:rPr>
          <w:b/>
          <w:bCs/>
        </w:rPr>
        <w:t xml:space="preserve">Expanded API Options</w:t>
      </w:r>
    </w:p>
    <w:p>
      <w:pPr>
        <w:pStyle w:val="Compact"/>
        <w:numPr>
          <w:ilvl w:val="1"/>
          <w:numId w:val="1048"/>
        </w:numPr>
      </w:pPr>
      <w:r>
        <w:t xml:space="preserve">Added ability to include bottle data and use relaxed criteria for net-to-cast matching (</w:t>
      </w:r>
      <w:hyperlink r:id="rId145">
        <w:r>
          <w:rPr>
            <w:rStyle w:val="Hyperlink"/>
          </w:rPr>
          <w:t xml:space="preserve">commit</w:t>
        </w:r>
      </w:hyperlink>
      <w:r>
        <w:t xml:space="preserve">).</w:t>
      </w:r>
    </w:p>
    <w:p>
      <w:pPr>
        <w:pStyle w:val="Compact"/>
        <w:numPr>
          <w:ilvl w:val="1"/>
          <w:numId w:val="1048"/>
        </w:numPr>
      </w:pPr>
      <w:r>
        <w:t xml:space="preserve">Supported upcast/downcast data downloads (</w:t>
      </w:r>
      <w:hyperlink r:id="rId146">
        <w:r>
          <w:rPr>
            <w:rStyle w:val="Hyperlink"/>
          </w:rPr>
          <w:t xml:space="preserve">commit</w:t>
        </w:r>
      </w:hyperlink>
      <w:r>
        <w:t xml:space="preserve">).</w:t>
      </w:r>
    </w:p>
    <w:p>
      <w:pPr>
        <w:pStyle w:val="Compact"/>
        <w:numPr>
          <w:ilvl w:val="1"/>
          <w:numId w:val="1048"/>
        </w:numPr>
      </w:pPr>
      <w:r>
        <w:t xml:space="preserve">Added Zooplankton biomass and improved ichthyodata output (</w:t>
      </w:r>
      <w:hyperlink r:id="rId147">
        <w:r>
          <w:rPr>
            <w:rStyle w:val="Hyperlink"/>
          </w:rPr>
          <w:t xml:space="preserve">commit</w:t>
        </w:r>
      </w:hyperlink>
      <w:r>
        <w:t xml:space="preserve">).</w:t>
      </w:r>
    </w:p>
    <w:p>
      <w:pPr>
        <w:pStyle w:val="Compact"/>
        <w:numPr>
          <w:ilvl w:val="0"/>
          <w:numId w:val="1047"/>
        </w:numPr>
      </w:pPr>
      <w:r>
        <w:rPr>
          <w:b/>
          <w:bCs/>
        </w:rPr>
        <w:t xml:space="preserve">Performance &amp; Maintenance</w:t>
      </w:r>
    </w:p>
    <w:p>
      <w:pPr>
        <w:pStyle w:val="Compact"/>
        <w:numPr>
          <w:ilvl w:val="1"/>
          <w:numId w:val="1049"/>
        </w:numPr>
      </w:pPr>
      <w:r>
        <w:t xml:space="preserve">Implemented docker compose restart for Plumber API service (</w:t>
      </w:r>
      <w:hyperlink r:id="rId148">
        <w:r>
          <w:rPr>
            <w:rStyle w:val="Hyperlink"/>
          </w:rPr>
          <w:t xml:space="preserve">commit</w:t>
        </w:r>
      </w:hyperlink>
      <w:r>
        <w:t xml:space="preserve">).</w:t>
      </w:r>
    </w:p>
    <w:p>
      <w:pPr>
        <w:pStyle w:val="Compact"/>
        <w:numPr>
          <w:ilvl w:val="0"/>
          <w:numId w:val="1047"/>
        </w:numPr>
      </w:pPr>
      <w:r>
        <w:rPr>
          <w:b/>
          <w:bCs/>
        </w:rPr>
        <w:t xml:space="preserve">Ongoing Work</w:t>
      </w:r>
    </w:p>
    <w:p>
      <w:pPr>
        <w:pStyle w:val="Compact"/>
        <w:numPr>
          <w:ilvl w:val="1"/>
          <w:numId w:val="1050"/>
        </w:numPr>
      </w:pPr>
      <w:r>
        <w:t xml:space="preserve">Migration of database contouring functions to API/app level for improved caching and rendering efficiency.</w:t>
      </w:r>
    </w:p>
    <w:p>
      <w:pPr>
        <w:pStyle w:val="Compact"/>
        <w:numPr>
          <w:ilvl w:val="1"/>
          <w:numId w:val="1050"/>
        </w:numPr>
      </w:pPr>
      <w:r>
        <w:t xml:space="preserve">Development of a robust, user-friendly API for seamless DB integration (</w:t>
      </w:r>
      <w:hyperlink r:id="rId149">
        <w:r>
          <w:rPr>
            <w:rStyle w:val="Hyperlink"/>
          </w:rPr>
          <w:t xml:space="preserve">issue</w:t>
        </w:r>
      </w:hyperlink>
      <w:r>
        <w:t xml:space="preserve">).</w:t>
      </w:r>
    </w:p>
    <w:p>
      <w:r>
        <w:pict>
          <v:rect style="width:0;height:1.5pt" o:hralign="center" o:hrstd="t" o:hr="t"/>
        </w:pict>
      </w:r>
    </w:p>
    <w:bookmarkEnd w:id="150"/>
    <w:bookmarkEnd w:id="151"/>
    <w:bookmarkStart w:id="154" w:name="apps-development"/>
    <w:p>
      <w:pPr>
        <w:pStyle w:val="Heading3"/>
      </w:pPr>
      <w:r>
        <w:t xml:space="preserve">7.2.2 Apps Development</w:t>
      </w:r>
    </w:p>
    <w:bookmarkStart w:id="153" w:name="visualization-user-interface"/>
    <w:p>
      <w:pPr>
        <w:pStyle w:val="Heading4"/>
      </w:pPr>
      <w:r>
        <w:t xml:space="preserve">7.2.2.1 Visualization &amp; User Interface</w:t>
      </w:r>
    </w:p>
    <w:p>
      <w:pPr>
        <w:pStyle w:val="Compact"/>
        <w:numPr>
          <w:ilvl w:val="0"/>
          <w:numId w:val="1051"/>
        </w:numPr>
      </w:pPr>
      <w:r>
        <w:rPr>
          <w:b/>
          <w:bCs/>
        </w:rPr>
        <w:t xml:space="preserve">Continuous Improvements</w:t>
      </w:r>
    </w:p>
    <w:p>
      <w:pPr>
        <w:pStyle w:val="Compact"/>
        <w:numPr>
          <w:ilvl w:val="1"/>
          <w:numId w:val="1052"/>
        </w:numPr>
      </w:pPr>
      <w:r>
        <w:t xml:space="preserve">Multiple commits indicate ongoing enhancement, likely focused on UI, data visualization, and integration with the API (see</w:t>
      </w:r>
      <w:r>
        <w:t xml:space="preserve"> </w:t>
      </w:r>
      <w:hyperlink r:id="rId152">
        <w:r>
          <w:rPr>
            <w:rStyle w:val="Hyperlink"/>
          </w:rPr>
          <w:t xml:space="preserve">recent commit log</w:t>
        </w:r>
      </w:hyperlink>
      <w:r>
        <w:t xml:space="preserve">).</w:t>
      </w:r>
    </w:p>
    <w:p>
      <w:pPr>
        <w:pStyle w:val="Compact"/>
        <w:numPr>
          <w:ilvl w:val="1"/>
          <w:numId w:val="1052"/>
        </w:numPr>
      </w:pPr>
      <w:r>
        <w:t xml:space="preserve">Close coordination between API and Apps for improved workflows and data access.</w:t>
      </w:r>
    </w:p>
    <w:p>
      <w:r>
        <w:pict>
          <v:rect style="width:0;height:1.5pt" o:hralign="center" o:hrstd="t" o:hr="t"/>
        </w:pict>
      </w:r>
    </w:p>
    <w:bookmarkEnd w:id="153"/>
    <w:bookmarkEnd w:id="154"/>
    <w:bookmarkStart w:id="160" w:name="calcofi4db-r-package-data-management"/>
    <w:p>
      <w:pPr>
        <w:pStyle w:val="Heading3"/>
      </w:pPr>
      <w:r>
        <w:t xml:space="preserve">7.2.3 calcofi4db: R Package &amp; Data Management</w:t>
      </w:r>
    </w:p>
    <w:bookmarkStart w:id="159" w:name="r-package-initialization-data-ingestion"/>
    <w:p>
      <w:pPr>
        <w:pStyle w:val="Heading4"/>
      </w:pPr>
      <w:r>
        <w:t xml:space="preserve">7.2.3.1 R Package Initialization &amp; Data Ingestion</w:t>
      </w:r>
    </w:p>
    <w:p>
      <w:pPr>
        <w:pStyle w:val="Compact"/>
        <w:numPr>
          <w:ilvl w:val="0"/>
          <w:numId w:val="1053"/>
        </w:numPr>
      </w:pPr>
      <w:r>
        <w:rPr>
          <w:b/>
          <w:bCs/>
        </w:rPr>
        <w:t xml:space="preserve">New R Package: calcofi4db</w:t>
      </w:r>
    </w:p>
    <w:p>
      <w:pPr>
        <w:pStyle w:val="Compact"/>
        <w:numPr>
          <w:ilvl w:val="1"/>
          <w:numId w:val="1054"/>
        </w:numPr>
      </w:pPr>
      <w:r>
        <w:t xml:space="preserve">Initial commit and setup (</w:t>
      </w:r>
      <w:hyperlink r:id="rId155">
        <w:r>
          <w:rPr>
            <w:rStyle w:val="Hyperlink"/>
          </w:rPr>
          <w:t xml:space="preserve">commit</w:t>
        </w:r>
      </w:hyperlink>
      <w:r>
        <w:t xml:space="preserve">), including functions for ingesting CSV datasets and metadata.</w:t>
      </w:r>
    </w:p>
    <w:p>
      <w:pPr>
        <w:pStyle w:val="Compact"/>
        <w:numPr>
          <w:ilvl w:val="1"/>
          <w:numId w:val="1054"/>
        </w:numPr>
      </w:pPr>
      <w:r>
        <w:t xml:space="preserve">Refined change detection logic for source CSV files, improving tracking of table/field changes (</w:t>
      </w:r>
      <w:hyperlink r:id="rId156">
        <w:r>
          <w:rPr>
            <w:rStyle w:val="Hyperlink"/>
          </w:rPr>
          <w:t xml:space="preserve">commit</w:t>
        </w:r>
      </w:hyperlink>
      <w:r>
        <w:t xml:space="preserve">).</w:t>
      </w:r>
    </w:p>
    <w:p>
      <w:pPr>
        <w:pStyle w:val="Compact"/>
        <w:numPr>
          <w:ilvl w:val="1"/>
          <w:numId w:val="1054"/>
        </w:numPr>
      </w:pPr>
      <w:r>
        <w:t xml:space="preserve">Enhanced documentation and site via pkgdown.</w:t>
      </w:r>
    </w:p>
    <w:p>
      <w:pPr>
        <w:pStyle w:val="Compact"/>
        <w:numPr>
          <w:ilvl w:val="1"/>
          <w:numId w:val="1054"/>
        </w:numPr>
      </w:pPr>
      <w:r>
        <w:t xml:space="preserve">Improved function naming and structure for ingestion (</w:t>
      </w:r>
      <w:hyperlink r:id="rId157">
        <w:r>
          <w:rPr>
            <w:rStyle w:val="Hyperlink"/>
          </w:rPr>
          <w:t xml:space="preserve">commits</w:t>
        </w:r>
      </w:hyperlink>
      <w:r>
        <w:t xml:space="preserve">,</w:t>
      </w:r>
      <w:r>
        <w:t xml:space="preserve"> </w:t>
      </w:r>
      <w:hyperlink r:id="rId158">
        <w:r>
          <w:rPr>
            <w:rStyle w:val="Hyperlink"/>
          </w:rPr>
          <w:t xml:space="preserve">commit</w:t>
        </w:r>
      </w:hyperlink>
      <w:r>
        <w:t xml:space="preserve">).</w:t>
      </w:r>
    </w:p>
    <w:p>
      <w:r>
        <w:pict>
          <v:rect style="width:0;height:1.5pt" o:hralign="center" o:hrstd="t" o:hr="t"/>
        </w:pict>
      </w:r>
    </w:p>
    <w:bookmarkEnd w:id="159"/>
    <w:bookmarkEnd w:id="160"/>
    <w:bookmarkStart w:id="166" w:name="calcofi4r-spatial-ecological-data-tools"/>
    <w:p>
      <w:pPr>
        <w:pStyle w:val="Heading3"/>
      </w:pPr>
      <w:r>
        <w:t xml:space="preserve">7.2.4 calcofi4r: Spatial &amp; Ecological Data Tools</w:t>
      </w:r>
    </w:p>
    <w:bookmarkStart w:id="165" w:name="data-layers-analysis-and-bug-fixes"/>
    <w:p>
      <w:pPr>
        <w:pStyle w:val="Heading4"/>
      </w:pPr>
      <w:r>
        <w:t xml:space="preserve">7.2.4.1 Data Layers, Analysis, and Bug Fixes</w:t>
      </w:r>
    </w:p>
    <w:p>
      <w:pPr>
        <w:pStyle w:val="Compact"/>
        <w:numPr>
          <w:ilvl w:val="0"/>
          <w:numId w:val="1055"/>
        </w:numPr>
      </w:pPr>
      <w:r>
        <w:rPr>
          <w:b/>
          <w:bCs/>
        </w:rPr>
        <w:t xml:space="preserve">Spatial Management Layers</w:t>
      </w:r>
    </w:p>
    <w:p>
      <w:pPr>
        <w:pStyle w:val="Compact"/>
        <w:numPr>
          <w:ilvl w:val="1"/>
          <w:numId w:val="1056"/>
        </w:numPr>
      </w:pPr>
      <w:r>
        <w:t xml:space="preserve">Ongoing integration of BOEM Wind Planning Areas, Marine Protected Areas, and SCCWRP management regions (</w:t>
      </w:r>
      <w:hyperlink r:id="rId161">
        <w:r>
          <w:rPr>
            <w:rStyle w:val="Hyperlink"/>
          </w:rPr>
          <w:t xml:space="preserve">issue</w:t>
        </w:r>
      </w:hyperlink>
      <w:r>
        <w:t xml:space="preserve">,</w:t>
      </w:r>
      <w:r>
        <w:t xml:space="preserve"> </w:t>
      </w:r>
      <w:hyperlink r:id="rId162">
        <w:r>
          <w:rPr>
            <w:rStyle w:val="Hyperlink"/>
          </w:rPr>
          <w:t xml:space="preserve">issue</w:t>
        </w:r>
      </w:hyperlink>
      <w:r>
        <w:t xml:space="preserve">).</w:t>
      </w:r>
    </w:p>
    <w:p>
      <w:pPr>
        <w:pStyle w:val="Compact"/>
        <w:numPr>
          <w:ilvl w:val="0"/>
          <w:numId w:val="1055"/>
        </w:numPr>
      </w:pPr>
      <w:r>
        <w:rPr>
          <w:b/>
          <w:bCs/>
        </w:rPr>
        <w:t xml:space="preserve">Analysis Functions</w:t>
      </w:r>
    </w:p>
    <w:p>
      <w:pPr>
        <w:pStyle w:val="Compact"/>
        <w:numPr>
          <w:ilvl w:val="1"/>
          <w:numId w:val="1057"/>
        </w:numPr>
      </w:pPr>
      <w:r>
        <w:t xml:space="preserve">Improved packages for ecological and spatial analysis, including new dependencies (</w:t>
      </w:r>
      <w:hyperlink r:id="rId163">
        <w:r>
          <w:rPr>
            <w:rStyle w:val="Hyperlink"/>
          </w:rPr>
          <w:t xml:space="preserve">commit</w:t>
        </w:r>
      </w:hyperlink>
      <w:r>
        <w:t xml:space="preserve">).</w:t>
      </w:r>
    </w:p>
    <w:p>
      <w:pPr>
        <w:pStyle w:val="Compact"/>
        <w:numPr>
          <w:ilvl w:val="0"/>
          <w:numId w:val="1055"/>
        </w:numPr>
      </w:pPr>
      <w:r>
        <w:rPr>
          <w:b/>
          <w:bCs/>
        </w:rPr>
        <w:t xml:space="preserve">User Feedback</w:t>
      </w:r>
    </w:p>
    <w:p>
      <w:pPr>
        <w:pStyle w:val="Compact"/>
        <w:numPr>
          <w:ilvl w:val="1"/>
          <w:numId w:val="1058"/>
        </w:numPr>
      </w:pPr>
      <w:r>
        <w:t xml:space="preserve">Addressing user-reported bugs such as deprecated function calls (</w:t>
      </w:r>
      <w:hyperlink r:id="rId164">
        <w:r>
          <w:rPr>
            <w:rStyle w:val="Hyperlink"/>
          </w:rPr>
          <w:t xml:space="preserve">issue</w:t>
        </w:r>
      </w:hyperlink>
      <w:r>
        <w:t xml:space="preserve">).</w:t>
      </w:r>
    </w:p>
    <w:p>
      <w:r>
        <w:pict>
          <v:rect style="width:0;height:1.5pt" o:hralign="center" o:hrstd="t" o:hr="t"/>
        </w:pict>
      </w:r>
    </w:p>
    <w:bookmarkEnd w:id="165"/>
    <w:bookmarkEnd w:id="166"/>
    <w:bookmarkStart w:id="170" w:name="documentation-docs"/>
    <w:p>
      <w:pPr>
        <w:pStyle w:val="Heading3"/>
      </w:pPr>
      <w:r>
        <w:t xml:space="preserve">7.2.5 Documentation (docs)</w:t>
      </w:r>
    </w:p>
    <w:bookmarkStart w:id="169" w:name="infrastructure-environment"/>
    <w:p>
      <w:pPr>
        <w:pStyle w:val="Heading4"/>
      </w:pPr>
      <w:r>
        <w:t xml:space="preserve">7.2.5.1 Infrastructure &amp; Environment</w:t>
      </w:r>
    </w:p>
    <w:p>
      <w:pPr>
        <w:pStyle w:val="Compact"/>
        <w:numPr>
          <w:ilvl w:val="0"/>
          <w:numId w:val="1059"/>
        </w:numPr>
      </w:pPr>
      <w:r>
        <w:rPr>
          <w:b/>
          <w:bCs/>
        </w:rPr>
        <w:t xml:space="preserve">Documentation Site Updates</w:t>
      </w:r>
    </w:p>
    <w:p>
      <w:pPr>
        <w:pStyle w:val="Compact"/>
        <w:numPr>
          <w:ilvl w:val="1"/>
          <w:numId w:val="1060"/>
        </w:numPr>
      </w:pPr>
      <w:r>
        <w:t xml:space="preserve">Added documentation for new packages and ingestion workflows (</w:t>
      </w:r>
      <w:hyperlink r:id="rId167">
        <w:r>
          <w:rPr>
            <w:rStyle w:val="Hyperlink"/>
          </w:rPr>
          <w:t xml:space="preserve">commit</w:t>
        </w:r>
      </w:hyperlink>
      <w:r>
        <w:t xml:space="preserve">).</w:t>
      </w:r>
    </w:p>
    <w:p>
      <w:pPr>
        <w:pStyle w:val="Compact"/>
        <w:numPr>
          <w:ilvl w:val="1"/>
          <w:numId w:val="1060"/>
        </w:numPr>
      </w:pPr>
      <w:r>
        <w:t xml:space="preserve">Improved environment handling for rendering with Quarto and Chromium (</w:t>
      </w:r>
      <w:hyperlink r:id="rId168">
        <w:r>
          <w:rPr>
            <w:rStyle w:val="Hyperlink"/>
          </w:rPr>
          <w:t xml:space="preserve">multiple commits Jan-Mar 2025</w:t>
        </w:r>
      </w:hyperlink>
      <w:r>
        <w:t xml:space="preserve">).</w:t>
      </w:r>
    </w:p>
    <w:p>
      <w:pPr>
        <w:pStyle w:val="Compact"/>
        <w:numPr>
          <w:ilvl w:val="1"/>
          <w:numId w:val="1060"/>
        </w:numPr>
      </w:pPr>
      <w:r>
        <w:t xml:space="preserve">Updated diagrams and edge labels for database documentation.</w:t>
      </w:r>
    </w:p>
    <w:p>
      <w:r>
        <w:pict>
          <v:rect style="width:0;height:1.5pt" o:hralign="center" o:hrstd="t" o:hr="t"/>
        </w:pict>
      </w:r>
    </w:p>
    <w:bookmarkEnd w:id="169"/>
    <w:bookmarkEnd w:id="170"/>
    <w:bookmarkStart w:id="172" w:name="server"/>
    <w:p>
      <w:pPr>
        <w:pStyle w:val="Heading3"/>
      </w:pPr>
      <w:r>
        <w:t xml:space="preserve">7.2.6 Server</w:t>
      </w:r>
    </w:p>
    <w:bookmarkStart w:id="171" w:name="backend-infrastructure"/>
    <w:p>
      <w:pPr>
        <w:pStyle w:val="Heading4"/>
      </w:pPr>
      <w:r>
        <w:t xml:space="preserve">7.2.6.1 Backend Infrastructure</w:t>
      </w:r>
    </w:p>
    <w:p>
      <w:pPr>
        <w:pStyle w:val="Compact"/>
        <w:numPr>
          <w:ilvl w:val="0"/>
          <w:numId w:val="1061"/>
        </w:numPr>
      </w:pPr>
      <w:r>
        <w:rPr>
          <w:b/>
          <w:bCs/>
        </w:rPr>
        <w:t xml:space="preserve">Backend Maintenance</w:t>
      </w:r>
    </w:p>
    <w:p>
      <w:pPr>
        <w:pStyle w:val="Compact"/>
        <w:numPr>
          <w:ilvl w:val="1"/>
          <w:numId w:val="1062"/>
        </w:numPr>
      </w:pPr>
      <w:r>
        <w:t xml:space="preserve">Numerous commits for improving server reliability, configuration, and deployment.</w:t>
      </w:r>
    </w:p>
    <w:p>
      <w:pPr>
        <w:pStyle w:val="Compact"/>
        <w:numPr>
          <w:ilvl w:val="1"/>
          <w:numId w:val="1062"/>
        </w:numPr>
      </w:pPr>
      <w:r>
        <w:t xml:space="preserve">Indicates active backend support for API and Apps.</w:t>
      </w:r>
    </w:p>
    <w:p>
      <w:r>
        <w:pict>
          <v:rect style="width:0;height:1.5pt" o:hralign="center" o:hrstd="t" o:hr="t"/>
        </w:pict>
      </w:r>
    </w:p>
    <w:bookmarkEnd w:id="171"/>
    <w:bookmarkEnd w:id="172"/>
    <w:bookmarkStart w:id="177" w:name="workflows"/>
    <w:p>
      <w:pPr>
        <w:pStyle w:val="Heading3"/>
      </w:pPr>
      <w:r>
        <w:t xml:space="preserve">7.2.7 Workflows</w:t>
      </w:r>
    </w:p>
    <w:bookmarkStart w:id="176" w:name="X9992dbdca38798687025ab1100a6897f17837b4"/>
    <w:p>
      <w:pPr>
        <w:pStyle w:val="Heading4"/>
      </w:pPr>
      <w:r>
        <w:t xml:space="preserve">7.2.7.1 Data Pipeline, Integration, and Registration</w:t>
      </w:r>
    </w:p>
    <w:p>
      <w:pPr>
        <w:pStyle w:val="Compact"/>
        <w:numPr>
          <w:ilvl w:val="0"/>
          <w:numId w:val="1063"/>
        </w:numPr>
      </w:pPr>
      <w:r>
        <w:rPr>
          <w:b/>
          <w:bCs/>
        </w:rPr>
        <w:t xml:space="preserve">Workflow Automation</w:t>
      </w:r>
    </w:p>
    <w:p>
      <w:pPr>
        <w:pStyle w:val="Compact"/>
        <w:numPr>
          <w:ilvl w:val="1"/>
          <w:numId w:val="1064"/>
        </w:numPr>
      </w:pPr>
      <w:r>
        <w:t xml:space="preserve">Multiple commits show ongoing development of data ingestion, harmonization, and visualization workflows (</w:t>
      </w:r>
      <w:hyperlink r:id="rId173">
        <w:r>
          <w:rPr>
            <w:rStyle w:val="Hyperlink"/>
          </w:rPr>
          <w:t xml:space="preserve">commit</w:t>
        </w:r>
      </w:hyperlink>
      <w:r>
        <w:t xml:space="preserve">,</w:t>
      </w:r>
      <w:r>
        <w:t xml:space="preserve"> </w:t>
      </w:r>
      <w:hyperlink r:id="rId174">
        <w:r>
          <w:rPr>
            <w:rStyle w:val="Hyperlink"/>
          </w:rPr>
          <w:t xml:space="preserve">commit</w:t>
        </w:r>
      </w:hyperlink>
      <w:r>
        <w:t xml:space="preserve">).</w:t>
      </w:r>
    </w:p>
    <w:p>
      <w:pPr>
        <w:pStyle w:val="Compact"/>
        <w:numPr>
          <w:ilvl w:val="0"/>
          <w:numId w:val="1063"/>
        </w:numPr>
      </w:pPr>
      <w:r>
        <w:rPr>
          <w:b/>
          <w:bCs/>
        </w:rPr>
        <w:t xml:space="preserve">ODIS Registration</w:t>
      </w:r>
    </w:p>
    <w:p>
      <w:pPr>
        <w:pStyle w:val="Compact"/>
        <w:numPr>
          <w:ilvl w:val="1"/>
          <w:numId w:val="1065"/>
        </w:numPr>
      </w:pPr>
      <w:r>
        <w:t xml:space="preserve">Registering datasets with ODIS (using JSON-LD) for broader interoperability (</w:t>
      </w:r>
      <w:hyperlink r:id="rId175">
        <w:r>
          <w:rPr>
            <w:rStyle w:val="Hyperlink"/>
          </w:rPr>
          <w:t xml:space="preserve">issue</w:t>
        </w:r>
      </w:hyperlink>
      <w:r>
        <w:t xml:space="preserve">).</w:t>
      </w:r>
    </w:p>
    <w:p>
      <w:pPr>
        <w:pStyle w:val="Compact"/>
        <w:numPr>
          <w:ilvl w:val="0"/>
          <w:numId w:val="1063"/>
        </w:numPr>
      </w:pPr>
      <w:r>
        <w:rPr>
          <w:b/>
          <w:bCs/>
        </w:rPr>
        <w:t xml:space="preserve">Integration with External Data</w:t>
      </w:r>
    </w:p>
    <w:p>
      <w:pPr>
        <w:pStyle w:val="Compact"/>
        <w:numPr>
          <w:ilvl w:val="1"/>
          <w:numId w:val="1066"/>
        </w:numPr>
      </w:pPr>
      <w:r>
        <w:t xml:space="preserve">Ongoing work to load and harmonize diverse ecological datasets (bottle data, larvae, zooplankton, etc.).</w:t>
      </w:r>
    </w:p>
    <w:p>
      <w:pPr>
        <w:pStyle w:val="Compact"/>
        <w:numPr>
          <w:ilvl w:val="0"/>
          <w:numId w:val="1063"/>
        </w:numPr>
      </w:pPr>
      <w:r>
        <w:rPr>
          <w:b/>
          <w:bCs/>
        </w:rPr>
        <w:t xml:space="preserve">Spatial Data Management</w:t>
      </w:r>
    </w:p>
    <w:p>
      <w:pPr>
        <w:pStyle w:val="Compact"/>
        <w:numPr>
          <w:ilvl w:val="1"/>
          <w:numId w:val="1067"/>
        </w:numPr>
      </w:pPr>
      <w:r>
        <w:t xml:space="preserve">Continued development of AOI (areas of interest), spatial buffer creation, and integration of management regions.</w:t>
      </w:r>
    </w:p>
    <w:p>
      <w:r>
        <w:pict>
          <v:rect style="width:0;height:1.5pt" o:hralign="center" o:hrstd="t" o:hr="t"/>
        </w:pict>
      </w:r>
    </w:p>
    <w:bookmarkEnd w:id="176"/>
    <w:bookmarkEnd w:id="177"/>
    <w:bookmarkStart w:id="181" w:name="key-themes-impact"/>
    <w:p>
      <w:pPr>
        <w:pStyle w:val="Heading3"/>
      </w:pPr>
      <w:r>
        <w:t xml:space="preserve">7.2.8 Key Themes &amp; Impact</w:t>
      </w:r>
    </w:p>
    <w:bookmarkStart w:id="178" w:name="integration-interoperability"/>
    <w:p>
      <w:pPr>
        <w:pStyle w:val="Heading4"/>
      </w:pPr>
      <w:r>
        <w:t xml:space="preserve">7.2.8.1 Integration &amp; Interoperability</w:t>
      </w:r>
    </w:p>
    <w:p>
      <w:pPr>
        <w:pStyle w:val="Compact"/>
        <w:numPr>
          <w:ilvl w:val="0"/>
          <w:numId w:val="1068"/>
        </w:numPr>
      </w:pPr>
      <w:r>
        <w:t xml:space="preserve">Strong focus on connecting API, Apps, R packages, and backend infrastructure for seamless data access and visualization.</w:t>
      </w:r>
    </w:p>
    <w:p>
      <w:pPr>
        <w:pStyle w:val="Compact"/>
        <w:numPr>
          <w:ilvl w:val="0"/>
          <w:numId w:val="1068"/>
        </w:numPr>
      </w:pPr>
      <w:r>
        <w:t xml:space="preserve">Enhanced interoperability through ODIS registration and harmonized workflows.</w:t>
      </w:r>
    </w:p>
    <w:bookmarkEnd w:id="178"/>
    <w:bookmarkStart w:id="179" w:name="data-accessibility-usability"/>
    <w:p>
      <w:pPr>
        <w:pStyle w:val="Heading4"/>
      </w:pPr>
      <w:r>
        <w:t xml:space="preserve">7.2.8.2 Data Accessibility &amp; Usability</w:t>
      </w:r>
    </w:p>
    <w:p>
      <w:pPr>
        <w:pStyle w:val="Compact"/>
        <w:numPr>
          <w:ilvl w:val="0"/>
          <w:numId w:val="1069"/>
        </w:numPr>
      </w:pPr>
      <w:r>
        <w:t xml:space="preserve">Improvements to API and Apps make ecological data more accessible to researchers and managers.</w:t>
      </w:r>
    </w:p>
    <w:p>
      <w:pPr>
        <w:pStyle w:val="Compact"/>
        <w:numPr>
          <w:ilvl w:val="0"/>
          <w:numId w:val="1069"/>
        </w:numPr>
      </w:pPr>
      <w:r>
        <w:t xml:space="preserve">Expanded support for spatial management areas and ecological datasets.</w:t>
      </w:r>
    </w:p>
    <w:bookmarkEnd w:id="179"/>
    <w:bookmarkStart w:id="180" w:name="infrastructure-sustainability"/>
    <w:p>
      <w:pPr>
        <w:pStyle w:val="Heading4"/>
      </w:pPr>
      <w:r>
        <w:t xml:space="preserve">7.2.8.3 Infrastructure &amp; Sustainability</w:t>
      </w:r>
    </w:p>
    <w:p>
      <w:pPr>
        <w:pStyle w:val="Compact"/>
        <w:numPr>
          <w:ilvl w:val="0"/>
          <w:numId w:val="1070"/>
        </w:numPr>
      </w:pPr>
      <w:r>
        <w:t xml:space="preserve">Investments in documentation, backend reliability, and workflow automation contribute to long-term sustainability and reproducibility.</w:t>
      </w:r>
    </w:p>
    <w:p>
      <w:r>
        <w:pict>
          <v:rect style="width:0;height:1.5pt" o:hralign="center" o:hrstd="t" o:hr="t"/>
        </w:pict>
      </w:r>
    </w:p>
    <w:bookmarkEnd w:id="180"/>
    <w:bookmarkEnd w:id="181"/>
    <w:bookmarkStart w:id="183" w:name="for-more-details"/>
    <w:p>
      <w:pPr>
        <w:pStyle w:val="Heading3"/>
      </w:pPr>
      <w:r>
        <w:t xml:space="preserve">7.2.9 For More Details</w:t>
      </w:r>
    </w:p>
    <w:p>
      <w:pPr>
        <w:pStyle w:val="Compact"/>
        <w:numPr>
          <w:ilvl w:val="0"/>
          <w:numId w:val="1071"/>
        </w:numPr>
      </w:pPr>
      <w:r>
        <w:t xml:space="preserve">Some results may be incomplete due to API limits.</w:t>
      </w:r>
      <w:r>
        <w:br/>
      </w:r>
    </w:p>
    <w:p>
      <w:pPr>
        <w:pStyle w:val="Compact"/>
        <w:numPr>
          <w:ilvl w:val="0"/>
          <w:numId w:val="1071"/>
        </w:numPr>
      </w:pPr>
      <w:r>
        <w:t xml:space="preserve">To view all commits/issues for 2025, visit each repository’s</w:t>
      </w:r>
      <w:r>
        <w:t xml:space="preserve"> </w:t>
      </w:r>
      <w:hyperlink r:id="rId182">
        <w:r>
          <w:rPr>
            <w:rStyle w:val="Hyperlink"/>
          </w:rPr>
          <w:t xml:space="preserve">GitHub UI</w:t>
        </w:r>
      </w:hyperlink>
      <w:r>
        <w:t xml:space="preserve"> </w:t>
      </w:r>
      <w:r>
        <w:t xml:space="preserve">and filter by year.</w:t>
      </w:r>
    </w:p>
    <w:bookmarkEnd w:id="183"/>
    <w:bookmarkEnd w:id="184"/>
    <w:bookmarkEnd w:id="185"/>
    <w:bookmarkStart w:id="194" w:name="references"/>
    <w:p>
      <w:pPr>
        <w:pStyle w:val="Heading1"/>
      </w:pPr>
      <w:r>
        <w:t xml:space="preserve">8. References</w:t>
      </w:r>
    </w:p>
    <w:bookmarkStart w:id="193" w:name="r-packages"/>
    <w:p>
      <w:pPr>
        <w:pStyle w:val="Heading2"/>
      </w:pPr>
      <w:r>
        <w:t xml:space="preserve">8.1 R packages</w:t>
      </w:r>
    </w:p>
    <w:p>
      <w:pPr>
        <w:pStyle w:val="Compact"/>
        <w:numPr>
          <w:ilvl w:val="0"/>
          <w:numId w:val="1072"/>
        </w:numPr>
      </w:pPr>
      <w:r>
        <w:t xml:space="preserve">API: plumber</w:t>
      </w:r>
      <w:r>
        <w:t xml:space="preserve"> </w:t>
      </w:r>
      <w:r>
        <w:t xml:space="preserve">(</w:t>
      </w:r>
      <w:hyperlink w:anchor="ref-R-plumber">
        <w:r>
          <w:rPr>
            <w:rStyle w:val="Hyperlink"/>
          </w:rPr>
          <w:t xml:space="preserve">Schloerke and Allen 2024</w:t>
        </w:r>
      </w:hyperlink>
      <w:r>
        <w:t xml:space="preserve">)</w:t>
      </w:r>
    </w:p>
    <w:p>
      <w:pPr>
        <w:pStyle w:val="Compact"/>
        <w:numPr>
          <w:ilvl w:val="0"/>
          <w:numId w:val="1072"/>
        </w:numPr>
      </w:pPr>
      <w:r>
        <w:t xml:space="preserve">docs: Quarto</w:t>
      </w:r>
      <w:r>
        <w:t xml:space="preserve"> </w:t>
      </w:r>
      <w:r>
        <w:t xml:space="preserve">(</w:t>
      </w:r>
      <w:hyperlink w:anchor="ref-R-quarto">
        <w:r>
          <w:rPr>
            <w:rStyle w:val="Hyperlink"/>
          </w:rPr>
          <w:t xml:space="preserve">Allaire and Dervieux 2024</w:t>
        </w:r>
      </w:hyperlink>
      <w:r>
        <w:t xml:space="preserve">)</w:t>
      </w:r>
    </w:p>
    <w:p>
      <w:pPr>
        <w:pStyle w:val="Compact"/>
        <w:numPr>
          <w:ilvl w:val="0"/>
          <w:numId w:val="1072"/>
        </w:numPr>
      </w:pPr>
      <w:r>
        <w:t xml:space="preserve">apps: Shiny</w:t>
      </w:r>
      <w:r>
        <w:t xml:space="preserve"> </w:t>
      </w:r>
      <w:r>
        <w:t xml:space="preserve">(</w:t>
      </w:r>
      <w:hyperlink w:anchor="ref-R-shiny">
        <w:r>
          <w:rPr>
            <w:rStyle w:val="Hyperlink"/>
          </w:rPr>
          <w:t xml:space="preserve">Chang et al. 2024</w:t>
        </w:r>
      </w:hyperlink>
      <w:r>
        <w:t xml:space="preserve">)</w:t>
      </w:r>
    </w:p>
    <w:bookmarkStart w:id="192" w:name="refs"/>
    <w:bookmarkStart w:id="187" w:name="ref-R-quarto"/>
    <w:p>
      <w:pPr>
        <w:pStyle w:val="Bibliography"/>
      </w:pPr>
      <w:r>
        <w:t xml:space="preserve">Allaire, JJ, and Christophe Dervieux. 2024.</w:t>
      </w:r>
      <w:r>
        <w:t xml:space="preserve"> </w:t>
      </w:r>
      <w:r>
        <w:rPr>
          <w:i/>
          <w:iCs/>
        </w:rPr>
        <w:t xml:space="preserve">Quarto: R Interface to Quarto Markdown Publishing System</w:t>
      </w:r>
      <w:r>
        <w:t xml:space="preserve">.</w:t>
      </w:r>
      <w:r>
        <w:t xml:space="preserve"> </w:t>
      </w:r>
      <w:hyperlink r:id="rId186">
        <w:r>
          <w:rPr>
            <w:rStyle w:val="Hyperlink"/>
          </w:rPr>
          <w:t xml:space="preserve">https://github.com/quarto-dev/quarto-r</w:t>
        </w:r>
      </w:hyperlink>
      <w:r>
        <w:t xml:space="preserve">.</w:t>
      </w:r>
    </w:p>
    <w:bookmarkEnd w:id="187"/>
    <w:bookmarkStart w:id="189" w:name="ref-R-shiny"/>
    <w:p>
      <w:pPr>
        <w:pStyle w:val="Bibliography"/>
      </w:pPr>
      <w:r>
        <w:t xml:space="preserve">Chang, Winston, Joe Cheng, JJ Allaire, Carson Sievert, Barret Schloerke, Yihui Xie, Jeff Allen, Jonathan McPherson, Alan Dipert, and Barbara Borges. 2024.</w:t>
      </w:r>
      <w:r>
        <w:t xml:space="preserve"> </w:t>
      </w:r>
      <w:r>
        <w:rPr>
          <w:i/>
          <w:iCs/>
        </w:rPr>
        <w:t xml:space="preserve">Shiny: Web Application Framework for r</w:t>
      </w:r>
      <w:r>
        <w:t xml:space="preserve">.</w:t>
      </w:r>
      <w:r>
        <w:t xml:space="preserve"> </w:t>
      </w:r>
      <w:hyperlink r:id="rId188">
        <w:r>
          <w:rPr>
            <w:rStyle w:val="Hyperlink"/>
          </w:rPr>
          <w:t xml:space="preserve">https://shiny.posit.co/</w:t>
        </w:r>
      </w:hyperlink>
      <w:r>
        <w:t xml:space="preserve">.</w:t>
      </w:r>
    </w:p>
    <w:bookmarkEnd w:id="189"/>
    <w:bookmarkStart w:id="191" w:name="ref-R-plumber"/>
    <w:p>
      <w:pPr>
        <w:pStyle w:val="Bibliography"/>
      </w:pPr>
      <w:r>
        <w:t xml:space="preserve">Schloerke, Barret, and Jeff Allen. 2024.</w:t>
      </w:r>
      <w:r>
        <w:t xml:space="preserve"> </w:t>
      </w:r>
      <w:r>
        <w:rPr>
          <w:i/>
          <w:iCs/>
        </w:rPr>
        <w:t xml:space="preserve">Plumber: An API Generator for r</w:t>
      </w:r>
      <w:r>
        <w:t xml:space="preserve">.</w:t>
      </w:r>
      <w:r>
        <w:t xml:space="preserve"> </w:t>
      </w:r>
      <w:hyperlink r:id="rId190">
        <w:r>
          <w:rPr>
            <w:rStyle w:val="Hyperlink"/>
          </w:rPr>
          <w:t xml:space="preserve">https://www.rplumber.io</w:t>
        </w:r>
      </w:hyperlink>
      <w:r>
        <w:t xml:space="preserve">.</w:t>
      </w:r>
    </w:p>
    <w:bookmarkEnd w:id="191"/>
    <w:bookmarkEnd w:id="192"/>
    <w:bookmarkEnd w:id="193"/>
    <w:bookmarkEnd w:id="1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20" Target="media/rId20.svg" /><Relationship Type="http://schemas.openxmlformats.org/officeDocument/2006/relationships/image" Id="rId23" Target="media/rId23.png" /><Relationship Type="http://schemas.openxmlformats.org/officeDocument/2006/relationships/image" Id="rId99" Target="media/rId99.png" /><Relationship Type="http://schemas.openxmlformats.org/officeDocument/2006/relationships/image" Id="rId120" Target="media/rId120.png" /><Relationship Type="http://schemas.openxmlformats.org/officeDocument/2006/relationships/hyperlink" Id="rId106" Target="http://portal.edirepository.org:80/nis/simpleSearch?defType=edismax&amp;q=CalCOFI&amp;fq=-scope:ecotrends&amp;fq=-scope:lter-landsat*&amp;fl=id,packageid,title,author,organization,pubdate,coordinates&amp;debug=false" TargetMode="External" /><Relationship Type="http://schemas.openxmlformats.org/officeDocument/2006/relationships/hyperlink" Id="rId41" Target="https://api.calcofi.io" TargetMode="External" /><Relationship Type="http://schemas.openxmlformats.org/officeDocument/2006/relationships/hyperlink" Id="rId90" Target="https://api.calcofi.io/db_columns" TargetMode="External" /><Relationship Type="http://schemas.openxmlformats.org/officeDocument/2006/relationships/hyperlink" Id="rId79" Target="https://api.calcofi.io/db_tables" TargetMode="External" /><Relationship Type="http://schemas.openxmlformats.org/officeDocument/2006/relationships/hyperlink" Id="rId26" Target="https://calcofi.github.io/calcofi4r/reference/index.html" TargetMode="External" /><Relationship Type="http://schemas.openxmlformats.org/officeDocument/2006/relationships/hyperlink" Id="rId134" Target="https://calcofi.io" TargetMode="External" /><Relationship Type="http://schemas.openxmlformats.org/officeDocument/2006/relationships/hyperlink" Id="rId132" Target="https://calcofi.io/calcofi4r" TargetMode="External" /><Relationship Type="http://schemas.openxmlformats.org/officeDocument/2006/relationships/hyperlink" Id="rId80" Target="https://calcofi.io/calcofi4r/reference/cc_db_catalog.html" TargetMode="External" /><Relationship Type="http://schemas.openxmlformats.org/officeDocument/2006/relationships/hyperlink" Id="rId82" Target="https://calcofi.io/docs/portals.html" TargetMode="External" /><Relationship Type="http://schemas.openxmlformats.org/officeDocument/2006/relationships/hyperlink" Id="rId93" Target="https://calcofi.io/workflows/clean_db.html" TargetMode="External" /><Relationship Type="http://schemas.openxmlformats.org/officeDocument/2006/relationships/hyperlink" Id="rId87" Target="https://calcofi.io/workflows/load_sanctuaries.html" TargetMode="External" /><Relationship Type="http://schemas.openxmlformats.org/officeDocument/2006/relationships/hyperlink" Id="rId28" Target="https://coastwatch.pfeg.noaa.gov/erddap/information.html" TargetMode="External" /><Relationship Type="http://schemas.openxmlformats.org/officeDocument/2006/relationships/hyperlink" Id="rId116" Target="https://coastwatch.pfeg.noaa.gov/erddap/search/index.html?page=1&amp;itemsPerPage=1000&amp;searchFor=CalCOFI" TargetMode="External" /><Relationship Type="http://schemas.openxmlformats.org/officeDocument/2006/relationships/hyperlink" Id="rId53" Target="https://cran.r-project.org/web/packages/snakecase/vignettes/introducing-the-snakecase-package.html" TargetMode="External" /><Relationship Type="http://schemas.openxmlformats.org/officeDocument/2006/relationships/hyperlink" Id="rId57" Target="https://cran.r-project.org/web/packages/units/vignettes/measurement_units_in_R.html" TargetMode="External" /><Relationship Type="http://schemas.openxmlformats.org/officeDocument/2006/relationships/hyperlink" Id="rId125" Target="https://datasetsearch.research.google.com/search?query=calcofi" TargetMode="External" /><Relationship Type="http://schemas.openxmlformats.org/officeDocument/2006/relationships/hyperlink" Id="rId55" Target="https://datatracker.ietf.org/doc/html/rfc4122" TargetMode="External" /><Relationship Type="http://schemas.openxmlformats.org/officeDocument/2006/relationships/hyperlink" Id="rId27" Target="https://docs.ropensci.org/EML" TargetMode="External" /><Relationship Type="http://schemas.openxmlformats.org/officeDocument/2006/relationships/hyperlink" Id="rId83" Target="https://docs.ropensci.org/EML/" TargetMode="External" /><Relationship Type="http://schemas.openxmlformats.org/officeDocument/2006/relationships/hyperlink" Id="rId51" Target="https://drygast.net/blog/post/database_naming_conventions" TargetMode="External" /><Relationship Type="http://schemas.openxmlformats.org/officeDocument/2006/relationships/hyperlink" Id="rId105" Target="https://edirepository.org" TargetMode="External" /><Relationship Type="http://schemas.openxmlformats.org/officeDocument/2006/relationships/hyperlink" Id="rId119" Target="https://eml.ecoinformatics.org/" TargetMode="External" /><Relationship Type="http://schemas.openxmlformats.org/officeDocument/2006/relationships/hyperlink" Id="rId182" Target="https://github.com/CalCOFI" TargetMode="External" /><Relationship Type="http://schemas.openxmlformats.org/officeDocument/2006/relationships/hyperlink" Id="rId89" Target="https://github.com/CalCOFI/api/blob/8ad9d9ad62fd526d4b8da23357759f1ad196cb88/plumber.R#L916-L990" TargetMode="External" /><Relationship Type="http://schemas.openxmlformats.org/officeDocument/2006/relationships/hyperlink" Id="rId145" Target="https://github.com/CalCOFI/api/commit/28f978fd4b5ca00c770f95dd57465b0384665fb6" TargetMode="External" /><Relationship Type="http://schemas.openxmlformats.org/officeDocument/2006/relationships/hyperlink" Id="rId147" Target="https://github.com/CalCOFI/api/commit/307cd6fac26a6827b1b5c81f23913a1a1d" TargetMode="External" /><Relationship Type="http://schemas.openxmlformats.org/officeDocument/2006/relationships/hyperlink" Id="rId146" Target="https://github.com/CalCOFI/api/commit/b02eccdf262cf9f525ee76a8c03d62efa2573955" TargetMode="External" /><Relationship Type="http://schemas.openxmlformats.org/officeDocument/2006/relationships/hyperlink" Id="rId148" Target="https://github.com/CalCOFI/api/commit/fae53fdfec9ec9dc48a8182d64f4e8e30c3e7100" TargetMode="External" /><Relationship Type="http://schemas.openxmlformats.org/officeDocument/2006/relationships/hyperlink" Id="rId149" Target="https://github.com/CalCOFI/api/issues/6" TargetMode="External" /><Relationship Type="http://schemas.openxmlformats.org/officeDocument/2006/relationships/hyperlink" Id="rId152" Target="https://github.com/CalCOFI/apps/commits" TargetMode="External" /><Relationship Type="http://schemas.openxmlformats.org/officeDocument/2006/relationships/hyperlink" Id="rId76" Target="https://github.com/CalCOFI/calcofi4db" TargetMode="External" /><Relationship Type="http://schemas.openxmlformats.org/officeDocument/2006/relationships/hyperlink" Id="rId70" Target="https://github.com/CalCOFI/calcofi4db/blob/main/inst/create_db.qmd" TargetMode="External" /><Relationship Type="http://schemas.openxmlformats.org/officeDocument/2006/relationships/hyperlink" Id="rId156" Target="https://github.com/CalCOFI/calcofi4db/commit/2a29b9e66e9ec83440cc397d9de70b9c7917ba61" TargetMode="External" /><Relationship Type="http://schemas.openxmlformats.org/officeDocument/2006/relationships/hyperlink" Id="rId158" Target="https://github.com/CalCOFI/calcofi4db/commit/7748dea5b20aa34615da27f2869d21f4262ca344" TargetMode="External" /><Relationship Type="http://schemas.openxmlformats.org/officeDocument/2006/relationships/hyperlink" Id="rId157" Target="https://github.com/CalCOFI/calcofi4db/commit/b6cf4f6896d0707dc01fc6bcada4ae1b597060a8" TargetMode="External" /><Relationship Type="http://schemas.openxmlformats.org/officeDocument/2006/relationships/hyperlink" Id="rId155" Target="https://github.com/CalCOFI/calcofi4db/commit/f00e99a089b26b0def9a6362a942d25fcd75e37f" TargetMode="External" /><Relationship Type="http://schemas.openxmlformats.org/officeDocument/2006/relationships/hyperlink" Id="rId163" Target="https://github.com/CalCOFI/calcofi4r/commit/c17243ae92eb0968bb0666ce4ee6101e88488e73" TargetMode="External" /><Relationship Type="http://schemas.openxmlformats.org/officeDocument/2006/relationships/hyperlink" Id="rId162" Target="https://github.com/CalCOFI/calcofi4r/issues/7" TargetMode="External" /><Relationship Type="http://schemas.openxmlformats.org/officeDocument/2006/relationships/hyperlink" Id="rId161" Target="https://github.com/CalCOFI/calcofi4r/issues/8" TargetMode="External" /><Relationship Type="http://schemas.openxmlformats.org/officeDocument/2006/relationships/hyperlink" Id="rId164" Target="https://github.com/CalCOFI/calcofi4r/issues/9" TargetMode="External" /><Relationship Type="http://schemas.openxmlformats.org/officeDocument/2006/relationships/hyperlink" Id="rId167" Target="https://github.com/CalCOFI/docs/commit/b350cec3bd3afda0dad0cbc48c8d223fa1956641" TargetMode="External" /><Relationship Type="http://schemas.openxmlformats.org/officeDocument/2006/relationships/hyperlink" Id="rId168" Target="https://github.com/CalCOFI/docs/commits" TargetMode="External" /><Relationship Type="http://schemas.openxmlformats.org/officeDocument/2006/relationships/hyperlink" Id="rId25" Target="https://github.com/CalCOFI/scripts" TargetMode="External" /><Relationship Type="http://schemas.openxmlformats.org/officeDocument/2006/relationships/hyperlink" Id="rId173" Target="https://github.com/CalCOFI/workflows/commit/38f813aff82327f00622c083f591c1a3bce4e55d" TargetMode="External" /><Relationship Type="http://schemas.openxmlformats.org/officeDocument/2006/relationships/hyperlink" Id="rId174" Target="https://github.com/CalCOFI/workflows/commit/81b6c27457c53f862873ce9a4021a759e0e5ad65" TargetMode="External" /><Relationship Type="http://schemas.openxmlformats.org/officeDocument/2006/relationships/hyperlink" Id="rId175" Target="https://github.com/CalCOFI/workflows/issues/24" TargetMode="External" /><Relationship Type="http://schemas.openxmlformats.org/officeDocument/2006/relationships/hyperlink" Id="rId186" Target="https://github.com/quarto-dev/quarto-r" TargetMode="External" /><Relationship Type="http://schemas.openxmlformats.org/officeDocument/2006/relationships/hyperlink" Id="rId111" Target="https://manual.obis.org/format_emof.html" TargetMode="External" /><Relationship Type="http://schemas.openxmlformats.org/officeDocument/2006/relationships/hyperlink" Id="rId34" Target="https://noaa-onms.github.io/cinms" TargetMode="External" /><Relationship Type="http://schemas.openxmlformats.org/officeDocument/2006/relationships/hyperlink" Id="rId35" Target="https://noaa-onms.github.io/cinms/modals/forage-assemblage.html" TargetMode="External" /><Relationship Type="http://schemas.openxmlformats.org/officeDocument/2006/relationships/hyperlink" Id="rId29" Target="https://obis.org" TargetMode="External" /><Relationship Type="http://schemas.openxmlformats.org/officeDocument/2006/relationships/hyperlink" Id="rId112" Target="https://obis.org/datasets" TargetMode="External" /><Relationship Type="http://schemas.openxmlformats.org/officeDocument/2006/relationships/hyperlink" Id="rId115" Target="https://oceanview.pfeg.noaa.gov/erddap/search/index.html?page=1&amp;itemsPerPage=1000&amp;searchFor=seabird+CalCOFI" TargetMode="External" /><Relationship Type="http://schemas.openxmlformats.org/officeDocument/2006/relationships/hyperlink" Id="rId127" Target="https://odis.org" TargetMode="External" /><Relationship Type="http://schemas.openxmlformats.org/officeDocument/2006/relationships/hyperlink" Id="rId62" Target="https://pandas.pydata.org/docs/index.html" TargetMode="External" /><Relationship Type="http://schemas.openxmlformats.org/officeDocument/2006/relationships/hyperlink" Id="rId64" Target="https://pandas.pydata.org/docs/reference/api/pandas.DataFrame.to_csv.html" TargetMode="External" /><Relationship Type="http://schemas.openxmlformats.org/officeDocument/2006/relationships/hyperlink" Id="rId63" Target="https://pandas.pydata.org/docs/reference/api/pandas.read_csv.html" TargetMode="External" /><Relationship Type="http://schemas.openxmlformats.org/officeDocument/2006/relationships/hyperlink" Id="rId85" Target="https://pgadmin.calcofi.io/" TargetMode="External" /><Relationship Type="http://schemas.openxmlformats.org/officeDocument/2006/relationships/hyperlink" Id="rId58" Target="https://postgis.net" TargetMode="External" /><Relationship Type="http://schemas.openxmlformats.org/officeDocument/2006/relationships/hyperlink" Id="rId95" Target="https://postgis.net/docs/ST_Subdivide.html" TargetMode="External" /><Relationship Type="http://schemas.openxmlformats.org/officeDocument/2006/relationships/hyperlink" Id="rId65" Target="https://readr.tidyverse.org/index.html" TargetMode="External" /><Relationship Type="http://schemas.openxmlformats.org/officeDocument/2006/relationships/hyperlink" Id="rId66" Target="https://readr.tidyverse.org/reference/read_delim.html" TargetMode="External" /><Relationship Type="http://schemas.openxmlformats.org/officeDocument/2006/relationships/hyperlink" Id="rId67" Target="https://readr.tidyverse.org/reference/write_delim.html" TargetMode="External" /><Relationship Type="http://schemas.openxmlformats.org/officeDocument/2006/relationships/hyperlink" Id="rId54" Target="https://sfirke.github.io/janitor/reference/clean_names.html" TargetMode="External" /><Relationship Type="http://schemas.openxmlformats.org/officeDocument/2006/relationships/hyperlink" Id="rId36" Target="https://shiny.calcofi.io/capstone" TargetMode="External" /><Relationship Type="http://schemas.openxmlformats.org/officeDocument/2006/relationships/hyperlink" Id="rId39" Target="https://shiny.calcofi.io/oceano" TargetMode="External" /><Relationship Type="http://schemas.openxmlformats.org/officeDocument/2006/relationships/hyperlink" Id="rId188" Target="https://shiny.posit.co/" TargetMode="External" /><Relationship Type="http://schemas.openxmlformats.org/officeDocument/2006/relationships/hyperlink" Id="rId130" Target="https://tile.calcofi.io" TargetMode="External" /><Relationship Type="http://schemas.openxmlformats.org/officeDocument/2006/relationships/hyperlink" Id="rId114" Target="https://upwell.pfeg.noaa.gov/erddap/index.html" TargetMode="External" /><Relationship Type="http://schemas.openxmlformats.org/officeDocument/2006/relationships/hyperlink" Id="rId30" Target="https://www.dataone.org" TargetMode="External" /><Relationship Type="http://schemas.openxmlformats.org/officeDocument/2006/relationships/hyperlink" Id="rId32" Target="https://www.fisheries.noaa.gov/inport/" TargetMode="External" /><Relationship Type="http://schemas.openxmlformats.org/officeDocument/2006/relationships/hyperlink" Id="rId86" Target="https://www.markdownguide.org/cheat-sheet/" TargetMode="External" /><Relationship Type="http://schemas.openxmlformats.org/officeDocument/2006/relationships/hyperlink" Id="rId31" Target="https://www.ncei.noaa.gov" TargetMode="External" /><Relationship Type="http://schemas.openxmlformats.org/officeDocument/2006/relationships/hyperlink" Id="rId109" Target="https://www.ncei.noaa.gov/access/search/index?q=CalCOFI" TargetMode="External" /><Relationship Type="http://schemas.openxmlformats.org/officeDocument/2006/relationships/hyperlink" Id="rId108" Target="https://www.ncei.noaa.gov/products/ocean-archive" TargetMode="External" /><Relationship Type="http://schemas.openxmlformats.org/officeDocument/2006/relationships/hyperlink" Id="rId56" Target="https://www.postgresql.org/docs/current/datatype-uuid.html" TargetMode="External" /><Relationship Type="http://schemas.openxmlformats.org/officeDocument/2006/relationships/hyperlink" Id="rId61" Target="https://www.postgresql.org/docs/current/multibyte.html#MULTIBYTE-SETTING" TargetMode="External" /><Relationship Type="http://schemas.openxmlformats.org/officeDocument/2006/relationships/hyperlink" Id="rId190" Target="https://www.rplumber.io" TargetMode="External" /><Relationship Type="http://schemas.openxmlformats.org/officeDocument/2006/relationships/hyperlink" Id="rId50" Target="https://www.sqlshack.com/learn-sql-naming-conventions/" TargetMode="External" /></Relationships>
</file>

<file path=word/_rels/footnotes.xml.rels><?xml version="1.0" encoding="UTF-8"?><Relationships xmlns="http://schemas.openxmlformats.org/package/2006/relationships"><Relationship Type="http://schemas.openxmlformats.org/officeDocument/2006/relationships/hyperlink" Id="rId106" Target="http://portal.edirepository.org:80/nis/simpleSearch?defType=edismax&amp;q=CalCOFI&amp;fq=-scope:ecotrends&amp;fq=-scope:lter-landsat*&amp;fl=id,packageid,title,author,organization,pubdate,coordinates&amp;debug=false" TargetMode="External" /><Relationship Type="http://schemas.openxmlformats.org/officeDocument/2006/relationships/hyperlink" Id="rId41" Target="https://api.calcofi.io" TargetMode="External" /><Relationship Type="http://schemas.openxmlformats.org/officeDocument/2006/relationships/hyperlink" Id="rId90" Target="https://api.calcofi.io/db_columns" TargetMode="External" /><Relationship Type="http://schemas.openxmlformats.org/officeDocument/2006/relationships/hyperlink" Id="rId79" Target="https://api.calcofi.io/db_tables" TargetMode="External" /><Relationship Type="http://schemas.openxmlformats.org/officeDocument/2006/relationships/hyperlink" Id="rId26" Target="https://calcofi.github.io/calcofi4r/reference/index.html" TargetMode="External" /><Relationship Type="http://schemas.openxmlformats.org/officeDocument/2006/relationships/hyperlink" Id="rId134" Target="https://calcofi.io" TargetMode="External" /><Relationship Type="http://schemas.openxmlformats.org/officeDocument/2006/relationships/hyperlink" Id="rId132" Target="https://calcofi.io/calcofi4r" TargetMode="External" /><Relationship Type="http://schemas.openxmlformats.org/officeDocument/2006/relationships/hyperlink" Id="rId80" Target="https://calcofi.io/calcofi4r/reference/cc_db_catalog.html" TargetMode="External" /><Relationship Type="http://schemas.openxmlformats.org/officeDocument/2006/relationships/hyperlink" Id="rId82" Target="https://calcofi.io/docs/portals.html" TargetMode="External" /><Relationship Type="http://schemas.openxmlformats.org/officeDocument/2006/relationships/hyperlink" Id="rId93" Target="https://calcofi.io/workflows/clean_db.html" TargetMode="External" /><Relationship Type="http://schemas.openxmlformats.org/officeDocument/2006/relationships/hyperlink" Id="rId87" Target="https://calcofi.io/workflows/load_sanctuaries.html" TargetMode="External" /><Relationship Type="http://schemas.openxmlformats.org/officeDocument/2006/relationships/hyperlink" Id="rId28" Target="https://coastwatch.pfeg.noaa.gov/erddap/information.html" TargetMode="External" /><Relationship Type="http://schemas.openxmlformats.org/officeDocument/2006/relationships/hyperlink" Id="rId116" Target="https://coastwatch.pfeg.noaa.gov/erddap/search/index.html?page=1&amp;itemsPerPage=1000&amp;searchFor=CalCOFI" TargetMode="External" /><Relationship Type="http://schemas.openxmlformats.org/officeDocument/2006/relationships/hyperlink" Id="rId53" Target="https://cran.r-project.org/web/packages/snakecase/vignettes/introducing-the-snakecase-package.html" TargetMode="External" /><Relationship Type="http://schemas.openxmlformats.org/officeDocument/2006/relationships/hyperlink" Id="rId57" Target="https://cran.r-project.org/web/packages/units/vignettes/measurement_units_in_R.html" TargetMode="External" /><Relationship Type="http://schemas.openxmlformats.org/officeDocument/2006/relationships/hyperlink" Id="rId125" Target="https://datasetsearch.research.google.com/search?query=calcofi" TargetMode="External" /><Relationship Type="http://schemas.openxmlformats.org/officeDocument/2006/relationships/hyperlink" Id="rId55" Target="https://datatracker.ietf.org/doc/html/rfc4122" TargetMode="External" /><Relationship Type="http://schemas.openxmlformats.org/officeDocument/2006/relationships/hyperlink" Id="rId27" Target="https://docs.ropensci.org/EML" TargetMode="External" /><Relationship Type="http://schemas.openxmlformats.org/officeDocument/2006/relationships/hyperlink" Id="rId83" Target="https://docs.ropensci.org/EML/" TargetMode="External" /><Relationship Type="http://schemas.openxmlformats.org/officeDocument/2006/relationships/hyperlink" Id="rId51" Target="https://drygast.net/blog/post/database_naming_conventions" TargetMode="External" /><Relationship Type="http://schemas.openxmlformats.org/officeDocument/2006/relationships/hyperlink" Id="rId105" Target="https://edirepository.org" TargetMode="External" /><Relationship Type="http://schemas.openxmlformats.org/officeDocument/2006/relationships/hyperlink" Id="rId119" Target="https://eml.ecoinformatics.org/" TargetMode="External" /><Relationship Type="http://schemas.openxmlformats.org/officeDocument/2006/relationships/hyperlink" Id="rId182" Target="https://github.com/CalCOFI" TargetMode="External" /><Relationship Type="http://schemas.openxmlformats.org/officeDocument/2006/relationships/hyperlink" Id="rId89" Target="https://github.com/CalCOFI/api/blob/8ad9d9ad62fd526d4b8da23357759f1ad196cb88/plumber.R#L916-L990" TargetMode="External" /><Relationship Type="http://schemas.openxmlformats.org/officeDocument/2006/relationships/hyperlink" Id="rId145" Target="https://github.com/CalCOFI/api/commit/28f978fd4b5ca00c770f95dd57465b0384665fb6" TargetMode="External" /><Relationship Type="http://schemas.openxmlformats.org/officeDocument/2006/relationships/hyperlink" Id="rId147" Target="https://github.com/CalCOFI/api/commit/307cd6fac26a6827b1b5c81f23913a1a1d" TargetMode="External" /><Relationship Type="http://schemas.openxmlformats.org/officeDocument/2006/relationships/hyperlink" Id="rId146" Target="https://github.com/CalCOFI/api/commit/b02eccdf262cf9f525ee76a8c03d62efa2573955" TargetMode="External" /><Relationship Type="http://schemas.openxmlformats.org/officeDocument/2006/relationships/hyperlink" Id="rId148" Target="https://github.com/CalCOFI/api/commit/fae53fdfec9ec9dc48a8182d64f4e8e30c3e7100" TargetMode="External" /><Relationship Type="http://schemas.openxmlformats.org/officeDocument/2006/relationships/hyperlink" Id="rId149" Target="https://github.com/CalCOFI/api/issues/6" TargetMode="External" /><Relationship Type="http://schemas.openxmlformats.org/officeDocument/2006/relationships/hyperlink" Id="rId152" Target="https://github.com/CalCOFI/apps/commits" TargetMode="External" /><Relationship Type="http://schemas.openxmlformats.org/officeDocument/2006/relationships/hyperlink" Id="rId76" Target="https://github.com/CalCOFI/calcofi4db" TargetMode="External" /><Relationship Type="http://schemas.openxmlformats.org/officeDocument/2006/relationships/hyperlink" Id="rId70" Target="https://github.com/CalCOFI/calcofi4db/blob/main/inst/create_db.qmd" TargetMode="External" /><Relationship Type="http://schemas.openxmlformats.org/officeDocument/2006/relationships/hyperlink" Id="rId156" Target="https://github.com/CalCOFI/calcofi4db/commit/2a29b9e66e9ec83440cc397d9de70b9c7917ba61" TargetMode="External" /><Relationship Type="http://schemas.openxmlformats.org/officeDocument/2006/relationships/hyperlink" Id="rId158" Target="https://github.com/CalCOFI/calcofi4db/commit/7748dea5b20aa34615da27f2869d21f4262ca344" TargetMode="External" /><Relationship Type="http://schemas.openxmlformats.org/officeDocument/2006/relationships/hyperlink" Id="rId157" Target="https://github.com/CalCOFI/calcofi4db/commit/b6cf4f6896d0707dc01fc6bcada4ae1b597060a8" TargetMode="External" /><Relationship Type="http://schemas.openxmlformats.org/officeDocument/2006/relationships/hyperlink" Id="rId155" Target="https://github.com/CalCOFI/calcofi4db/commit/f00e99a089b26b0def9a6362a942d25fcd75e37f" TargetMode="External" /><Relationship Type="http://schemas.openxmlformats.org/officeDocument/2006/relationships/hyperlink" Id="rId163" Target="https://github.com/CalCOFI/calcofi4r/commit/c17243ae92eb0968bb0666ce4ee6101e88488e73" TargetMode="External" /><Relationship Type="http://schemas.openxmlformats.org/officeDocument/2006/relationships/hyperlink" Id="rId162" Target="https://github.com/CalCOFI/calcofi4r/issues/7" TargetMode="External" /><Relationship Type="http://schemas.openxmlformats.org/officeDocument/2006/relationships/hyperlink" Id="rId161" Target="https://github.com/CalCOFI/calcofi4r/issues/8" TargetMode="External" /><Relationship Type="http://schemas.openxmlformats.org/officeDocument/2006/relationships/hyperlink" Id="rId164" Target="https://github.com/CalCOFI/calcofi4r/issues/9" TargetMode="External" /><Relationship Type="http://schemas.openxmlformats.org/officeDocument/2006/relationships/hyperlink" Id="rId167" Target="https://github.com/CalCOFI/docs/commit/b350cec3bd3afda0dad0cbc48c8d223fa1956641" TargetMode="External" /><Relationship Type="http://schemas.openxmlformats.org/officeDocument/2006/relationships/hyperlink" Id="rId168" Target="https://github.com/CalCOFI/docs/commits" TargetMode="External" /><Relationship Type="http://schemas.openxmlformats.org/officeDocument/2006/relationships/hyperlink" Id="rId25" Target="https://github.com/CalCOFI/scripts" TargetMode="External" /><Relationship Type="http://schemas.openxmlformats.org/officeDocument/2006/relationships/hyperlink" Id="rId173" Target="https://github.com/CalCOFI/workflows/commit/38f813aff82327f00622c083f591c1a3bce4e55d" TargetMode="External" /><Relationship Type="http://schemas.openxmlformats.org/officeDocument/2006/relationships/hyperlink" Id="rId174" Target="https://github.com/CalCOFI/workflows/commit/81b6c27457c53f862873ce9a4021a759e0e5ad65" TargetMode="External" /><Relationship Type="http://schemas.openxmlformats.org/officeDocument/2006/relationships/hyperlink" Id="rId175" Target="https://github.com/CalCOFI/workflows/issues/24" TargetMode="External" /><Relationship Type="http://schemas.openxmlformats.org/officeDocument/2006/relationships/hyperlink" Id="rId186" Target="https://github.com/quarto-dev/quarto-r" TargetMode="External" /><Relationship Type="http://schemas.openxmlformats.org/officeDocument/2006/relationships/hyperlink" Id="rId111" Target="https://manual.obis.org/format_emof.html" TargetMode="External" /><Relationship Type="http://schemas.openxmlformats.org/officeDocument/2006/relationships/hyperlink" Id="rId34" Target="https://noaa-onms.github.io/cinms" TargetMode="External" /><Relationship Type="http://schemas.openxmlformats.org/officeDocument/2006/relationships/hyperlink" Id="rId35" Target="https://noaa-onms.github.io/cinms/modals/forage-assemblage.html" TargetMode="External" /><Relationship Type="http://schemas.openxmlformats.org/officeDocument/2006/relationships/hyperlink" Id="rId29" Target="https://obis.org" TargetMode="External" /><Relationship Type="http://schemas.openxmlformats.org/officeDocument/2006/relationships/hyperlink" Id="rId112" Target="https://obis.org/datasets" TargetMode="External" /><Relationship Type="http://schemas.openxmlformats.org/officeDocument/2006/relationships/hyperlink" Id="rId115" Target="https://oceanview.pfeg.noaa.gov/erddap/search/index.html?page=1&amp;itemsPerPage=1000&amp;searchFor=seabird+CalCOFI" TargetMode="External" /><Relationship Type="http://schemas.openxmlformats.org/officeDocument/2006/relationships/hyperlink" Id="rId127" Target="https://odis.org" TargetMode="External" /><Relationship Type="http://schemas.openxmlformats.org/officeDocument/2006/relationships/hyperlink" Id="rId62" Target="https://pandas.pydata.org/docs/index.html" TargetMode="External" /><Relationship Type="http://schemas.openxmlformats.org/officeDocument/2006/relationships/hyperlink" Id="rId64" Target="https://pandas.pydata.org/docs/reference/api/pandas.DataFrame.to_csv.html" TargetMode="External" /><Relationship Type="http://schemas.openxmlformats.org/officeDocument/2006/relationships/hyperlink" Id="rId63" Target="https://pandas.pydata.org/docs/reference/api/pandas.read_csv.html" TargetMode="External" /><Relationship Type="http://schemas.openxmlformats.org/officeDocument/2006/relationships/hyperlink" Id="rId85" Target="https://pgadmin.calcofi.io/" TargetMode="External" /><Relationship Type="http://schemas.openxmlformats.org/officeDocument/2006/relationships/hyperlink" Id="rId58" Target="https://postgis.net" TargetMode="External" /><Relationship Type="http://schemas.openxmlformats.org/officeDocument/2006/relationships/hyperlink" Id="rId95" Target="https://postgis.net/docs/ST_Subdivide.html" TargetMode="External" /><Relationship Type="http://schemas.openxmlformats.org/officeDocument/2006/relationships/hyperlink" Id="rId65" Target="https://readr.tidyverse.org/index.html" TargetMode="External" /><Relationship Type="http://schemas.openxmlformats.org/officeDocument/2006/relationships/hyperlink" Id="rId66" Target="https://readr.tidyverse.org/reference/read_delim.html" TargetMode="External" /><Relationship Type="http://schemas.openxmlformats.org/officeDocument/2006/relationships/hyperlink" Id="rId67" Target="https://readr.tidyverse.org/reference/write_delim.html" TargetMode="External" /><Relationship Type="http://schemas.openxmlformats.org/officeDocument/2006/relationships/hyperlink" Id="rId54" Target="https://sfirke.github.io/janitor/reference/clean_names.html" TargetMode="External" /><Relationship Type="http://schemas.openxmlformats.org/officeDocument/2006/relationships/hyperlink" Id="rId36" Target="https://shiny.calcofi.io/capstone" TargetMode="External" /><Relationship Type="http://schemas.openxmlformats.org/officeDocument/2006/relationships/hyperlink" Id="rId39" Target="https://shiny.calcofi.io/oceano" TargetMode="External" /><Relationship Type="http://schemas.openxmlformats.org/officeDocument/2006/relationships/hyperlink" Id="rId188" Target="https://shiny.posit.co/" TargetMode="External" /><Relationship Type="http://schemas.openxmlformats.org/officeDocument/2006/relationships/hyperlink" Id="rId130" Target="https://tile.calcofi.io" TargetMode="External" /><Relationship Type="http://schemas.openxmlformats.org/officeDocument/2006/relationships/hyperlink" Id="rId114" Target="https://upwell.pfeg.noaa.gov/erddap/index.html" TargetMode="External" /><Relationship Type="http://schemas.openxmlformats.org/officeDocument/2006/relationships/hyperlink" Id="rId30" Target="https://www.dataone.org" TargetMode="External" /><Relationship Type="http://schemas.openxmlformats.org/officeDocument/2006/relationships/hyperlink" Id="rId32" Target="https://www.fisheries.noaa.gov/inport/" TargetMode="External" /><Relationship Type="http://schemas.openxmlformats.org/officeDocument/2006/relationships/hyperlink" Id="rId86" Target="https://www.markdownguide.org/cheat-sheet/" TargetMode="External" /><Relationship Type="http://schemas.openxmlformats.org/officeDocument/2006/relationships/hyperlink" Id="rId31" Target="https://www.ncei.noaa.gov" TargetMode="External" /><Relationship Type="http://schemas.openxmlformats.org/officeDocument/2006/relationships/hyperlink" Id="rId109" Target="https://www.ncei.noaa.gov/access/search/index?q=CalCOFI" TargetMode="External" /><Relationship Type="http://schemas.openxmlformats.org/officeDocument/2006/relationships/hyperlink" Id="rId108" Target="https://www.ncei.noaa.gov/products/ocean-archive" TargetMode="External" /><Relationship Type="http://schemas.openxmlformats.org/officeDocument/2006/relationships/hyperlink" Id="rId56" Target="https://www.postgresql.org/docs/current/datatype-uuid.html" TargetMode="External" /><Relationship Type="http://schemas.openxmlformats.org/officeDocument/2006/relationships/hyperlink" Id="rId61" Target="https://www.postgresql.org/docs/current/multibyte.html#MULTIBYTE-SETTING" TargetMode="External" /><Relationship Type="http://schemas.openxmlformats.org/officeDocument/2006/relationships/hyperlink" Id="rId190" Target="https://www.rplumber.io" TargetMode="External" /><Relationship Type="http://schemas.openxmlformats.org/officeDocument/2006/relationships/hyperlink" Id="rId50" Target="https://www.sqlshack.com/learn-sql-naming-conven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CalCOFI.io Docs</dc:title>
  <dc:creator/>
  <dc:description>Documentation for Open-Source Products at CalCOFI.io</dc:description>
  <cp:keywords/>
  <dcterms:created xsi:type="dcterms:W3CDTF">2026-01-28T21:51:01Z</dcterms:created>
  <dcterms:modified xsi:type="dcterms:W3CDTF">2026-01-28T21:51:01Z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ibliographystyle">
    <vt:lpwstr>apa</vt:lpwstr>
  </property>
  <property fmtid="{D5CDD505-2E9C-101B-9397-08002B2CF9AE}" pid="5" name="book">
    <vt:lpwstr/>
  </property>
  <property fmtid="{D5CDD505-2E9C-101B-9397-08002B2CF9AE}" pid="6" name="crossref">
    <vt:lpwstr/>
  </property>
  <property fmtid="{D5CDD505-2E9C-101B-9397-08002B2CF9AE}" pid="7" name="date">
    <vt:lpwstr>2026-01-28</vt:lpwstr>
  </property>
  <property fmtid="{D5CDD505-2E9C-101B-9397-08002B2CF9AE}" pid="8" name="date-format">
    <vt:lpwstr>YYYY-MM-DD</vt:lpwstr>
  </property>
  <property fmtid="{D5CDD505-2E9C-101B-9397-08002B2CF9AE}" pid="9" name="editor">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emplate-partials">
    <vt:lpwstr/>
  </property>
  <property fmtid="{D5CDD505-2E9C-101B-9397-08002B2CF9AE}" pid="16" name="toc-title">
    <vt:lpwstr>Table of contents</vt:lpwstr>
  </property>
</Properties>
</file>