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w:t>
      </w:r>
      <w:r>
        <w:t xml:space="preserve"> </w:t>
      </w:r>
      <w:r>
        <w:t xml:space="preserve">Docs</w:t>
      </w:r>
    </w:p>
    <w:p>
      <w:pPr>
        <w:pStyle w:val="Date"/>
      </w:pPr>
      <w:r>
        <w:t xml:space="preserve">2024-11-22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79" w:name="database"/>
    <w:p>
      <w:pPr>
        <w:pStyle w:val="Heading1"/>
      </w:pPr>
      <w:r>
        <w:t xml:space="preserve">5. Database</w:t>
      </w:r>
    </w:p>
    <w:bookmarkStart w:id="58" w:name="database-naming-conventions"/>
    <w:p>
      <w:pPr>
        <w:pStyle w:val="Heading2"/>
      </w:pPr>
      <w:r>
        <w:t xml:space="preserve">5.1 Database naming conventions</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plural and use all lower case.</w:t>
      </w:r>
    </w:p>
    <w:bookmarkEnd w:id="52"/>
    <w:bookmarkStart w:id="57"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5">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6">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7"/>
    <w:bookmarkEnd w:id="58"/>
    <w:bookmarkStart w:id="66" w:name="use-unicode-for-text"/>
    <w:p>
      <w:pPr>
        <w:pStyle w:val="Heading2"/>
      </w:pPr>
      <w:r>
        <w:t xml:space="preserve">5.2 Use Unicode for text</w:t>
      </w:r>
    </w:p>
    <w:p>
      <w:pPr>
        <w:pStyle w:val="FirstParagraph"/>
      </w:pPr>
      <w:r>
        <w:t xml:space="preserve">The</w:t>
      </w:r>
      <w:r>
        <w:t xml:space="preserve"> </w:t>
      </w:r>
      <w:hyperlink r:id="rId59">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0">
        <w:r>
          <w:rPr>
            <w:rStyle w:val="VerbatimChar"/>
            <w:b/>
            <w:bCs/>
          </w:rPr>
          <w:t xml:space="preserve">pandas</w:t>
        </w:r>
      </w:hyperlink>
      <w:r>
        <w:t xml:space="preserve"> </w:t>
      </w:r>
      <w:r>
        <w:t xml:space="preserve">to read (</w:t>
      </w:r>
      <w:hyperlink r:id="rId61">
        <w:r>
          <w:rPr>
            <w:rStyle w:val="VerbatimChar"/>
          </w:rPr>
          <w:t xml:space="preserve">read_csv()</w:t>
        </w:r>
      </w:hyperlink>
      <w:r>
        <w:t xml:space="preserve">) and write (</w:t>
      </w:r>
      <w:hyperlink r:id="rId62">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3">
        <w:r>
          <w:rPr>
            <w:rStyle w:val="VerbatimChar"/>
            <w:b/>
            <w:bCs/>
          </w:rPr>
          <w:t xml:space="preserve">readr</w:t>
        </w:r>
      </w:hyperlink>
      <w:r>
        <w:t xml:space="preserve"> </w:t>
      </w:r>
      <w:r>
        <w:t xml:space="preserve">to read (</w:t>
      </w:r>
      <w:hyperlink r:id="rId64">
        <w:r>
          <w:rPr>
            <w:rStyle w:val="VerbatimChar"/>
          </w:rPr>
          <w:t xml:space="preserve">read_csv()</w:t>
        </w:r>
      </w:hyperlink>
      <w:r>
        <w:t xml:space="preserve">) and write (</w:t>
      </w:r>
      <w:hyperlink r:id="rId65">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6"/>
    <w:bookmarkStart w:id="74" w:name="describe-tables-and-columns"/>
    <w:p>
      <w:pPr>
        <w:pStyle w:val="Heading2"/>
      </w:pPr>
      <w:r>
        <w:t xml:space="preserve">5.3 Describe tables and columns</w:t>
      </w:r>
    </w:p>
    <w:p>
      <w:pPr>
        <w:numPr>
          <w:ilvl w:val="0"/>
          <w:numId w:val="1011"/>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67">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1"/>
        </w:numPr>
      </w:pPr>
      <w:r>
        <w:t xml:space="preserve">Note the use of</w:t>
      </w:r>
      <w:r>
        <w:t xml:space="preserve"> </w:t>
      </w:r>
      <w:hyperlink r:id="rId68">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69">
        <w:r>
          <w:rPr>
            <w:rStyle w:val="Hyperlink"/>
          </w:rPr>
          <w:t xml:space="preserve">load_sanctuaries</w:t>
        </w:r>
      </w:hyperlink>
    </w:p>
    <w:p>
      <w:pPr>
        <w:numPr>
          <w:ilvl w:val="0"/>
          <w:numId w:val="1011"/>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p>
      <w:pPr>
        <w:numPr>
          <w:ilvl w:val="0"/>
          <w:numId w:val="1011"/>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70">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2"/>
        </w:numPr>
      </w:pPr>
      <w:hyperlink r:id="rId71">
        <w:r>
          <w:rPr>
            <w:rStyle w:val="Hyperlink"/>
          </w:rPr>
          <w:t xml:space="preserve">api.calcofi.io</w:t>
        </w:r>
        <w:r>
          <w:rPr>
            <w:rStyle w:val="VerbatimChar"/>
          </w:rPr>
          <w:t xml:space="preserve">/db_tables</w:t>
        </w:r>
      </w:hyperlink>
      <w:r>
        <w:br/>
      </w:r>
      <w:r>
        <w:t xml:space="preserve">fields:</w:t>
      </w:r>
      <w:r>
        <w:br/>
      </w:r>
    </w:p>
    <w:p>
      <w:pPr>
        <w:pStyle w:val="Compact"/>
        <w:numPr>
          <w:ilvl w:val="2"/>
          <w:numId w:val="1013"/>
        </w:numPr>
      </w:pPr>
      <w:r>
        <w:rPr>
          <w:rStyle w:val="VerbatimChar"/>
        </w:rPr>
        <w:t xml:space="preserve">schema</w:t>
      </w:r>
      <w:r>
        <w:t xml:space="preserve">: (only</w:t>
      </w:r>
      <w:r>
        <w:t xml:space="preserve"> </w:t>
      </w:r>
      <w:r>
        <w:t xml:space="preserve">“</w:t>
      </w:r>
      <w:r>
        <w:t xml:space="preserve">public</w:t>
      </w:r>
      <w:r>
        <w:t xml:space="preserve">”</w:t>
      </w:r>
      <w:r>
        <w:t xml:space="preserve"> </w:t>
      </w:r>
      <w:r>
        <w:t xml:space="preserve">so far)</w:t>
      </w:r>
    </w:p>
    <w:p>
      <w:pPr>
        <w:pStyle w:val="Compact"/>
        <w:numPr>
          <w:ilvl w:val="2"/>
          <w:numId w:val="1013"/>
        </w:numPr>
      </w:pPr>
      <w:r>
        <w:rPr>
          <w:rStyle w:val="VerbatimChar"/>
        </w:rPr>
        <w:t xml:space="preserve">table_type</w:t>
      </w:r>
      <w:r>
        <w:t xml:space="preserve">:</w:t>
      </w:r>
      <w:r>
        <w:t xml:space="preserve"> </w:t>
      </w:r>
      <w:r>
        <w:t xml:space="preserve">“</w:t>
      </w:r>
      <w:r>
        <w:t xml:space="preserve">table</w:t>
      </w:r>
      <w:r>
        <w:t xml:space="preserve">”</w:t>
      </w:r>
      <w:r>
        <w:t xml:space="preserve">,</w:t>
      </w:r>
      <w:r>
        <w:t xml:space="preserve"> </w:t>
      </w:r>
      <w:r>
        <w:t xml:space="preserve">“</w:t>
      </w:r>
      <w:r>
        <w:t xml:space="preserve">view</w:t>
      </w:r>
      <w:r>
        <w:t xml:space="preserve">”</w:t>
      </w:r>
      <w:r>
        <w:t xml:space="preserve">, or</w:t>
      </w:r>
      <w:r>
        <w:t xml:space="preserve"> </w:t>
      </w:r>
      <w:r>
        <w:t xml:space="preserve">“</w:t>
      </w:r>
      <w:r>
        <w:t xml:space="preserve">materialized view</w:t>
      </w:r>
      <w:r>
        <w:t xml:space="preserve">”</w:t>
      </w:r>
      <w:r>
        <w:t xml:space="preserve"> </w:t>
      </w:r>
      <w:r>
        <w:t xml:space="preserve">(none yet)</w:t>
      </w:r>
    </w:p>
    <w:p>
      <w:pPr>
        <w:pStyle w:val="Compact"/>
        <w:numPr>
          <w:ilvl w:val="2"/>
          <w:numId w:val="1013"/>
        </w:numPr>
      </w:pPr>
      <w:r>
        <w:rPr>
          <w:rStyle w:val="VerbatimChar"/>
        </w:rPr>
        <w:t xml:space="preserve">table</w:t>
      </w:r>
      <w:r>
        <w:t xml:space="preserve">: name of table</w:t>
      </w:r>
    </w:p>
    <w:p>
      <w:pPr>
        <w:pStyle w:val="Compact"/>
        <w:numPr>
          <w:ilvl w:val="2"/>
          <w:numId w:val="1013"/>
        </w:numPr>
      </w:pPr>
      <w:r>
        <w:rPr>
          <w:rStyle w:val="VerbatimChar"/>
        </w:rPr>
        <w:t xml:space="preserve">table_description</w:t>
      </w:r>
      <w:r>
        <w:t xml:space="preserve">: description of table (possibly in markdown)</w:t>
      </w:r>
    </w:p>
    <w:p>
      <w:pPr>
        <w:pStyle w:val="Compact"/>
        <w:numPr>
          <w:ilvl w:val="1"/>
          <w:numId w:val="1012"/>
        </w:numPr>
      </w:pPr>
      <w:hyperlink r:id="rId72">
        <w:r>
          <w:rPr>
            <w:rStyle w:val="Hyperlink"/>
          </w:rPr>
          <w:t xml:space="preserve">api.calcofi.io</w:t>
        </w:r>
        <w:r>
          <w:rPr>
            <w:rStyle w:val="VerbatimChar"/>
          </w:rPr>
          <w:t xml:space="preserve">/db_columns</w:t>
        </w:r>
      </w:hyperlink>
      <w:r>
        <w:br/>
      </w:r>
      <w:r>
        <w:t xml:space="preserve">fields:</w:t>
      </w:r>
      <w:r>
        <w:br/>
      </w:r>
    </w:p>
    <w:p>
      <w:pPr>
        <w:pStyle w:val="Compact"/>
        <w:numPr>
          <w:ilvl w:val="2"/>
          <w:numId w:val="1014"/>
        </w:numPr>
      </w:pPr>
      <w:r>
        <w:rPr>
          <w:rStyle w:val="VerbatimChar"/>
        </w:rPr>
        <w:t xml:space="preserve">schema</w:t>
      </w:r>
      <w:r>
        <w:t xml:space="preserve">: (only</w:t>
      </w:r>
      <w:r>
        <w:t xml:space="preserve"> </w:t>
      </w:r>
      <w:r>
        <w:t xml:space="preserve">“</w:t>
      </w:r>
      <w:r>
        <w:t xml:space="preserve">public</w:t>
      </w:r>
      <w:r>
        <w:t xml:space="preserve">”</w:t>
      </w:r>
      <w:r>
        <w:t xml:space="preserve"> </w:t>
      </w:r>
      <w:r>
        <w:t xml:space="preserve">so far)</w:t>
      </w:r>
    </w:p>
    <w:p>
      <w:pPr>
        <w:pStyle w:val="Compact"/>
        <w:numPr>
          <w:ilvl w:val="2"/>
          <w:numId w:val="1014"/>
        </w:numPr>
      </w:pPr>
      <w:r>
        <w:rPr>
          <w:rStyle w:val="VerbatimChar"/>
        </w:rPr>
        <w:t xml:space="preserve">table_type</w:t>
      </w:r>
      <w:r>
        <w:t xml:space="preserve">:</w:t>
      </w:r>
      <w:r>
        <w:t xml:space="preserve"> </w:t>
      </w:r>
      <w:r>
        <w:t xml:space="preserve">“</w:t>
      </w:r>
      <w:r>
        <w:t xml:space="preserve">table</w:t>
      </w:r>
      <w:r>
        <w:t xml:space="preserve">”</w:t>
      </w:r>
      <w:r>
        <w:t xml:space="preserve">,</w:t>
      </w:r>
      <w:r>
        <w:t xml:space="preserve"> </w:t>
      </w:r>
      <w:r>
        <w:t xml:space="preserve">“</w:t>
      </w:r>
      <w:r>
        <w:t xml:space="preserve">view</w:t>
      </w:r>
      <w:r>
        <w:t xml:space="preserve">”</w:t>
      </w:r>
      <w:r>
        <w:t xml:space="preserve">, or</w:t>
      </w:r>
      <w:r>
        <w:t xml:space="preserve"> </w:t>
      </w:r>
      <w:r>
        <w:t xml:space="preserve">“</w:t>
      </w:r>
      <w:r>
        <w:t xml:space="preserve">materialized view</w:t>
      </w:r>
      <w:r>
        <w:t xml:space="preserve">”</w:t>
      </w:r>
      <w:r>
        <w:t xml:space="preserve"> </w:t>
      </w:r>
      <w:r>
        <w:t xml:space="preserve">(none yet)</w:t>
      </w:r>
    </w:p>
    <w:p>
      <w:pPr>
        <w:pStyle w:val="Compact"/>
        <w:numPr>
          <w:ilvl w:val="2"/>
          <w:numId w:val="1014"/>
        </w:numPr>
      </w:pPr>
      <w:r>
        <w:rPr>
          <w:rStyle w:val="VerbatimChar"/>
        </w:rPr>
        <w:t xml:space="preserve">table</w:t>
      </w:r>
      <w:r>
        <w:t xml:space="preserve">: name of table</w:t>
      </w:r>
    </w:p>
    <w:p>
      <w:pPr>
        <w:pStyle w:val="Compact"/>
        <w:numPr>
          <w:ilvl w:val="2"/>
          <w:numId w:val="1014"/>
        </w:numPr>
      </w:pPr>
      <w:r>
        <w:rPr>
          <w:rStyle w:val="VerbatimChar"/>
        </w:rPr>
        <w:t xml:space="preserve">column</w:t>
      </w:r>
      <w:r>
        <w:t xml:space="preserve">: name of column</w:t>
      </w:r>
    </w:p>
    <w:p>
      <w:pPr>
        <w:pStyle w:val="Compact"/>
        <w:numPr>
          <w:ilvl w:val="2"/>
          <w:numId w:val="1014"/>
        </w:numPr>
      </w:pPr>
      <w:r>
        <w:rPr>
          <w:rStyle w:val="VerbatimChar"/>
        </w:rPr>
        <w:t xml:space="preserve">column_type</w:t>
      </w:r>
      <w:r>
        <w:t xml:space="preserve">: data type of column</w:t>
      </w:r>
    </w:p>
    <w:p>
      <w:pPr>
        <w:pStyle w:val="Compact"/>
        <w:numPr>
          <w:ilvl w:val="2"/>
          <w:numId w:val="1014"/>
        </w:numPr>
      </w:pPr>
      <w:r>
        <w:rPr>
          <w:rStyle w:val="VerbatimChar"/>
        </w:rPr>
        <w:t xml:space="preserve">column_description</w:t>
      </w:r>
      <w:r>
        <w:t xml:space="preserve">: description of column (possibly in markdown)</w:t>
      </w:r>
    </w:p>
    <w:p>
      <w:pPr>
        <w:numPr>
          <w:ilvl w:val="0"/>
          <w:numId w:val="1011"/>
        </w:numPr>
      </w:pPr>
      <w:r>
        <w:t xml:space="preserve">Fetch and display these descriptions into an interactive table with</w:t>
      </w:r>
      <w:r>
        <w:t xml:space="preserve"> </w:t>
      </w:r>
      <w:hyperlink r:id="rId73">
        <w:r>
          <w:rPr>
            <w:rStyle w:val="VerbatimChar"/>
          </w:rPr>
          <w:t xml:space="preserve">calcofi4r::</w:t>
        </w:r>
        <w:r>
          <w:rPr>
            <w:rStyle w:val="VerbatimChar"/>
            <w:b/>
            <w:bCs/>
          </w:rPr>
          <w:t xml:space="preserve">cc_db_catalog()</w:t>
        </w:r>
      </w:hyperlink>
      <w:r>
        <w:t xml:space="preserve">.</w:t>
      </w:r>
    </w:p>
    <w:bookmarkEnd w:id="74"/>
    <w:bookmarkStart w:id="76" w:name="relationships-between-tables"/>
    <w:p>
      <w:pPr>
        <w:pStyle w:val="Heading2"/>
      </w:pPr>
      <w:r>
        <w:t xml:space="preserve">5.4 Relationships between tables</w:t>
      </w:r>
    </w:p>
    <w:p>
      <w:pPr>
        <w:numPr>
          <w:ilvl w:val="0"/>
          <w:numId w:val="1015"/>
        </w:numPr>
      </w:pPr>
      <w:r>
        <w:t xml:space="preserve">See</w:t>
      </w:r>
      <w:r>
        <w:t xml:space="preserve"> </w:t>
      </w:r>
      <w:hyperlink r:id="rId75">
        <w:r>
          <w:rPr>
            <w:rStyle w:val="Hyperlink"/>
          </w:rPr>
          <w:t xml:space="preserve">calcofi/workflows:</w:t>
        </w:r>
        <w:r>
          <w:rPr>
            <w:rStyle w:val="Hyperlink"/>
          </w:rPr>
          <w:t xml:space="preserve"> </w:t>
        </w:r>
        <w:r>
          <w:rPr>
            <w:rStyle w:val="Hyperlink"/>
            <w:b/>
            <w:bCs/>
          </w:rPr>
          <w:t xml:space="preserve">clean_db</w:t>
        </w:r>
      </w:hyperlink>
      <w:r>
        <w:br/>
      </w:r>
    </w:p>
    <w:p>
      <w:pPr>
        <w:numPr>
          <w:ilvl w:val="0"/>
          <w:numId w:val="1015"/>
        </w:numPr>
      </w:pPr>
      <w:r>
        <w:rPr>
          <w:rStyle w:val="VerbatimChar"/>
        </w:rPr>
        <w:t xml:space="preserve">TODO:</w:t>
      </w:r>
      <w:r>
        <w:t xml:space="preserve"> </w:t>
      </w:r>
      <w:r>
        <w:t xml:space="preserve">add calcofi/apps: db to show latest tables, columns and relationsips</w:t>
      </w:r>
    </w:p>
    <w:bookmarkEnd w:id="76"/>
    <w:bookmarkStart w:id="78" w:name="spatial-tips"/>
    <w:p>
      <w:pPr>
        <w:pStyle w:val="Heading2"/>
      </w:pPr>
      <w:r>
        <w:t xml:space="preserve">5.5 Spatial Tips</w:t>
      </w:r>
    </w:p>
    <w:p>
      <w:pPr>
        <w:pStyle w:val="Compact"/>
        <w:numPr>
          <w:ilvl w:val="0"/>
          <w:numId w:val="1016"/>
        </w:numPr>
      </w:pPr>
      <w:r>
        <w:t xml:space="preserve">Use</w:t>
      </w:r>
      <w:r>
        <w:t xml:space="preserve"> </w:t>
      </w:r>
      <w:hyperlink r:id="rId77">
        <w:r>
          <w:rPr>
            <w:rStyle w:val="VerbatimChar"/>
          </w:rPr>
          <w:t xml:space="preserve">ST_Subdivide()</w:t>
        </w:r>
      </w:hyperlink>
      <w:r>
        <w:t xml:space="preserve"> </w:t>
      </w:r>
      <w:r>
        <w:t xml:space="preserve">when running spatial joins on large polygons.</w:t>
      </w:r>
    </w:p>
    <w:bookmarkEnd w:id="78"/>
    <w:bookmarkEnd w:id="79"/>
    <w:bookmarkStart w:id="106" w:name="portals"/>
    <w:p>
      <w:pPr>
        <w:pStyle w:val="Heading1"/>
      </w:pPr>
      <w:r>
        <w:t xml:space="preserve">6. Portals</w:t>
      </w:r>
    </w:p>
    <w:bookmarkStart w:id="93"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Start w:id="82" w:name="edi-environmental-data-initiative"/>
    <w:p>
      <w:pPr>
        <w:pStyle w:val="Heading3"/>
      </w:pPr>
      <w:r>
        <w:t xml:space="preserve">6.1.1 EDI (Environmental Data Initiative)</w:t>
      </w:r>
    </w:p>
    <w:p>
      <w:pPr>
        <w:pStyle w:val="Compact"/>
        <w:numPr>
          <w:ilvl w:val="0"/>
          <w:numId w:val="1017"/>
        </w:numPr>
      </w:pPr>
      <w:r>
        <w:t xml:space="preserve">Complete dataset archives using DataOne software and EML metadata</w:t>
      </w:r>
    </w:p>
    <w:p>
      <w:pPr>
        <w:pStyle w:val="Compact"/>
        <w:numPr>
          <w:ilvl w:val="0"/>
          <w:numId w:val="1017"/>
        </w:numPr>
      </w:pPr>
      <w:r>
        <w:t xml:space="preserve">DOIs issued for all datasets ensuring citability</w:t>
      </w:r>
    </w:p>
    <w:p>
      <w:pPr>
        <w:pStyle w:val="Compact"/>
        <w:numPr>
          <w:ilvl w:val="0"/>
          <w:numId w:val="1017"/>
        </w:numPr>
      </w:pPr>
      <w:r>
        <w:t xml:space="preserve">Full archive allowing for any data file types</w:t>
      </w:r>
    </w:p>
    <w:p>
      <w:pPr>
        <w:pStyle w:val="Compact"/>
        <w:numPr>
          <w:ilvl w:val="0"/>
          <w:numId w:val="1017"/>
        </w:numPr>
      </w:pPr>
      <w:r>
        <w:t xml:space="preserve">Basic spatial and temporal filtering through web interface</w:t>
      </w:r>
    </w:p>
    <w:p>
      <w:pPr>
        <w:pStyle w:val="Compact"/>
        <w:numPr>
          <w:ilvl w:val="0"/>
          <w:numId w:val="1017"/>
        </w:numPr>
      </w:pPr>
      <w:r>
        <w:t xml:space="preserve">Download in original formats with metadata</w:t>
      </w:r>
    </w:p>
    <w:p>
      <w:pPr>
        <w:pStyle w:val="Compact"/>
        <w:numPr>
          <w:ilvl w:val="0"/>
          <w:numId w:val="1017"/>
        </w:numPr>
      </w:pPr>
      <w:r>
        <w:t xml:space="preserve">Access through DataOne API</w:t>
      </w:r>
    </w:p>
    <w:p>
      <w:pPr>
        <w:pStyle w:val="Compact"/>
        <w:numPr>
          <w:ilvl w:val="0"/>
          <w:numId w:val="1017"/>
        </w:numPr>
      </w:pPr>
      <w:r>
        <w:t xml:space="preserve">Links:</w:t>
      </w:r>
    </w:p>
    <w:p>
      <w:pPr>
        <w:pStyle w:val="Compact"/>
        <w:numPr>
          <w:ilvl w:val="1"/>
          <w:numId w:val="1018"/>
        </w:numPr>
      </w:pPr>
      <w:hyperlink r:id="rId80">
        <w:r>
          <w:rPr>
            <w:rStyle w:val="Hyperlink"/>
          </w:rPr>
          <w:t xml:space="preserve">EDIrepository.org</w:t>
        </w:r>
      </w:hyperlink>
    </w:p>
    <w:p>
      <w:pPr>
        <w:pStyle w:val="Compact"/>
        <w:numPr>
          <w:ilvl w:val="1"/>
          <w:numId w:val="1018"/>
        </w:numPr>
      </w:pPr>
      <w:r>
        <w:t xml:space="preserve">CalCOFI datasets:</w:t>
      </w:r>
      <w:r>
        <w:t xml:space="preserve"> </w:t>
      </w:r>
      <w:hyperlink r:id="rId81">
        <w:r>
          <w:rPr>
            <w:rStyle w:val="Hyperlink"/>
          </w:rPr>
          <w:t xml:space="preserve">EDI query</w:t>
        </w:r>
        <w:r>
          <w:rPr>
            <w:rStyle w:val="Hyperlink"/>
          </w:rPr>
          <w:t xml:space="preserve"> </w:t>
        </w:r>
        <w:r>
          <w:rPr>
            <w:rStyle w:val="Hyperlink"/>
          </w:rPr>
          <w:t xml:space="preserve">“</w:t>
        </w:r>
        <w:r>
          <w:rPr>
            <w:rStyle w:val="Hyperlink"/>
          </w:rPr>
          <w:t xml:space="preserve">CalCOFI</w:t>
        </w:r>
        <w:r>
          <w:rPr>
            <w:rStyle w:val="Hyperlink"/>
          </w:rPr>
          <w:t xml:space="preserve">”</w:t>
        </w:r>
      </w:hyperlink>
    </w:p>
    <w:bookmarkEnd w:id="82"/>
    <w:bookmarkStart w:id="85" w:name="X8d55815efd873cc4dcf17ff68468dce0878203e"/>
    <w:p>
      <w:pPr>
        <w:pStyle w:val="Heading3"/>
      </w:pPr>
      <w:r>
        <w:t xml:space="preserve">6.1.2 NCEI (National Centers for Environmental Information)</w:t>
      </w:r>
    </w:p>
    <w:p>
      <w:pPr>
        <w:pStyle w:val="Compact"/>
        <w:numPr>
          <w:ilvl w:val="0"/>
          <w:numId w:val="1019"/>
        </w:numPr>
      </w:pPr>
      <w:r>
        <w:t xml:space="preserve">Long-term archival of oceanographic data</w:t>
      </w:r>
    </w:p>
    <w:p>
      <w:pPr>
        <w:pStyle w:val="Compact"/>
        <w:numPr>
          <w:ilvl w:val="0"/>
          <w:numId w:val="1019"/>
        </w:numPr>
      </w:pPr>
      <w:r>
        <w:t xml:space="preserve">DOIs issued for dataset submissions</w:t>
      </w:r>
    </w:p>
    <w:p>
      <w:pPr>
        <w:pStyle w:val="Compact"/>
        <w:numPr>
          <w:ilvl w:val="0"/>
          <w:numId w:val="1019"/>
        </w:numPr>
      </w:pPr>
      <w:r>
        <w:t xml:space="preserve">Standardized metadata using ISO 19115-2</w:t>
      </w:r>
    </w:p>
    <w:p>
      <w:pPr>
        <w:pStyle w:val="Compact"/>
        <w:numPr>
          <w:ilvl w:val="0"/>
          <w:numId w:val="1019"/>
        </w:numPr>
      </w:pPr>
      <w:r>
        <w:t xml:space="preserve">Basic search interface with geographic and temporal filtering</w:t>
      </w:r>
    </w:p>
    <w:p>
      <w:pPr>
        <w:pStyle w:val="Compact"/>
        <w:numPr>
          <w:ilvl w:val="0"/>
          <w:numId w:val="1019"/>
        </w:numPr>
      </w:pPr>
      <w:r>
        <w:t xml:space="preserve">Data preserved in original submission formats</w:t>
      </w:r>
    </w:p>
    <w:p>
      <w:pPr>
        <w:pStyle w:val="Compact"/>
        <w:numPr>
          <w:ilvl w:val="0"/>
          <w:numId w:val="1019"/>
        </w:numPr>
      </w:pPr>
      <w:r>
        <w:t xml:space="preserve">Access through NCEI API services</w:t>
      </w:r>
    </w:p>
    <w:p>
      <w:pPr>
        <w:pStyle w:val="Compact"/>
        <w:numPr>
          <w:ilvl w:val="0"/>
          <w:numId w:val="1019"/>
        </w:numPr>
      </w:pPr>
      <w:r>
        <w:t xml:space="preserve">Links:</w:t>
      </w:r>
    </w:p>
    <w:p>
      <w:pPr>
        <w:pStyle w:val="Compact"/>
        <w:numPr>
          <w:ilvl w:val="1"/>
          <w:numId w:val="1020"/>
        </w:numPr>
      </w:pPr>
      <w:hyperlink r:id="rId83">
        <w:r>
          <w:rPr>
            <w:rStyle w:val="Hyperlink"/>
          </w:rPr>
          <w:t xml:space="preserve">NCEI Ocean Archive</w:t>
        </w:r>
      </w:hyperlink>
    </w:p>
    <w:p>
      <w:pPr>
        <w:pStyle w:val="Compact"/>
        <w:numPr>
          <w:ilvl w:val="1"/>
          <w:numId w:val="1020"/>
        </w:numPr>
      </w:pPr>
      <w:r>
        <w:t xml:space="preserve">CalCOFI datasets:</w:t>
      </w:r>
      <w:r>
        <w:t xml:space="preserve"> </w:t>
      </w:r>
      <w:hyperlink r:id="rId84">
        <w:r>
          <w:rPr>
            <w:rStyle w:val="Hyperlink"/>
          </w:rPr>
          <w:t xml:space="preserve">NCEI search</w:t>
        </w:r>
        <w:r>
          <w:rPr>
            <w:rStyle w:val="Hyperlink"/>
          </w:rPr>
          <w:t xml:space="preserve"> </w:t>
        </w:r>
        <w:r>
          <w:rPr>
            <w:rStyle w:val="Hyperlink"/>
          </w:rPr>
          <w:t xml:space="preserve">“</w:t>
        </w:r>
        <w:r>
          <w:rPr>
            <w:rStyle w:val="Hyperlink"/>
          </w:rPr>
          <w:t xml:space="preserve">CalCOFI</w:t>
        </w:r>
        <w:r>
          <w:rPr>
            <w:rStyle w:val="Hyperlink"/>
          </w:rPr>
          <w:t xml:space="preserve">”</w:t>
        </w:r>
      </w:hyperlink>
    </w:p>
    <w:bookmarkEnd w:id="85"/>
    <w:bookmarkStart w:id="88" w:name="X167e426300d932dfa355a1617aec56a44fa997d"/>
    <w:p>
      <w:pPr>
        <w:pStyle w:val="Heading3"/>
      </w:pPr>
      <w:r>
        <w:t xml:space="preserve">6.1.3 OBIS (Ocean Biodiversity Information System)</w:t>
      </w:r>
    </w:p>
    <w:p>
      <w:pPr>
        <w:pStyle w:val="Compact"/>
        <w:numPr>
          <w:ilvl w:val="0"/>
          <w:numId w:val="1021"/>
        </w:numPr>
      </w:pPr>
      <w:r>
        <w:t xml:space="preserve">Specialized in marine biodiversity data</w:t>
      </w:r>
    </w:p>
    <w:p>
      <w:pPr>
        <w:pStyle w:val="Compact"/>
        <w:numPr>
          <w:ilvl w:val="0"/>
          <w:numId w:val="1021"/>
        </w:numPr>
      </w:pPr>
      <w:r>
        <w:t xml:space="preserve">Standardized using DarwinCore fields</w:t>
      </w:r>
    </w:p>
    <w:p>
      <w:pPr>
        <w:pStyle w:val="Compact"/>
        <w:numPr>
          <w:ilvl w:val="0"/>
          <w:numId w:val="1021"/>
        </w:numPr>
      </w:pPr>
      <w:r>
        <w:t xml:space="preserve">Extended measurements supported via</w:t>
      </w:r>
      <w:r>
        <w:t xml:space="preserve"> </w:t>
      </w:r>
      <w:hyperlink r:id="rId86">
        <w:r>
          <w:rPr>
            <w:rStyle w:val="Hyperlink"/>
          </w:rPr>
          <w:t xml:space="preserve">extendedMeasurementOrFact</w:t>
        </w:r>
      </w:hyperlink>
    </w:p>
    <w:p>
      <w:pPr>
        <w:pStyle w:val="Compact"/>
        <w:numPr>
          <w:ilvl w:val="0"/>
          <w:numId w:val="1021"/>
        </w:numPr>
      </w:pPr>
      <w:r>
        <w:t xml:space="preserve">Powerful filtering by space, time, and taxonomic parameters</w:t>
      </w:r>
    </w:p>
    <w:p>
      <w:pPr>
        <w:pStyle w:val="Compact"/>
        <w:numPr>
          <w:ilvl w:val="0"/>
          <w:numId w:val="1021"/>
        </w:numPr>
      </w:pPr>
      <w:r>
        <w:t xml:space="preserve">Multiple download formats (CSV, JSON, Darwin Core Archive)</w:t>
      </w:r>
    </w:p>
    <w:p>
      <w:pPr>
        <w:pStyle w:val="Compact"/>
        <w:numPr>
          <w:ilvl w:val="0"/>
          <w:numId w:val="1021"/>
        </w:numPr>
      </w:pPr>
      <w:r>
        <w:t xml:space="preserve">Full REST API access</w:t>
      </w:r>
    </w:p>
    <w:p>
      <w:pPr>
        <w:pStyle w:val="Compact"/>
        <w:numPr>
          <w:ilvl w:val="0"/>
          <w:numId w:val="1021"/>
        </w:numPr>
      </w:pPr>
      <w:r>
        <w:t xml:space="preserve">Links:</w:t>
      </w:r>
    </w:p>
    <w:p>
      <w:pPr>
        <w:pStyle w:val="Compact"/>
        <w:numPr>
          <w:ilvl w:val="1"/>
          <w:numId w:val="1022"/>
        </w:numPr>
      </w:pPr>
      <w:hyperlink r:id="rId29">
        <w:r>
          <w:rPr>
            <w:rStyle w:val="Hyperlink"/>
          </w:rPr>
          <w:t xml:space="preserve">OBIS.org</w:t>
        </w:r>
      </w:hyperlink>
    </w:p>
    <w:p>
      <w:pPr>
        <w:pStyle w:val="Compact"/>
        <w:numPr>
          <w:ilvl w:val="1"/>
          <w:numId w:val="1022"/>
        </w:numPr>
      </w:pPr>
      <w:r>
        <w:t xml:space="preserve">CalCOFI datasets:</w:t>
      </w:r>
      <w:r>
        <w:t xml:space="preserve"> </w:t>
      </w:r>
      <w:hyperlink r:id="rId87">
        <w:r>
          <w:rPr>
            <w:rStyle w:val="Hyperlink"/>
          </w:rPr>
          <w:t xml:space="preserve">obis.org/dataset</w:t>
        </w:r>
      </w:hyperlink>
      <w:r>
        <w:t xml:space="preserve"> </w:t>
      </w:r>
      <w:r>
        <w:t xml:space="preserve">+</w:t>
      </w:r>
      <w:r>
        <w:t xml:space="preserve"> </w:t>
      </w:r>
      <w:r>
        <w:t xml:space="preserve">“</w:t>
      </w:r>
      <w:r>
        <w:t xml:space="preserve">calcofi</w:t>
      </w:r>
      <w:r>
        <w:t xml:space="preserve">”</w:t>
      </w:r>
      <w:r>
        <w:t xml:space="preserve"> </w:t>
      </w:r>
      <w:r>
        <w:t xml:space="preserve">Keyword</w:t>
      </w:r>
    </w:p>
    <w:bookmarkEnd w:id="88"/>
    <w:bookmarkStart w:id="92" w:name="X85d557e72731d6cf371ec813f7688dd2420fb7b"/>
    <w:p>
      <w:pPr>
        <w:pStyle w:val="Heading3"/>
      </w:pPr>
      <w:r>
        <w:t xml:space="preserve">6.1.4 ERDDAP (Environmental Research Division Data Access Program)</w:t>
      </w:r>
    </w:p>
    <w:p>
      <w:pPr>
        <w:pStyle w:val="Compact"/>
        <w:numPr>
          <w:ilvl w:val="0"/>
          <w:numId w:val="1023"/>
        </w:numPr>
      </w:pPr>
      <w:r>
        <w:t xml:space="preserve">Tabular and gridded data server</w:t>
      </w:r>
    </w:p>
    <w:p>
      <w:pPr>
        <w:pStyle w:val="Compact"/>
        <w:numPr>
          <w:ilvl w:val="0"/>
          <w:numId w:val="1023"/>
        </w:numPr>
      </w:pPr>
      <w:r>
        <w:t xml:space="preserve">Advanced subsetting by space, time, and parameters</w:t>
      </w:r>
    </w:p>
    <w:p>
      <w:pPr>
        <w:pStyle w:val="Compact"/>
        <w:numPr>
          <w:ilvl w:val="0"/>
          <w:numId w:val="1023"/>
        </w:numPr>
      </w:pPr>
      <w:r>
        <w:t xml:space="preserve">Multiple output formats (CSV, JSON, NetCDF, etc.)</w:t>
      </w:r>
    </w:p>
    <w:p>
      <w:pPr>
        <w:pStyle w:val="Compact"/>
        <w:numPr>
          <w:ilvl w:val="0"/>
          <w:numId w:val="1023"/>
        </w:numPr>
      </w:pPr>
      <w:r>
        <w:t xml:space="preserve">RESTful API with direct data access</w:t>
      </w:r>
    </w:p>
    <w:p>
      <w:pPr>
        <w:pStyle w:val="Compact"/>
        <w:numPr>
          <w:ilvl w:val="0"/>
          <w:numId w:val="1023"/>
        </w:numPr>
      </w:pPr>
      <w:r>
        <w:t xml:space="preserve">Built-in data visualization tools</w:t>
      </w:r>
    </w:p>
    <w:p>
      <w:pPr>
        <w:pStyle w:val="Compact"/>
        <w:numPr>
          <w:ilvl w:val="0"/>
          <w:numId w:val="1023"/>
        </w:numPr>
      </w:pPr>
      <w:r>
        <w:t xml:space="preserve">No persistent identifiers but stable URLs</w:t>
      </w:r>
    </w:p>
    <w:p>
      <w:pPr>
        <w:pStyle w:val="Compact"/>
        <w:numPr>
          <w:ilvl w:val="0"/>
          <w:numId w:val="1023"/>
        </w:numPr>
      </w:pPr>
      <w:r>
        <w:t xml:space="preserve">Links:</w:t>
      </w:r>
    </w:p>
    <w:p>
      <w:pPr>
        <w:pStyle w:val="Compact"/>
        <w:numPr>
          <w:ilvl w:val="1"/>
          <w:numId w:val="1024"/>
        </w:numPr>
      </w:pPr>
      <w:hyperlink r:id="rId89">
        <w:r>
          <w:rPr>
            <w:rStyle w:val="Hyperlink"/>
          </w:rPr>
          <w:t xml:space="preserve">ERDDAP</w:t>
        </w:r>
      </w:hyperlink>
    </w:p>
    <w:p>
      <w:pPr>
        <w:pStyle w:val="Compact"/>
        <w:numPr>
          <w:ilvl w:val="1"/>
          <w:numId w:val="1024"/>
        </w:numPr>
      </w:pPr>
      <w:r>
        <w:t xml:space="preserve">CalCOFI datasets:</w:t>
      </w:r>
    </w:p>
    <w:p>
      <w:pPr>
        <w:pStyle w:val="Compact"/>
        <w:numPr>
          <w:ilvl w:val="2"/>
          <w:numId w:val="1025"/>
        </w:numPr>
      </w:pPr>
      <w:hyperlink r:id="rId90">
        <w:r>
          <w:rPr>
            <w:rStyle w:val="Hyperlink"/>
          </w:rPr>
          <w:t xml:space="preserve">ERDDAP, OceanView - CalCOFI seabirds</w:t>
        </w:r>
      </w:hyperlink>
    </w:p>
    <w:p>
      <w:pPr>
        <w:pStyle w:val="Compact"/>
        <w:numPr>
          <w:ilvl w:val="2"/>
          <w:numId w:val="1025"/>
        </w:numPr>
      </w:pPr>
      <w:hyperlink r:id="rId91">
        <w:r>
          <w:rPr>
            <w:rStyle w:val="Hyperlink"/>
          </w:rPr>
          <w:t xml:space="preserve">ERDDAP, CoastWatch - CalCOFI oceanographic</w:t>
        </w:r>
      </w:hyperlink>
    </w:p>
    <w:bookmarkEnd w:id="92"/>
    <w:bookmarkEnd w:id="93"/>
    <w:bookmarkStart w:id="98" w:name="meta-portals"/>
    <w:p>
      <w:pPr>
        <w:pStyle w:val="Heading2"/>
      </w:pPr>
      <w:r>
        <w:t xml:space="preserve">6.2 Meta-Portals</w:t>
      </w:r>
    </w:p>
    <w:bookmarkStart w:id="95" w:name="google-dataset-search"/>
    <w:p>
      <w:pPr>
        <w:pStyle w:val="Heading3"/>
      </w:pPr>
      <w:r>
        <w:t xml:space="preserve">6.2.1 Google Dataset Search</w:t>
      </w:r>
    </w:p>
    <w:p>
      <w:pPr>
        <w:pStyle w:val="FirstParagraph"/>
      </w:pPr>
      <w:r>
        <w:t xml:space="preserve">The JSON-LD metadata in the Portal dataset web pages get indexed by</w:t>
      </w:r>
      <w:r>
        <w:t xml:space="preserve"> </w:t>
      </w:r>
      <w:hyperlink r:id="rId94">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95"/>
    <w:bookmarkStart w:id="97" w:name="odis-ocean-data-information-system"/>
    <w:p>
      <w:pPr>
        <w:pStyle w:val="Heading3"/>
      </w:pPr>
      <w:r>
        <w:t xml:space="preserve">6.2.2 ODIS (Ocean Data Information System)</w:t>
      </w:r>
    </w:p>
    <w:p>
      <w:pPr>
        <w:pStyle w:val="FirstParagraph"/>
      </w:pPr>
      <w:r>
        <w:t xml:space="preserve">ODIS uses the same technology as Google Dataset Search (schema.org, JSON-LD), but focuses on ocean data. CalCOFI curates a sitemap of authoritative datasets to server to</w:t>
      </w:r>
      <w:r>
        <w:t xml:space="preserve"> </w:t>
      </w:r>
      <w:hyperlink r:id="rId96">
        <w:r>
          <w:rPr>
            <w:rStyle w:val="Hyperlink"/>
          </w:rPr>
          <w:t xml:space="preserve">ODIS.org</w:t>
        </w:r>
      </w:hyperlink>
    </w:p>
    <w:p>
      <w:pPr>
        <w:pStyle w:val="BodyText"/>
      </w:pPr>
      <w:r>
        <w:t xml:space="preserve">This federated approach ensures that CalCOFI data remains:</w:t>
      </w:r>
    </w:p>
    <w:p>
      <w:pPr>
        <w:pStyle w:val="Compact"/>
        <w:numPr>
          <w:ilvl w:val="0"/>
          <w:numId w:val="1026"/>
        </w:numPr>
      </w:pPr>
      <w:r>
        <w:t xml:space="preserve">Discoverable through multiple channels</w:t>
      </w:r>
    </w:p>
    <w:p>
      <w:pPr>
        <w:pStyle w:val="Compact"/>
        <w:numPr>
          <w:ilvl w:val="0"/>
          <w:numId w:val="1026"/>
        </w:numPr>
      </w:pPr>
      <w:r>
        <w:t xml:space="preserve">Properly cited and attributed</w:t>
      </w:r>
    </w:p>
    <w:p>
      <w:pPr>
        <w:pStyle w:val="Compact"/>
        <w:numPr>
          <w:ilvl w:val="0"/>
          <w:numId w:val="1026"/>
        </w:numPr>
      </w:pPr>
      <w:r>
        <w:t xml:space="preserve">Integrated with global ocean data systems</w:t>
      </w:r>
    </w:p>
    <w:bookmarkEnd w:id="97"/>
    <w:bookmarkEnd w:id="98"/>
    <w:bookmarkStart w:id="105" w:name="calcofi.io-tools"/>
    <w:p>
      <w:pPr>
        <w:pStyle w:val="Heading2"/>
      </w:pPr>
      <w:r>
        <w:t xml:space="preserve">6.3 CalCOFI.io Tools</w:t>
      </w:r>
    </w:p>
    <w:p>
      <w:pPr>
        <w:pStyle w:val="FirstParagraph"/>
      </w:pPr>
      <w:r>
        <w:t xml:space="preserve">CalCOFI is also developing an integrated database and tools that enable efficient data access and analysis:</w:t>
      </w:r>
    </w:p>
    <w:bookmarkStart w:id="100" w:name="apis"/>
    <w:p>
      <w:pPr>
        <w:pStyle w:val="Heading3"/>
      </w:pPr>
      <w:r>
        <w:t xml:space="preserve">6.3.1 APIs</w:t>
      </w:r>
    </w:p>
    <w:p>
      <w:pPr>
        <w:pStyle w:val="Compact"/>
        <w:numPr>
          <w:ilvl w:val="0"/>
          <w:numId w:val="1027"/>
        </w:numPr>
      </w:pPr>
      <w:r>
        <w:t xml:space="preserve">RESTful endpoints for programmatic access</w:t>
      </w:r>
    </w:p>
    <w:p>
      <w:pPr>
        <w:pStyle w:val="Compact"/>
        <w:numPr>
          <w:ilvl w:val="0"/>
          <w:numId w:val="1027"/>
        </w:numPr>
      </w:pPr>
      <w:r>
        <w:t xml:space="preserve">Filtering by space, time, and taxonomic parameters</w:t>
      </w:r>
    </w:p>
    <w:p>
      <w:pPr>
        <w:pStyle w:val="Compact"/>
        <w:numPr>
          <w:ilvl w:val="0"/>
          <w:numId w:val="1027"/>
        </w:numPr>
      </w:pPr>
      <w:r>
        <w:t xml:space="preserve">Relationship queries across tables</w:t>
      </w:r>
    </w:p>
    <w:p>
      <w:pPr>
        <w:pStyle w:val="Compact"/>
        <w:numPr>
          <w:ilvl w:val="0"/>
          <w:numId w:val="1027"/>
        </w:numPr>
      </w:pPr>
      <w:r>
        <w:t xml:space="preserve">Links:</w:t>
      </w:r>
    </w:p>
    <w:p>
      <w:pPr>
        <w:pStyle w:val="Compact"/>
        <w:numPr>
          <w:ilvl w:val="1"/>
          <w:numId w:val="1028"/>
        </w:numPr>
      </w:pPr>
      <w:hyperlink r:id="rId41">
        <w:r>
          <w:rPr>
            <w:rStyle w:val="Hyperlink"/>
          </w:rPr>
          <w:t xml:space="preserve">api.calcofi.io</w:t>
        </w:r>
      </w:hyperlink>
    </w:p>
    <w:p>
      <w:pPr>
        <w:pStyle w:val="Compact"/>
        <w:numPr>
          <w:ilvl w:val="1"/>
          <w:numId w:val="1028"/>
        </w:numPr>
      </w:pPr>
      <w:hyperlink r:id="rId99">
        <w:r>
          <w:rPr>
            <w:rStyle w:val="Hyperlink"/>
          </w:rPr>
          <w:t xml:space="preserve">tile.calcofi.io</w:t>
        </w:r>
      </w:hyperlink>
    </w:p>
    <w:bookmarkEnd w:id="100"/>
    <w:bookmarkStart w:id="102" w:name="library"/>
    <w:p>
      <w:pPr>
        <w:pStyle w:val="Heading3"/>
      </w:pPr>
      <w:r>
        <w:t xml:space="preserve">6.3.2 Library</w:t>
      </w:r>
    </w:p>
    <w:p>
      <w:pPr>
        <w:pStyle w:val="Compact"/>
        <w:numPr>
          <w:ilvl w:val="0"/>
          <w:numId w:val="1029"/>
        </w:numPr>
      </w:pPr>
      <w:r>
        <w:t xml:space="preserve">Direct data access from R</w:t>
      </w:r>
    </w:p>
    <w:p>
      <w:pPr>
        <w:pStyle w:val="Compact"/>
        <w:numPr>
          <w:ilvl w:val="0"/>
          <w:numId w:val="1029"/>
        </w:numPr>
      </w:pPr>
      <w:r>
        <w:t xml:space="preserve">Built-in analysis functions</w:t>
      </w:r>
    </w:p>
    <w:p>
      <w:pPr>
        <w:pStyle w:val="Compact"/>
        <w:numPr>
          <w:ilvl w:val="0"/>
          <w:numId w:val="1029"/>
        </w:numPr>
      </w:pPr>
      <w:r>
        <w:t xml:space="preserve">Integration with tidyverse ecosystem</w:t>
      </w:r>
    </w:p>
    <w:p>
      <w:pPr>
        <w:pStyle w:val="Compact"/>
        <w:numPr>
          <w:ilvl w:val="0"/>
          <w:numId w:val="1029"/>
        </w:numPr>
      </w:pPr>
      <w:r>
        <w:t xml:space="preserve">Link:</w:t>
      </w:r>
    </w:p>
    <w:p>
      <w:pPr>
        <w:pStyle w:val="Compact"/>
        <w:numPr>
          <w:ilvl w:val="1"/>
          <w:numId w:val="1030"/>
        </w:numPr>
      </w:pPr>
      <w:hyperlink r:id="rId101">
        <w:r>
          <w:rPr>
            <w:rStyle w:val="Hyperlink"/>
          </w:rPr>
          <w:t xml:space="preserve">calcofi.io/calcofi4r</w:t>
        </w:r>
      </w:hyperlink>
    </w:p>
    <w:bookmarkEnd w:id="102"/>
    <w:bookmarkStart w:id="104" w:name="apps"/>
    <w:p>
      <w:pPr>
        <w:pStyle w:val="Heading3"/>
      </w:pPr>
      <w:r>
        <w:t xml:space="preserve">6.3.3 Apps</w:t>
      </w:r>
    </w:p>
    <w:p>
      <w:pPr>
        <w:pStyle w:val="Compact"/>
        <w:numPr>
          <w:ilvl w:val="0"/>
          <w:numId w:val="1031"/>
        </w:numPr>
      </w:pPr>
      <w:r>
        <w:t xml:space="preserve">Interactive data exploration with Shiny applications</w:t>
      </w:r>
    </w:p>
    <w:p>
      <w:pPr>
        <w:pStyle w:val="Compact"/>
        <w:numPr>
          <w:ilvl w:val="0"/>
          <w:numId w:val="1031"/>
        </w:numPr>
      </w:pPr>
      <w:r>
        <w:t xml:space="preserve">User-friendly interfaces</w:t>
      </w:r>
    </w:p>
    <w:p>
      <w:pPr>
        <w:pStyle w:val="Compact"/>
        <w:numPr>
          <w:ilvl w:val="0"/>
          <w:numId w:val="1031"/>
        </w:numPr>
      </w:pPr>
      <w:r>
        <w:t xml:space="preserve">Subset and download data</w:t>
      </w:r>
    </w:p>
    <w:p>
      <w:pPr>
        <w:pStyle w:val="Compact"/>
        <w:numPr>
          <w:ilvl w:val="0"/>
          <w:numId w:val="1031"/>
        </w:numPr>
      </w:pPr>
      <w:r>
        <w:t xml:space="preserve">Link:</w:t>
      </w:r>
    </w:p>
    <w:p>
      <w:pPr>
        <w:pStyle w:val="Compact"/>
        <w:numPr>
          <w:ilvl w:val="1"/>
          <w:numId w:val="1032"/>
        </w:numPr>
      </w:pPr>
      <w:hyperlink r:id="rId103">
        <w:r>
          <w:rPr>
            <w:rStyle w:val="Hyperlink"/>
          </w:rPr>
          <w:t xml:space="preserve">calcofi.io</w:t>
        </w:r>
      </w:hyperlink>
      <w:r>
        <w:t xml:space="preserve">, App button</w:t>
      </w:r>
    </w:p>
    <w:bookmarkEnd w:id="104"/>
    <w:bookmarkEnd w:id="105"/>
    <w:bookmarkEnd w:id="106"/>
    <w:bookmarkStart w:id="111" w:name="portals_a"/>
    <w:p>
      <w:pPr>
        <w:pStyle w:val="Heading1"/>
      </w:pPr>
      <w:r>
        <w:t xml:space="preserve">7. portals_a</w:t>
      </w:r>
    </w:p>
    <w:bookmarkStart w:id="110" w:name="data-flow"/>
    <w:p>
      <w:pPr>
        <w:pStyle w:val="Heading2"/>
      </w:pPr>
      <w:r>
        <w:t xml:space="preserve">7.1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p>
      <w:pPr>
        <w:pStyle w:val="BodyText"/>
      </w:pPr>
    </w:p>
    <w:p>
      <w:pPr>
        <w:pStyle w:val="BodyText"/>
      </w:pPr>
      <w:r>
        <w:drawing>
          <wp:inline>
            <wp:extent cx="5157216" cy="6300216"/>
            <wp:effectExtent b="0" l="0" r="0" t="0"/>
            <wp:docPr descr="" title="" id="108" name="Picture"/>
            <a:graphic>
              <a:graphicData uri="http://schemas.openxmlformats.org/drawingml/2006/picture">
                <pic:pic>
                  <pic:nvPicPr>
                    <pic:cNvPr descr="portals_a_files/figure-docx/mermaid-figure-1.png" id="109" name="Picture"/>
                    <pic:cNvPicPr>
                      <a:picLocks noChangeArrowheads="1" noChangeAspect="1"/>
                    </pic:cNvPicPr>
                  </pic:nvPicPr>
                  <pic:blipFill>
                    <a:blip r:embed="rId107"/>
                    <a:stretch>
                      <a:fillRect/>
                    </a:stretch>
                  </pic:blipFill>
                  <pic:spPr bwMode="auto">
                    <a:xfrm>
                      <a:off x="0" y="0"/>
                      <a:ext cx="5157216" cy="6300216"/>
                    </a:xfrm>
                    <a:prstGeom prst="rect">
                      <a:avLst/>
                    </a:prstGeom>
                    <a:noFill/>
                    <a:ln w="9525">
                      <a:noFill/>
                      <a:headEnd/>
                      <a:tailEnd/>
                    </a:ln>
                  </pic:spPr>
                </pic:pic>
              </a:graphicData>
            </a:graphic>
          </wp:inline>
        </w:drawing>
      </w:r>
    </w:p>
    <w:p>
      <w:pPr>
        <w:pStyle w:val="BodyText"/>
      </w:pPr>
    </w:p>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110"/>
    <w:bookmarkEnd w:id="111"/>
    <w:bookmarkStart w:id="113" w:name="portals_b"/>
    <w:p>
      <w:pPr>
        <w:pStyle w:val="Heading1"/>
      </w:pPr>
      <w:r>
        <w:t xml:space="preserve">8. portals_b</w:t>
      </w:r>
    </w:p>
    <w:bookmarkStart w:id="112" w:name="portals-1"/>
    <w:p>
      <w:pPr>
        <w:pStyle w:val="Heading2"/>
      </w:pPr>
      <w:r>
        <w:t xml:space="preserve">8.1 Portals</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Portal</w:t>
            </w:r>
          </w:p>
        </w:tc>
        <w:tc>
          <w:tcPr/>
          <w:p>
            <w:pPr>
              <w:pStyle w:val="Compact"/>
              <w:jc w:val="left"/>
            </w:pPr>
            <w:r>
              <w:t xml:space="preserve">Full Archive</w:t>
            </w:r>
          </w:p>
        </w:tc>
        <w:tc>
          <w:tcPr/>
          <w:p>
            <w:pPr>
              <w:pStyle w:val="Compact"/>
              <w:jc w:val="left"/>
            </w:pPr>
            <w:r>
              <w:t xml:space="preserve">Versioning</w:t>
            </w:r>
          </w:p>
        </w:tc>
        <w:tc>
          <w:tcPr/>
          <w:p>
            <w:pPr>
              <w:pStyle w:val="Compact"/>
              <w:jc w:val="left"/>
            </w:pPr>
            <w:r>
              <w:t xml:space="preserve">DOI issued</w:t>
            </w:r>
          </w:p>
        </w:tc>
        <w:tc>
          <w:tcPr/>
          <w:p>
            <w:pPr>
              <w:pStyle w:val="Compact"/>
              <w:jc w:val="left"/>
            </w:pPr>
            <w:r>
              <w:t xml:space="preserve">Query by xyt</w:t>
            </w:r>
          </w:p>
        </w:tc>
        <w:tc>
          <w:tcPr/>
          <w:p>
            <w:pPr>
              <w:pStyle w:val="Compact"/>
              <w:jc w:val="left"/>
            </w:pPr>
            <w:r>
              <w:t xml:space="preserve">Query by taxa</w:t>
            </w:r>
          </w:p>
        </w:tc>
        <w:tc>
          <w:tcPr/>
          <w:p>
            <w:pPr>
              <w:pStyle w:val="Compact"/>
              <w:jc w:val="left"/>
            </w:pPr>
            <w:r>
              <w:t xml:space="preserve">Multiple formats</w:t>
            </w:r>
          </w:p>
        </w:tc>
        <w:tc>
          <w:tcPr/>
          <w:p>
            <w:pPr>
              <w:pStyle w:val="Compact"/>
              <w:jc w:val="left"/>
            </w:pPr>
            <w:r>
              <w:t xml:space="preserve">API Access</w:t>
            </w:r>
          </w:p>
        </w:tc>
      </w:tr>
      <w:tr>
        <w:tc>
          <w:tcPr/>
          <w:p>
            <w:pPr>
              <w:pStyle w:val="Compact"/>
              <w:jc w:val="left"/>
            </w:pPr>
            <w:r>
              <w:rPr>
                <w:b/>
                <w:bCs/>
              </w:rPr>
              <w:t xml:space="preserve">EDI</w:t>
            </w:r>
          </w:p>
        </w:tc>
        <w:tc>
          <w:tcPr/>
          <w:p>
            <w:pPr>
              <w:pStyle w:val="Compact"/>
              <w:jc w:val="left"/>
            </w:pPr>
            <w:r>
              <w:t xml:space="preserve">:green_circle:</w:t>
            </w:r>
          </w:p>
        </w:tc>
        <w:tc>
          <w:tcPr/>
          <w:p>
            <w:pPr>
              <w:pStyle w:val="Compact"/>
              <w:jc w:val="left"/>
            </w:pPr>
            <w:r>
              <w:t xml:space="preserve">:green_circle:</w:t>
            </w:r>
          </w:p>
        </w:tc>
        <w:tc>
          <w:tcPr/>
          <w:p>
            <w:pPr>
              <w:pStyle w:val="Compact"/>
              <w:jc w:val="left"/>
            </w:pPr>
            <w:r>
              <w:t xml:space="preserve">:green_circle:</w:t>
            </w:r>
          </w:p>
        </w:tc>
        <w:tc>
          <w:tcPr/>
          <w:p>
            <w:pPr>
              <w:pStyle w:val="Compact"/>
              <w:jc w:val="left"/>
            </w:pPr>
            <w:r>
              <w:t xml:space="preserve">:yellow_circle:</w:t>
            </w:r>
          </w:p>
        </w:tc>
        <w:tc>
          <w:tcPr/>
          <w:p>
            <w:pPr>
              <w:pStyle w:val="Compact"/>
              <w:jc w:val="left"/>
            </w:pPr>
            <w:r>
              <w:t xml:space="preserve">:yellow_circle:</w:t>
            </w:r>
          </w:p>
        </w:tc>
        <w:tc>
          <w:tcPr/>
          <w:p>
            <w:pPr>
              <w:pStyle w:val="Compact"/>
              <w:jc w:val="left"/>
            </w:pPr>
            <w:r>
              <w:t xml:space="preserve">:red_circle:</w:t>
            </w:r>
          </w:p>
        </w:tc>
        <w:tc>
          <w:tcPr/>
          <w:p>
            <w:pPr>
              <w:pStyle w:val="Compact"/>
              <w:jc w:val="left"/>
            </w:pPr>
            <w:r>
              <w:t xml:space="preserve">:yellow_circle:</w:t>
            </w:r>
          </w:p>
        </w:tc>
      </w:tr>
      <w:tr>
        <w:tc>
          <w:tcPr/>
          <w:p>
            <w:pPr>
              <w:pStyle w:val="Compact"/>
              <w:jc w:val="left"/>
            </w:pPr>
            <w:r>
              <w:rPr>
                <w:b/>
                <w:bCs/>
              </w:rPr>
              <w:t xml:space="preserve">NCEI</w:t>
            </w:r>
          </w:p>
        </w:tc>
        <w:tc>
          <w:tcPr/>
          <w:p>
            <w:pPr>
              <w:pStyle w:val="Compact"/>
              <w:jc w:val="left"/>
            </w:pPr>
            <w:r>
              <w:t xml:space="preserve">:green_circle:</w:t>
            </w:r>
          </w:p>
        </w:tc>
        <w:tc>
          <w:tcPr/>
          <w:p>
            <w:pPr>
              <w:pStyle w:val="Compact"/>
              <w:jc w:val="left"/>
            </w:pPr>
            <w:r>
              <w:t xml:space="preserve">:green_circle:</w:t>
            </w:r>
          </w:p>
        </w:tc>
        <w:tc>
          <w:tcPr/>
          <w:p>
            <w:pPr>
              <w:pStyle w:val="Compact"/>
              <w:jc w:val="left"/>
            </w:pPr>
            <w:r>
              <w:t xml:space="preserve">:green_circle:</w:t>
            </w:r>
          </w:p>
        </w:tc>
        <w:tc>
          <w:tcPr/>
          <w:p>
            <w:pPr>
              <w:pStyle w:val="Compact"/>
              <w:jc w:val="left"/>
            </w:pPr>
            <w:r>
              <w:t xml:space="preserve">:red_circle:</w:t>
            </w:r>
          </w:p>
        </w:tc>
        <w:tc>
          <w:tcPr/>
          <w:p>
            <w:pPr>
              <w:pStyle w:val="Compact"/>
              <w:jc w:val="left"/>
            </w:pPr>
            <w:r>
              <w:t xml:space="preserve">:red_circle:</w:t>
            </w:r>
          </w:p>
        </w:tc>
        <w:tc>
          <w:tcPr/>
          <w:p>
            <w:pPr>
              <w:pStyle w:val="Compact"/>
              <w:jc w:val="left"/>
            </w:pPr>
            <w:r>
              <w:t xml:space="preserve">:red_circle:</w:t>
            </w:r>
          </w:p>
        </w:tc>
        <w:tc>
          <w:tcPr/>
          <w:p>
            <w:pPr>
              <w:pStyle w:val="Compact"/>
              <w:jc w:val="left"/>
            </w:pPr>
            <w:r>
              <w:t xml:space="preserve">:yellow_circle:</w:t>
            </w:r>
          </w:p>
        </w:tc>
      </w:tr>
      <w:tr>
        <w:tc>
          <w:tcPr/>
          <w:p>
            <w:pPr>
              <w:pStyle w:val="Compact"/>
              <w:jc w:val="left"/>
            </w:pPr>
            <w:r>
              <w:rPr>
                <w:b/>
                <w:bCs/>
              </w:rPr>
              <w:t xml:space="preserve">OBIS</w:t>
            </w:r>
          </w:p>
        </w:tc>
        <w:tc>
          <w:tcPr/>
          <w:p>
            <w:pPr>
              <w:pStyle w:val="Compact"/>
              <w:jc w:val="left"/>
            </w:pPr>
            <w:r>
              <w:t xml:space="preserve">:yellow_circle:</w:t>
            </w:r>
          </w:p>
        </w:tc>
        <w:tc>
          <w:tcPr/>
          <w:p>
            <w:pPr>
              <w:pStyle w:val="Compact"/>
              <w:jc w:val="left"/>
            </w:pPr>
            <w:r>
              <w:t xml:space="preserve">:yellow_circle:</w:t>
            </w:r>
          </w:p>
        </w:tc>
        <w:tc>
          <w:tcPr/>
          <w:p>
            <w:pPr>
              <w:pStyle w:val="Compact"/>
              <w:jc w:val="left"/>
            </w:pPr>
            <w:r>
              <w:t xml:space="preserve">:yellow_circle:</w:t>
            </w:r>
          </w:p>
        </w:tc>
        <w:tc>
          <w:tcPr/>
          <w:p>
            <w:pPr>
              <w:pStyle w:val="Compact"/>
              <w:jc w:val="left"/>
            </w:pPr>
            <w:r>
              <w:t xml:space="preserve">:green_circle:</w:t>
            </w:r>
          </w:p>
        </w:tc>
        <w:tc>
          <w:tcPr/>
          <w:p>
            <w:pPr>
              <w:pStyle w:val="Compact"/>
              <w:jc w:val="left"/>
            </w:pPr>
            <w:r>
              <w:t xml:space="preserve">:green_circle:</w:t>
            </w:r>
          </w:p>
        </w:tc>
        <w:tc>
          <w:tcPr/>
          <w:p>
            <w:pPr>
              <w:pStyle w:val="Compact"/>
              <w:jc w:val="left"/>
            </w:pPr>
            <w:r>
              <w:t xml:space="preserve">:yellow_circle:</w:t>
            </w:r>
          </w:p>
        </w:tc>
        <w:tc>
          <w:tcPr/>
          <w:p>
            <w:pPr>
              <w:pStyle w:val="Compact"/>
              <w:jc w:val="left"/>
            </w:pPr>
            <w:r>
              <w:t xml:space="preserve">:green_circle:</w:t>
            </w:r>
          </w:p>
        </w:tc>
      </w:tr>
      <w:tr>
        <w:tc>
          <w:tcPr/>
          <w:p>
            <w:pPr>
              <w:pStyle w:val="Compact"/>
              <w:jc w:val="left"/>
            </w:pPr>
            <w:r>
              <w:rPr>
                <w:b/>
                <w:bCs/>
              </w:rPr>
              <w:t xml:space="preserve">ERDDAP</w:t>
            </w:r>
          </w:p>
        </w:tc>
        <w:tc>
          <w:tcPr/>
          <w:p>
            <w:pPr>
              <w:pStyle w:val="Compact"/>
              <w:jc w:val="left"/>
            </w:pPr>
            <w:r>
              <w:t xml:space="preserve">:yellow_circle:</w:t>
            </w:r>
          </w:p>
        </w:tc>
        <w:tc>
          <w:tcPr/>
          <w:p>
            <w:pPr>
              <w:pStyle w:val="Compact"/>
              <w:jc w:val="left"/>
            </w:pPr>
            <w:r>
              <w:t xml:space="preserve">:red_circle:</w:t>
            </w:r>
          </w:p>
        </w:tc>
        <w:tc>
          <w:tcPr/>
          <w:p>
            <w:pPr>
              <w:pStyle w:val="Compact"/>
              <w:jc w:val="left"/>
            </w:pPr>
            <w:r>
              <w:t xml:space="preserve">:red_circle:</w:t>
            </w:r>
          </w:p>
        </w:tc>
        <w:tc>
          <w:tcPr/>
          <w:p>
            <w:pPr>
              <w:pStyle w:val="Compact"/>
              <w:jc w:val="left"/>
            </w:pPr>
            <w:r>
              <w:t xml:space="preserve">:green_circle:</w:t>
            </w:r>
          </w:p>
        </w:tc>
        <w:tc>
          <w:tcPr/>
          <w:p>
            <w:pPr>
              <w:pStyle w:val="Compact"/>
              <w:jc w:val="left"/>
            </w:pPr>
            <w:r>
              <w:t xml:space="preserve">:yellow_circle:</w:t>
            </w:r>
          </w:p>
        </w:tc>
        <w:tc>
          <w:tcPr/>
          <w:p>
            <w:pPr>
              <w:pStyle w:val="Compact"/>
              <w:jc w:val="left"/>
            </w:pPr>
            <w:r>
              <w:t xml:space="preserve">:green_circle:</w:t>
            </w:r>
          </w:p>
        </w:tc>
        <w:tc>
          <w:tcPr/>
          <w:p>
            <w:pPr>
              <w:pStyle w:val="Compact"/>
              <w:jc w:val="left"/>
            </w:pPr>
            <w:r>
              <w:t xml:space="preserve">:green_circle:</w:t>
            </w:r>
          </w:p>
        </w:tc>
      </w:tr>
    </w:tbl>
    <w:p>
      <w:r>
        <w:pict>
          <v:rect style="width:0;height:1.5pt" o:hralign="center" o:hrstd="t" o:hr="t"/>
        </w:pict>
      </w:r>
    </w:p>
    <w:p>
      <w:pPr>
        <w:pStyle w:val="FirstParagraph"/>
      </w:pPr>
      <w:r>
        <w:t xml:space="preserve">† Capability: :red_circle: none; :yellow_circle: partial; :green_circle: full</w:t>
      </w:r>
    </w:p>
    <w:bookmarkEnd w:id="112"/>
    <w:bookmarkEnd w:id="113"/>
    <w:bookmarkStart w:id="122" w:name="references"/>
    <w:p>
      <w:pPr>
        <w:pStyle w:val="Heading1"/>
      </w:pPr>
      <w:r>
        <w:t xml:space="preserve">9. References</w:t>
      </w:r>
    </w:p>
    <w:bookmarkStart w:id="121" w:name="r-packages"/>
    <w:p>
      <w:pPr>
        <w:pStyle w:val="Heading2"/>
      </w:pPr>
      <w:r>
        <w:t xml:space="preserve">9.1 R packages</w:t>
      </w:r>
    </w:p>
    <w:p>
      <w:pPr>
        <w:pStyle w:val="Compact"/>
        <w:numPr>
          <w:ilvl w:val="0"/>
          <w:numId w:val="1033"/>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3"/>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3"/>
        </w:numPr>
      </w:pPr>
      <w:r>
        <w:t xml:space="preserve">apps: Shiny</w:t>
      </w:r>
      <w:r>
        <w:t xml:space="preserve"> </w:t>
      </w:r>
      <w:r>
        <w:t xml:space="preserve">(</w:t>
      </w:r>
      <w:hyperlink w:anchor="ref-R-shiny">
        <w:r>
          <w:rPr>
            <w:rStyle w:val="Hyperlink"/>
          </w:rPr>
          <w:t xml:space="preserve">Chang et al. 2024</w:t>
        </w:r>
      </w:hyperlink>
      <w:r>
        <w:t xml:space="preserve">)</w:t>
      </w:r>
    </w:p>
    <w:bookmarkStart w:id="120" w:name="refs"/>
    <w:bookmarkStart w:id="115"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14">
        <w:r>
          <w:rPr>
            <w:rStyle w:val="Hyperlink"/>
          </w:rPr>
          <w:t xml:space="preserve">https://github.com/quarto-dev/quarto-r</w:t>
        </w:r>
      </w:hyperlink>
      <w:r>
        <w:t xml:space="preserve">.</w:t>
      </w:r>
    </w:p>
    <w:bookmarkEnd w:id="115"/>
    <w:bookmarkStart w:id="117"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16">
        <w:r>
          <w:rPr>
            <w:rStyle w:val="Hyperlink"/>
          </w:rPr>
          <w:t xml:space="preserve">https://shiny.posit.co/</w:t>
        </w:r>
      </w:hyperlink>
      <w:r>
        <w:t xml:space="preserve">.</w:t>
      </w:r>
    </w:p>
    <w:bookmarkEnd w:id="117"/>
    <w:bookmarkStart w:id="119"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18">
        <w:r>
          <w:rPr>
            <w:rStyle w:val="Hyperlink"/>
          </w:rPr>
          <w:t xml:space="preserve">https://www.rplumber.io</w:t>
        </w:r>
      </w:hyperlink>
      <w:r>
        <w:t xml:space="preserve">.</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107" Target="media/rId107.png" /><Relationship Type="http://schemas.openxmlformats.org/officeDocument/2006/relationships/hyperlink" Id="rId8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2" Target="https://api.calcofi.io/db_columns" TargetMode="External" /><Relationship Type="http://schemas.openxmlformats.org/officeDocument/2006/relationships/hyperlink" Id="rId71"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03" Target="https://calcofi.io" TargetMode="External" /><Relationship Type="http://schemas.openxmlformats.org/officeDocument/2006/relationships/hyperlink" Id="rId101" Target="https://calcofi.io/calcofi4r" TargetMode="External" /><Relationship Type="http://schemas.openxmlformats.org/officeDocument/2006/relationships/hyperlink" Id="rId73" Target="https://calcofi.io/calcofi4r/reference/cc_db_catalog.html" TargetMode="External" /><Relationship Type="http://schemas.openxmlformats.org/officeDocument/2006/relationships/hyperlink" Id="rId75" Target="https://calcofi.io/workflows/clean_db.html" TargetMode="External" /><Relationship Type="http://schemas.openxmlformats.org/officeDocument/2006/relationships/hyperlink" Id="rId69"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9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5" Target="https://cran.r-project.org/web/packages/units/vignettes/measurement_units_in_R.html" TargetMode="External" /><Relationship Type="http://schemas.openxmlformats.org/officeDocument/2006/relationships/hyperlink" Id="rId94" Target="https://datasetsearch.research.google.com/search?query=calcofi" TargetMode="External" /><Relationship Type="http://schemas.openxmlformats.org/officeDocument/2006/relationships/hyperlink" Id="rId27"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0" Target="https://edirepository.org" TargetMode="External" /><Relationship Type="http://schemas.openxmlformats.org/officeDocument/2006/relationships/hyperlink" Id="rId70"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14" Target="https://github.com/quarto-dev/quarto-r" TargetMode="External" /><Relationship Type="http://schemas.openxmlformats.org/officeDocument/2006/relationships/hyperlink" Id="rId8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87" Target="https://obis.org/datasets" TargetMode="External" /><Relationship Type="http://schemas.openxmlformats.org/officeDocument/2006/relationships/hyperlink" Id="rId90" Target="https://oceanview.pfeg.noaa.gov/erddap/search/index.html?page=1&amp;itemsPerPage=1000&amp;searchFor=seabird+CalCOFI" TargetMode="External" /><Relationship Type="http://schemas.openxmlformats.org/officeDocument/2006/relationships/hyperlink" Id="rId96" Target="https://odis.org" TargetMode="External" /><Relationship Type="http://schemas.openxmlformats.org/officeDocument/2006/relationships/hyperlink" Id="rId60" Target="https://pandas.pydata.org/docs/index.html" TargetMode="External" /><Relationship Type="http://schemas.openxmlformats.org/officeDocument/2006/relationships/hyperlink" Id="rId62" Target="https://pandas.pydata.org/docs/reference/api/pandas.DataFrame.to_csv.html" TargetMode="External" /><Relationship Type="http://schemas.openxmlformats.org/officeDocument/2006/relationships/hyperlink" Id="rId61" Target="https://pandas.pydata.org/docs/reference/api/pandas.read_csv.html" TargetMode="External" /><Relationship Type="http://schemas.openxmlformats.org/officeDocument/2006/relationships/hyperlink" Id="rId67" Target="https://pgadmin.calcofi.io/" TargetMode="External" /><Relationship Type="http://schemas.openxmlformats.org/officeDocument/2006/relationships/hyperlink" Id="rId56" Target="https://postgis.net" TargetMode="External" /><Relationship Type="http://schemas.openxmlformats.org/officeDocument/2006/relationships/hyperlink" Id="rId77" Target="https://postgis.net/docs/ST_Subdivide.html" TargetMode="External" /><Relationship Type="http://schemas.openxmlformats.org/officeDocument/2006/relationships/hyperlink" Id="rId63" Target="https://readr.tidyverse.org/index.html" TargetMode="External" /><Relationship Type="http://schemas.openxmlformats.org/officeDocument/2006/relationships/hyperlink" Id="rId64" Target="https://readr.tidyverse.org/reference/read_delim.html" TargetMode="External" /><Relationship Type="http://schemas.openxmlformats.org/officeDocument/2006/relationships/hyperlink" Id="rId65"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16" Target="https://shiny.posit.co/" TargetMode="External" /><Relationship Type="http://schemas.openxmlformats.org/officeDocument/2006/relationships/hyperlink" Id="rId99" Target="https://tile.calcofi.io" TargetMode="External" /><Relationship Type="http://schemas.openxmlformats.org/officeDocument/2006/relationships/hyperlink" Id="rId8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68"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84" Target="https://www.ncei.noaa.gov/access/search/index?q=CalCOFI" TargetMode="External" /><Relationship Type="http://schemas.openxmlformats.org/officeDocument/2006/relationships/hyperlink" Id="rId83" Target="https://www.ncei.noaa.gov/products/ocean-archive" TargetMode="External" /><Relationship Type="http://schemas.openxmlformats.org/officeDocument/2006/relationships/hyperlink" Id="rId59" Target="https://www.postgresql.org/docs/current/multibyte.html#MULTIBYTE-SETTING" TargetMode="External" /><Relationship Type="http://schemas.openxmlformats.org/officeDocument/2006/relationships/hyperlink" Id="rId118"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8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72" Target="https://api.calcofi.io/db_columns" TargetMode="External" /><Relationship Type="http://schemas.openxmlformats.org/officeDocument/2006/relationships/hyperlink" Id="rId71"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03" Target="https://calcofi.io" TargetMode="External" /><Relationship Type="http://schemas.openxmlformats.org/officeDocument/2006/relationships/hyperlink" Id="rId101" Target="https://calcofi.io/calcofi4r" TargetMode="External" /><Relationship Type="http://schemas.openxmlformats.org/officeDocument/2006/relationships/hyperlink" Id="rId73" Target="https://calcofi.io/calcofi4r/reference/cc_db_catalog.html" TargetMode="External" /><Relationship Type="http://schemas.openxmlformats.org/officeDocument/2006/relationships/hyperlink" Id="rId75" Target="https://calcofi.io/workflows/clean_db.html" TargetMode="External" /><Relationship Type="http://schemas.openxmlformats.org/officeDocument/2006/relationships/hyperlink" Id="rId69"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9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5" Target="https://cran.r-project.org/web/packages/units/vignettes/measurement_units_in_R.html" TargetMode="External" /><Relationship Type="http://schemas.openxmlformats.org/officeDocument/2006/relationships/hyperlink" Id="rId94" Target="https://datasetsearch.research.google.com/search?query=calcofi" TargetMode="External" /><Relationship Type="http://schemas.openxmlformats.org/officeDocument/2006/relationships/hyperlink" Id="rId27"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80" Target="https://edirepository.org" TargetMode="External" /><Relationship Type="http://schemas.openxmlformats.org/officeDocument/2006/relationships/hyperlink" Id="rId70"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114" Target="https://github.com/quarto-dev/quarto-r" TargetMode="External" /><Relationship Type="http://schemas.openxmlformats.org/officeDocument/2006/relationships/hyperlink" Id="rId8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87" Target="https://obis.org/datasets" TargetMode="External" /><Relationship Type="http://schemas.openxmlformats.org/officeDocument/2006/relationships/hyperlink" Id="rId90" Target="https://oceanview.pfeg.noaa.gov/erddap/search/index.html?page=1&amp;itemsPerPage=1000&amp;searchFor=seabird+CalCOFI" TargetMode="External" /><Relationship Type="http://schemas.openxmlformats.org/officeDocument/2006/relationships/hyperlink" Id="rId96" Target="https://odis.org" TargetMode="External" /><Relationship Type="http://schemas.openxmlformats.org/officeDocument/2006/relationships/hyperlink" Id="rId60" Target="https://pandas.pydata.org/docs/index.html" TargetMode="External" /><Relationship Type="http://schemas.openxmlformats.org/officeDocument/2006/relationships/hyperlink" Id="rId62" Target="https://pandas.pydata.org/docs/reference/api/pandas.DataFrame.to_csv.html" TargetMode="External" /><Relationship Type="http://schemas.openxmlformats.org/officeDocument/2006/relationships/hyperlink" Id="rId61" Target="https://pandas.pydata.org/docs/reference/api/pandas.read_csv.html" TargetMode="External" /><Relationship Type="http://schemas.openxmlformats.org/officeDocument/2006/relationships/hyperlink" Id="rId67" Target="https://pgadmin.calcofi.io/" TargetMode="External" /><Relationship Type="http://schemas.openxmlformats.org/officeDocument/2006/relationships/hyperlink" Id="rId56" Target="https://postgis.net" TargetMode="External" /><Relationship Type="http://schemas.openxmlformats.org/officeDocument/2006/relationships/hyperlink" Id="rId77" Target="https://postgis.net/docs/ST_Subdivide.html" TargetMode="External" /><Relationship Type="http://schemas.openxmlformats.org/officeDocument/2006/relationships/hyperlink" Id="rId63" Target="https://readr.tidyverse.org/index.html" TargetMode="External" /><Relationship Type="http://schemas.openxmlformats.org/officeDocument/2006/relationships/hyperlink" Id="rId64" Target="https://readr.tidyverse.org/reference/read_delim.html" TargetMode="External" /><Relationship Type="http://schemas.openxmlformats.org/officeDocument/2006/relationships/hyperlink" Id="rId65"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16" Target="https://shiny.posit.co/" TargetMode="External" /><Relationship Type="http://schemas.openxmlformats.org/officeDocument/2006/relationships/hyperlink" Id="rId99" Target="https://tile.calcofi.io" TargetMode="External" /><Relationship Type="http://schemas.openxmlformats.org/officeDocument/2006/relationships/hyperlink" Id="rId8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68"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84" Target="https://www.ncei.noaa.gov/access/search/index?q=CalCOFI" TargetMode="External" /><Relationship Type="http://schemas.openxmlformats.org/officeDocument/2006/relationships/hyperlink" Id="rId83" Target="https://www.ncei.noaa.gov/products/ocean-archive" TargetMode="External" /><Relationship Type="http://schemas.openxmlformats.org/officeDocument/2006/relationships/hyperlink" Id="rId59" Target="https://www.postgresql.org/docs/current/multibyte.html#MULTIBYTE-SETTING" TargetMode="External" /><Relationship Type="http://schemas.openxmlformats.org/officeDocument/2006/relationships/hyperlink" Id="rId118"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2024-11-22T17:27:24Z</dcterms:created>
  <dcterms:modified xsi:type="dcterms:W3CDTF">2024-11-22T17:27:24Z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2024-11-22</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