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6"/>
          <w:szCs w:val="36"/>
        </w:rPr>
        <w:t xml:space="preserve">RAPPORT D'ACTIVITÉ</w:t>
      </w:r>
    </w:p>
    <w:p>
      <w:pPr>
        <w:spacing w:after="60"/>
      </w:pPr>
      <w:r>
        <w:rPr>
          <w:b/>
          <w:bCs/>
          <w:color w:val="2563eb"/>
          <w:sz w:val="24"/>
          <w:szCs w:val="24"/>
        </w:rPr>
        <w:t xml:space="preserve">Cleaning App</w:t>
      </w:r>
    </w:p>
    <w:p>
      <w:pPr>
        <w:spacing w:after="300"/>
      </w:pPr>
      <w:r>
        <w:rPr>
          <w:color w:val="666666"/>
          <w:sz w:val="18"/>
          <w:szCs w:val="18"/>
        </w:rPr>
        <w:t xml:space="preserve">1 journée(s) de travail — cumul : 5 h 05</w:t>
      </w:r>
    </w:p>
    <w:p>
      <w:pPr>
        <w:pStyle w:val="Heading1"/>
        <w:spacing w:after="140" w:before="320"/>
      </w:pPr>
      <w:r>
        <w:rPr>
          <w:b/>
          <w:bCs/>
          <w:color w:val="1a1a1a"/>
          <w:sz w:val="28"/>
          <w:szCs w:val="28"/>
        </w:rPr>
        <w:t xml:space="preserve">Journée du mardi 18 août 2026</w:t>
      </w:r>
    </w:p>
    <w:p>
      <w:pPr>
        <w:spacing w:after="120"/>
      </w:pPr>
      <w:r>
        <w:rPr>
          <w:color w:val="1a1a1a"/>
          <w:sz w:val="21"/>
          <w:szCs w:val="21"/>
        </w:rPr>
        <w:t xml:space="preserve">Mise en place complète du squelette applicatif de Cleaning App : app web Next.js (planning, tâches, photos, notifications) avec dashboard admin dédié, base de données et authentification Supabase (Google OAuth + email/mot de passe), coquilles natives iOS et Android via Capacitor, déploiement GitHub → Vercel, et configuration production de bout en bout (Supabase, Google Cloud OAuth) — vérifiée par une connexion réelle et la promotion du premier compte admin.</w:t>
      </w:r>
    </w:p>
    <w:p>
      <w:pPr>
        <w:pStyle w:val="Heading2"/>
        <w:spacing w:after="100" w:before="200"/>
      </w:pPr>
      <w:r>
        <w:rPr>
          <w:b/>
          <w:bCs/>
          <w:color w:val="2563eb"/>
          <w:sz w:val="22"/>
          <w:szCs w:val="22"/>
        </w:rPr>
        <w:t xml:space="preserve">Détail des blocs de travail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5200"/>
        <w:gridCol w:w="1400"/>
      </w:tblGrid>
      <w:tr>
        <w:trPr>
          <w:tblHeader/>
        </w:trPr>
        <w:tc>
          <w:tcPr>
            <w:tcW w:type="dxa" w:w="3000"/>
            <w:shd w:fill="1a1a1a" w:val="clear"/>
            <w:tcMar>
              <w:top w:type="dxa" w:w="100"/>
              <w:left w:type="dxa" w:w="120"/>
              <w:bottom w:type="dxa" w:w="100"/>
              <w:right w:type="dxa" w:w="120"/>
            </w:tcMar>
          </w:tcPr>
          <w:p>
            <w:pPr>
              <w:jc w:val="left"/>
            </w:pPr>
            <w:r>
              <w:rPr>
                <w:b/>
                <w:bCs/>
                <w:color w:val="FFFFFF"/>
                <w:sz w:val="20"/>
                <w:szCs w:val="20"/>
              </w:rPr>
              <w:t xml:space="preserve">Bloc de travail</w:t>
            </w:r>
          </w:p>
        </w:tc>
        <w:tc>
          <w:tcPr>
            <w:tcW w:type="dxa" w:w="5200"/>
            <w:shd w:fill="1a1a1a" w:val="clear"/>
            <w:tcMar>
              <w:top w:type="dxa" w:w="100"/>
              <w:left w:type="dxa" w:w="120"/>
              <w:bottom w:type="dxa" w:w="100"/>
              <w:right w:type="dxa" w:w="120"/>
            </w:tcMar>
          </w:tcPr>
          <w:p>
            <w:pPr>
              <w:jc w:val="left"/>
            </w:pPr>
            <w:r>
              <w:rPr>
                <w:b/>
                <w:bCs/>
                <w:color w:val="FFFFFF"/>
                <w:sz w:val="20"/>
                <w:szCs w:val="20"/>
              </w:rPr>
              <w:t xml:space="preserve">Détail</w:t>
            </w:r>
          </w:p>
        </w:tc>
        <w:tc>
          <w:tcPr>
            <w:tcW w:type="dxa" w:w="1400"/>
            <w:shd w:fill="1a1a1a" w:val="clear"/>
            <w:tcMar>
              <w:top w:type="dxa" w:w="100"/>
              <w:left w:type="dxa" w:w="120"/>
              <w:bottom w:type="dxa" w:w="100"/>
              <w:right w:type="dxa" w:w="120"/>
            </w:tcMar>
          </w:tcPr>
          <w:p>
            <w:pPr>
              <w:jc w:val="center"/>
            </w:pPr>
            <w:r>
              <w:rPr>
                <w:b/>
                <w:bCs/>
                <w:color w:val="FFFFFF"/>
                <w:sz w:val="20"/>
                <w:szCs w:val="20"/>
              </w:rPr>
              <w:t xml:space="preserve">Temps</w:t>
            </w:r>
          </w:p>
        </w:tc>
      </w:tr>
      <w:tr>
        <w:tc>
          <w:tcPr>
            <w:tcW w:type="dxa" w:w="3000"/>
            <w:tcMar>
              <w:top w:type="dxa" w:w="100"/>
              <w:left w:type="dxa" w:w="120"/>
              <w:bottom w:type="dxa" w:w="100"/>
              <w:right w:type="dxa" w:w="120"/>
            </w:tcMar>
          </w:tcPr>
          <w:p>
            <w:pPr>
              <w:jc w:val="left"/>
            </w:pPr>
            <w:r>
              <w:rPr>
                <w:b/>
                <w:bCs/>
                <w:color w:val="1a1a1a"/>
                <w:sz w:val="20"/>
                <w:szCs w:val="20"/>
              </w:rPr>
              <w:t xml:space="preserve">Cadrage &amp; architecture</w:t>
            </w:r>
          </w:p>
        </w:tc>
        <w:tc>
          <w:tcPr>
            <w:tcW w:type="dxa" w:w="5200"/>
            <w:tcMar>
              <w:top w:type="dxa" w:w="100"/>
              <w:left w:type="dxa" w:w="120"/>
              <w:bottom w:type="dxa" w:w="100"/>
              <w:right w:type="dxa" w:w="120"/>
            </w:tcMar>
          </w:tcPr>
          <w:p>
            <w:pPr>
              <w:jc w:val="left"/>
            </w:pPr>
            <w:r>
              <w:rPr>
                <w:b w:val="false"/>
                <w:bCs w:val="false"/>
                <w:color w:val="1a1a1a"/>
                <w:sz w:val="20"/>
                <w:szCs w:val="20"/>
              </w:rPr>
              <w:t xml:space="preserve">Choix techniques : Capacitor mono-codebase, comptes Apple/Google en attente, Supabase existant vs nouveau, portée de la session.</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15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Setup environnement</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Installation Node 24 (nvm), scaffold Next.js 16 / TypeScript / Tailwind 4.</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10 min</w:t>
            </w:r>
          </w:p>
        </w:tc>
      </w:tr>
      <w:tr>
        <w:tc>
          <w:tcPr>
            <w:tcW w:type="dxa" w:w="3000"/>
            <w:tcMar>
              <w:top w:type="dxa" w:w="100"/>
              <w:left w:type="dxa" w:w="120"/>
              <w:bottom w:type="dxa" w:w="100"/>
              <w:right w:type="dxa" w:w="120"/>
            </w:tcMar>
          </w:tcPr>
          <w:p>
            <w:pPr>
              <w:jc w:val="left"/>
            </w:pPr>
            <w:r>
              <w:rPr>
                <w:b/>
                <w:bCs/>
                <w:color w:val="1a1a1a"/>
                <w:sz w:val="20"/>
                <w:szCs w:val="20"/>
              </w:rPr>
              <w:t xml:space="preserve">Modèle de données &amp; sécurité</w:t>
            </w:r>
          </w:p>
        </w:tc>
        <w:tc>
          <w:tcPr>
            <w:tcW w:type="dxa" w:w="5200"/>
            <w:tcMar>
              <w:top w:type="dxa" w:w="100"/>
              <w:left w:type="dxa" w:w="120"/>
              <w:bottom w:type="dxa" w:w="100"/>
              <w:right w:type="dxa" w:w="120"/>
            </w:tcMar>
          </w:tcPr>
          <w:p>
            <w:pPr>
              <w:jc w:val="left"/>
            </w:pPr>
            <w:r>
              <w:rPr>
                <w:b w:val="false"/>
                <w:bCs w:val="false"/>
                <w:color w:val="1a1a1a"/>
                <w:sz w:val="20"/>
                <w:szCs w:val="20"/>
              </w:rPr>
              <w:t xml:space="preserve">Schéma SQL complet (profils, appartements, tâches, photos, notifications, log d'activité), policies RLS, bucket de stockage privé.</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Authentification</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Connexion Google OAuth + email/mot de passe, middleware de protection des routes, traçabilité des connexions.</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25 min</w:t>
            </w:r>
          </w:p>
        </w:tc>
      </w:tr>
      <w:tr>
        <w:tc>
          <w:tcPr>
            <w:tcW w:type="dxa" w:w="3000"/>
            <w:tcMar>
              <w:top w:type="dxa" w:w="100"/>
              <w:left w:type="dxa" w:w="120"/>
              <w:bottom w:type="dxa" w:w="100"/>
              <w:right w:type="dxa" w:w="120"/>
            </w:tcMar>
          </w:tcPr>
          <w:p>
            <w:pPr>
              <w:jc w:val="left"/>
            </w:pPr>
            <w:r>
              <w:rPr>
                <w:b/>
                <w:bCs/>
                <w:color w:val="1a1a1a"/>
                <w:sz w:val="20"/>
                <w:szCs w:val="20"/>
              </w:rPr>
              <w:t xml:space="preserve">Interface employé</w:t>
            </w:r>
          </w:p>
        </w:tc>
        <w:tc>
          <w:tcPr>
            <w:tcW w:type="dxa" w:w="5200"/>
            <w:tcMar>
              <w:top w:type="dxa" w:w="100"/>
              <w:left w:type="dxa" w:w="120"/>
              <w:bottom w:type="dxa" w:w="100"/>
              <w:right w:type="dxa" w:w="120"/>
            </w:tcMar>
          </w:tcPr>
          <w:p>
            <w:pPr>
              <w:jc w:val="left"/>
            </w:pPr>
            <w:r>
              <w:rPr>
                <w:b w:val="false"/>
                <w:bCs w:val="false"/>
                <w:color w:val="1a1a1a"/>
                <w:sz w:val="20"/>
                <w:szCs w:val="20"/>
              </w:rPr>
              <w:t xml:space="preserve">Planning du jour, détail de tâche, upload photo, changement de statut, liste de notifications.</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35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Interface admin</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Vue d'ensemble, gestion planning/appartements/équipe, envoi de notifications, activité en temps réel.</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45 min</w:t>
            </w:r>
          </w:p>
        </w:tc>
      </w:tr>
      <w:tr>
        <w:tc>
          <w:tcPr>
            <w:tcW w:type="dxa" w:w="3000"/>
            <w:tcMar>
              <w:top w:type="dxa" w:w="100"/>
              <w:left w:type="dxa" w:w="120"/>
              <w:bottom w:type="dxa" w:w="100"/>
              <w:right w:type="dxa" w:w="120"/>
            </w:tcMar>
          </w:tcPr>
          <w:p>
            <w:pPr>
              <w:jc w:val="left"/>
            </w:pPr>
            <w:r>
              <w:rPr>
                <w:b/>
                <w:bCs/>
                <w:color w:val="1a1a1a"/>
                <w:sz w:val="20"/>
                <w:szCs w:val="20"/>
              </w:rPr>
              <w:t xml:space="preserve">Vérifications &amp; migration technique</w:t>
            </w:r>
          </w:p>
        </w:tc>
        <w:tc>
          <w:tcPr>
            <w:tcW w:type="dxa" w:w="5200"/>
            <w:tcMar>
              <w:top w:type="dxa" w:w="100"/>
              <w:left w:type="dxa" w:w="120"/>
              <w:bottom w:type="dxa" w:w="100"/>
              <w:right w:type="dxa" w:w="120"/>
            </w:tcMar>
          </w:tcPr>
          <w:p>
            <w:pPr>
              <w:jc w:val="left"/>
            </w:pPr>
            <w:r>
              <w:rPr>
                <w:b w:val="false"/>
                <w:bCs w:val="false"/>
                <w:color w:val="1a1a1a"/>
                <w:sz w:val="20"/>
                <w:szCs w:val="20"/>
              </w:rPr>
              <w:t xml:space="preserve">Build/lint/typecheck, migration vers la convention Next.js 16 (proxy).</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15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Intégration mobile</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Génération des projets natifs iOS (Xcode) et Android (Android Studio) via Capacitor.</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tcMar>
              <w:top w:type="dxa" w:w="100"/>
              <w:left w:type="dxa" w:w="120"/>
              <w:bottom w:type="dxa" w:w="100"/>
              <w:right w:type="dxa" w:w="120"/>
            </w:tcMar>
          </w:tcPr>
          <w:p>
            <w:pPr>
              <w:jc w:val="left"/>
            </w:pPr>
            <w:r>
              <w:rPr>
                <w:b/>
                <w:bCs/>
                <w:color w:val="1a1a1a"/>
                <w:sz w:val="20"/>
                <w:szCs w:val="20"/>
              </w:rPr>
              <w:t xml:space="preserve">Mise en ligne</w:t>
            </w:r>
          </w:p>
        </w:tc>
        <w:tc>
          <w:tcPr>
            <w:tcW w:type="dxa" w:w="5200"/>
            <w:tcMar>
              <w:top w:type="dxa" w:w="100"/>
              <w:left w:type="dxa" w:w="120"/>
              <w:bottom w:type="dxa" w:w="100"/>
              <w:right w:type="dxa" w:w="120"/>
            </w:tcMar>
          </w:tcPr>
          <w:p>
            <w:pPr>
              <w:jc w:val="left"/>
            </w:pPr>
            <w:r>
              <w:rPr>
                <w:b w:val="false"/>
                <w:bCs w:val="false"/>
                <w:color w:val="1a1a1a"/>
                <w:sz w:val="20"/>
                <w:szCs w:val="20"/>
              </w:rPr>
              <w:t xml:space="preserve">Création repo GitHub, création et liaison du projet Vercel, premier déploiement.</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Configuration Supabase (prod)</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Création d'un projet Supabase dédié, correction d'une confusion avec un autre projet existant, exécution de la migration SQL en direct.</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25 min</w:t>
            </w:r>
          </w:p>
        </w:tc>
      </w:tr>
      <w:tr>
        <w:tc>
          <w:tcPr>
            <w:tcW w:type="dxa" w:w="3000"/>
            <w:tcMar>
              <w:top w:type="dxa" w:w="100"/>
              <w:left w:type="dxa" w:w="120"/>
              <w:bottom w:type="dxa" w:w="100"/>
              <w:right w:type="dxa" w:w="120"/>
            </w:tcMar>
          </w:tcPr>
          <w:p>
            <w:pPr>
              <w:jc w:val="left"/>
            </w:pPr>
            <w:r>
              <w:rPr>
                <w:b/>
                <w:bCs/>
                <w:color w:val="1a1a1a"/>
                <w:sz w:val="20"/>
                <w:szCs w:val="20"/>
              </w:rPr>
              <w:t xml:space="preserve">Configuration Google OAuth</w:t>
            </w:r>
          </w:p>
        </w:tc>
        <w:tc>
          <w:tcPr>
            <w:tcW w:type="dxa" w:w="5200"/>
            <w:tcMar>
              <w:top w:type="dxa" w:w="100"/>
              <w:left w:type="dxa" w:w="120"/>
              <w:bottom w:type="dxa" w:w="100"/>
              <w:right w:type="dxa" w:w="120"/>
            </w:tcMar>
          </w:tcPr>
          <w:p>
            <w:pPr>
              <w:jc w:val="left"/>
            </w:pPr>
            <w:r>
              <w:rPr>
                <w:b w:val="false"/>
                <w:bCs w:val="false"/>
                <w:color w:val="1a1a1a"/>
                <w:sz w:val="20"/>
                <w:szCs w:val="20"/>
              </w:rPr>
              <w:t xml:space="preserve">Création du projet Google Cloud, écran de consentement, client OAuth, intégration dans Supabase.</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35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Débogage &amp; tests réels</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Correction d'un bug de redirection post-connexion (Site URL Supabase), test de connexion réel, promotion du compte admin.</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25 min</w:t>
            </w:r>
          </w:p>
        </w:tc>
      </w:tr>
      <w:tr>
        <w:tc>
          <w:tcPr>
            <w:tcW w:type="dxa" w:w="3000"/>
            <w:tcMar>
              <w:top w:type="dxa" w:w="100"/>
              <w:left w:type="dxa" w:w="120"/>
              <w:bottom w:type="dxa" w:w="100"/>
              <w:right w:type="dxa" w:w="120"/>
            </w:tcMar>
          </w:tcPr>
          <w:p>
            <w:pPr>
              <w:jc w:val="left"/>
            </w:pPr>
            <w:r>
              <w:rPr>
                <w:b/>
                <w:bCs/>
                <w:color w:val="1a1a1a"/>
                <w:sz w:val="20"/>
                <w:szCs w:val="20"/>
              </w:rPr>
              <w:t xml:space="preserve">Ajustements finaux</w:t>
            </w:r>
          </w:p>
        </w:tc>
        <w:tc>
          <w:tcPr>
            <w:tcW w:type="dxa" w:w="5200"/>
            <w:tcMar>
              <w:top w:type="dxa" w:w="100"/>
              <w:left w:type="dxa" w:w="120"/>
              <w:bottom w:type="dxa" w:w="100"/>
              <w:right w:type="dxa" w:w="120"/>
            </w:tcMar>
          </w:tcPr>
          <w:p>
            <w:pPr>
              <w:jc w:val="left"/>
            </w:pPr>
            <w:r>
              <w:rPr>
                <w:b w:val="false"/>
                <w:bCs w:val="false"/>
                <w:color w:val="1a1a1a"/>
                <w:sz w:val="20"/>
                <w:szCs w:val="20"/>
              </w:rPr>
              <w:t xml:space="preserve">Ajout d'une utilisatrice test, nettoyage des fichiers de projet IDE, commits, mise en place de cette documentation.</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15 min</w:t>
            </w:r>
          </w:p>
        </w:tc>
      </w:tr>
      <w:tr>
        <w:tc>
          <w:tcPr>
            <w:tcW w:type="dxa" w:w="3000"/>
            <w:shd w:fill="DBEAFE" w:val="clear"/>
            <w:tcMar>
              <w:top w:type="dxa" w:w="100"/>
              <w:left w:type="dxa" w:w="120"/>
              <w:bottom w:type="dxa" w:w="100"/>
              <w:right w:type="dxa" w:w="120"/>
            </w:tcMar>
          </w:tcPr>
          <w:p>
            <w:pPr>
              <w:jc w:val="left"/>
            </w:pPr>
            <w:r>
              <w:rPr>
                <w:b/>
                <w:bCs/>
                <w:color w:val="1a1a1a"/>
                <w:sz w:val="20"/>
                <w:szCs w:val="20"/>
              </w:rPr>
              <w:t xml:space="preserve">Total journée</w:t>
            </w:r>
          </w:p>
        </w:tc>
        <w:tc>
          <w:tcPr>
            <w:tcW w:type="dxa" w:w="5200"/>
            <w:shd w:fill="DBEAFE" w:val="clear"/>
            <w:tcMar>
              <w:top w:type="dxa" w:w="100"/>
              <w:left w:type="dxa" w:w="120"/>
              <w:bottom w:type="dxa" w:w="100"/>
              <w:right w:type="dxa" w:w="120"/>
            </w:tcMar>
          </w:tcPr>
          <w:p>
            <w:pPr>
              <w:jc w:val="left"/>
            </w:pPr>
            <w:r>
              <w:rPr>
                <w:b w:val="false"/>
                <w:bCs w:val="false"/>
                <w:color w:val="1a1a1a"/>
                <w:sz w:val="20"/>
                <w:szCs w:val="20"/>
              </w:rPr>
              <w:t xml:space="preserve"/>
            </w:r>
          </w:p>
        </w:tc>
        <w:tc>
          <w:tcPr>
            <w:tcW w:type="dxa" w:w="1400"/>
            <w:shd w:fill="DBEAFE" w:val="clear"/>
            <w:tcMar>
              <w:top w:type="dxa" w:w="100"/>
              <w:left w:type="dxa" w:w="120"/>
              <w:bottom w:type="dxa" w:w="100"/>
              <w:right w:type="dxa" w:w="120"/>
            </w:tcMar>
          </w:tcPr>
          <w:p>
            <w:pPr>
              <w:jc w:val="center"/>
            </w:pPr>
            <w:r>
              <w:rPr>
                <w:b/>
                <w:bCs/>
                <w:color w:val="1a1a1a"/>
                <w:sz w:val="20"/>
                <w:szCs w:val="20"/>
              </w:rPr>
              <w:t xml:space="preserve">5 h 05</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200"/>
        <w:gridCol w:w="1400"/>
      </w:tblGrid>
      <w:tr>
        <w:tc>
          <w:tcPr>
            <w:tcW w:type="dxa" w:w="8200"/>
            <w:shd w:fill="2563eb" w:val="clear"/>
            <w:tcMar>
              <w:top w:type="dxa" w:w="100"/>
              <w:left w:type="dxa" w:w="120"/>
              <w:bottom w:type="dxa" w:w="100"/>
              <w:right w:type="dxa" w:w="120"/>
            </w:tcMar>
          </w:tcPr>
          <w:p>
            <w:pPr>
              <w:jc w:val="left"/>
            </w:pPr>
            <w:r>
              <w:rPr>
                <w:b/>
                <w:bCs/>
                <w:color w:val="FFFFFF"/>
                <w:sz w:val="20"/>
                <w:szCs w:val="20"/>
              </w:rPr>
              <w:t xml:space="preserve">Cumul toutes journées</w:t>
            </w:r>
          </w:p>
        </w:tc>
        <w:tc>
          <w:tcPr>
            <w:tcW w:type="dxa" w:w="1400"/>
            <w:shd w:fill="2563eb" w:val="clear"/>
            <w:tcMar>
              <w:top w:type="dxa" w:w="100"/>
              <w:left w:type="dxa" w:w="120"/>
              <w:bottom w:type="dxa" w:w="100"/>
              <w:right w:type="dxa" w:w="120"/>
            </w:tcMar>
          </w:tcPr>
          <w:p>
            <w:pPr>
              <w:jc w:val="center"/>
            </w:pPr>
            <w:r>
              <w:rPr>
                <w:b/>
                <w:bCs/>
                <w:color w:val="FFFFFF"/>
                <w:sz w:val="20"/>
                <w:szCs w:val="20"/>
              </w:rPr>
              <w:t xml:space="preserve">5 h 05</w:t>
            </w:r>
          </w:p>
        </w:tc>
      </w:tr>
    </w:tbl>
    <w:p>
      <w:pPr>
        <w:spacing w:after="120"/>
      </w:pPr>
      <w:r>
        <w:rPr>
          <w:i/>
          <w:iCs/>
          <w:color w:val="666666"/>
          <w:sz w:val="19"/>
          <w:szCs w:val="19"/>
        </w:rPr>
        <w:t xml:space="preserve">Les temps sont reconstruits a posteriori à partir de l'historique Git et des horodatages des ressources créées (Supabase, Google Cloud), complétés par une estimation raisonnable de la complexité de chaque bloc. Ce n'est pas un chronométrage minute par minute : à utiliser comme base de discussion pour un devis, à ajuster selon votre propre référentiel de facturation.</w:t>
      </w:r>
    </w:p>
    <w:sectPr>
      <w:headerReference w:type="default" r:id="rId7"/>
      <w:footerReference w:type="default" r:id="rId8"/>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Cleaning App — Rapport d'activité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2026-08-19T09:19:43.699Z</dcterms:created>
  <dcterms:modified xsi:type="dcterms:W3CDTF">2026-08-19T09:19:43.699Z</dcterms:modified>
</cp:coreProperties>
</file>

<file path=docProps/custom.xml><?xml version="1.0" encoding="utf-8"?>
<Properties xmlns="http://schemas.openxmlformats.org/officeDocument/2006/custom-properties" xmlns:vt="http://schemas.openxmlformats.org/officeDocument/2006/docPropsVTypes"/>
</file>