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00" w:type="dxa"/>
          <w:left w:w="300" w:type="dxa"/>
          <w:bottom w:w="300" w:type="dxa"/>
          <w:right w:w="300" w:type="dxa"/>
        </w:tblCellMar>
      </w:tblPr>
      <w:tblGrid>
        <w:gridCol w:w="9412"/>
      </w:tblGrid>
      <w:tr>
        <w:tc>
          <w:tcPr>
            <w:tcW w:type="dxa" w:w="9411"/>
            <w:shd w:val="clear" w:color="auto" w:fill="1F3864"/>
          </w:tcPr>
          <w:p>
            <w:pPr>
              <w:spacing w:after="120"/>
            </w:pPr>
            <w:r>
              <w:rPr>
                <w:b/>
                <w:i w:val="0"/>
                <w:color w:val="FFFFFF"/>
                <w:sz w:val="56"/>
              </w:rPr>
              <w:t>INFORME FINAL DEL PROYECTO</w:t>
            </w:r>
          </w:p>
          <w:p>
            <w:r>
              <w:rPr>
                <w:b w:val="0"/>
                <w:i w:val="0"/>
                <w:color w:val="C9D6EC"/>
                <w:sz w:val="28"/>
              </w:rPr>
              <w:t>Clasificación y segmentación de tumores cerebrales — Sprints 1 a 3</w:t>
            </w:r>
          </w:p>
        </w:tc>
      </w:tr>
    </w:tbl>
    <w:p/>
    <w:p>
      <w:pPr>
        <w:spacing w:after="280"/>
      </w:pPr>
      <w:r>
        <w:rPr>
          <w:b/>
          <w:i w:val="0"/>
          <w:color w:val="1F3864"/>
          <w:sz w:val="26"/>
        </w:rPr>
        <w:t>Desarrollo de un Sistema Inteligente para clasificar y segmentar tumores cerebrales en resonancias magnéticas, desplegado en un prototipo de sistema web de apoyo al diagnóstico (demostración académica).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551"/>
        <w:gridCol w:w="6860"/>
      </w:tblGrid>
      <w:tr>
        <w:tc>
          <w:tcPr>
            <w:tcW w:type="dxa" w:w="2551"/>
            <w:shd w:val="clear" w:color="auto" w:fill="1F3864"/>
          </w:tcPr>
          <w:p>
            <w:pPr>
              <w:spacing w:after="0" w:line="252" w:lineRule="auto"/>
            </w:pPr>
            <w:r>
              <w:rPr>
                <w:b/>
                <w:i w:val="0"/>
                <w:color w:val="FFFFFF"/>
                <w:sz w:val="18"/>
              </w:rPr>
              <w:t>Proyecto</w:t>
            </w:r>
          </w:p>
        </w:tc>
        <w:tc>
          <w:tcPr>
            <w:tcW w:type="dxa" w:w="6860"/>
            <w:shd w:val="clear" w:color="auto" w:fill="1F3864"/>
          </w:tcPr>
          <w:p>
            <w:pPr>
              <w:spacing w:after="0" w:line="252" w:lineRule="auto"/>
            </w:pPr>
            <w:r>
              <w:rPr>
                <w:b/>
                <w:i w:val="0"/>
                <w:color w:val="FFFFFF"/>
                <w:sz w:val="18"/>
              </w:rPr>
              <w:t>Redes Neuronales – Opción B (Ingeniería de Sistemas, Inteligencia Artificial)</w:t>
            </w:r>
          </w:p>
        </w:tc>
      </w:tr>
      <w:tr>
        <w:tc>
          <w:tcPr>
            <w:tcW w:type="dxa" w:w="2551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Metodología</w:t>
            </w:r>
          </w:p>
        </w:tc>
        <w:tc>
          <w:tcPr>
            <w:tcW w:type="dxa" w:w="6860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Híbrida: Scrum + CRISP-ML(Q)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Sprint 3</w:t>
            </w:r>
          </w:p>
        </w:tc>
        <w:tc>
          <w:tcPr>
            <w:tcW w:type="dxa" w:w="6860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Evaluación, despliegue y cierre · presentación final 30 oct 2026</w:t>
            </w:r>
          </w:p>
        </w:tc>
      </w:tr>
      <w:tr>
        <w:tc>
          <w:tcPr>
            <w:tcW w:type="dxa" w:w="2551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Docente revisor</w:t>
            </w:r>
          </w:p>
        </w:tc>
        <w:tc>
          <w:tcPr>
            <w:tcW w:type="dxa" w:w="6860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Ing. Hugo Espetia Huamanga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Dataset</w:t>
            </w:r>
          </w:p>
        </w:tc>
        <w:tc>
          <w:tcPr>
            <w:tcW w:type="dxa" w:w="6860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BRISC 2025 (Kaggle, CC BY 4.0) — 6.000 imágenes, 4.793 máscaras</w:t>
            </w:r>
          </w:p>
        </w:tc>
      </w:tr>
      <w:tr>
        <w:tc>
          <w:tcPr>
            <w:tcW w:type="dxa" w:w="2551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Repositorio</w:t>
            </w:r>
          </w:p>
        </w:tc>
        <w:tc>
          <w:tcPr>
            <w:tcW w:type="dxa" w:w="6860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github.com/Calamar49/CNN-BRISC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5669"/>
        <w:gridCol w:w="3742"/>
      </w:tblGrid>
      <w:tr>
        <w:tc>
          <w:tcPr>
            <w:tcW w:type="dxa" w:w="5669"/>
            <w:shd w:val="clear" w:color="auto" w:fill="1F3864"/>
          </w:tcPr>
          <w:p>
            <w:pPr>
              <w:spacing w:after="0" w:line="252" w:lineRule="auto"/>
            </w:pPr>
            <w:r>
              <w:rPr>
                <w:b/>
                <w:i w:val="0"/>
                <w:color w:val="FFFFFF"/>
                <w:sz w:val="18"/>
              </w:rPr>
              <w:t>Integrante</w:t>
            </w:r>
          </w:p>
        </w:tc>
        <w:tc>
          <w:tcPr>
            <w:tcW w:type="dxa" w:w="3742"/>
            <w:shd w:val="clear" w:color="auto" w:fill="1F3864"/>
          </w:tcPr>
          <w:p>
            <w:pPr>
              <w:spacing w:after="0" w:line="252" w:lineRule="auto"/>
            </w:pPr>
            <w:r>
              <w:rPr>
                <w:b/>
                <w:i w:val="0"/>
                <w:color w:val="FFFFFF"/>
                <w:sz w:val="18"/>
              </w:rPr>
              <w:t>Rol</w:t>
            </w:r>
          </w:p>
        </w:tc>
      </w:tr>
      <w:tr>
        <w:tc>
          <w:tcPr>
            <w:tcW w:type="dxa" w:w="5669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Coavoy Cruz Joseph Gabriel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Gerente de Proyecto</w:t>
            </w:r>
          </w:p>
        </w:tc>
      </w:tr>
      <w:tr>
        <w:tc>
          <w:tcPr>
            <w:tcW w:type="dxa" w:w="5669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Cuchuyrrumi Mamani Manuel Rodrigo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Scrum Master</w:t>
            </w:r>
          </w:p>
        </w:tc>
      </w:tr>
      <w:tr>
        <w:tc>
          <w:tcPr>
            <w:tcW w:type="dxa" w:w="5669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Huallpatuiro Rafaile Brayan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Equipo de desarrollo</w:t>
            </w:r>
          </w:p>
        </w:tc>
      </w:tr>
      <w:tr>
        <w:tc>
          <w:tcPr>
            <w:tcW w:type="dxa" w:w="5669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Mamani Acuña Frank Joseph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Equipo de desarrollo</w:t>
            </w:r>
          </w:p>
        </w:tc>
      </w:tr>
    </w:tbl>
    <w:p>
      <w:pPr>
        <w:spacing w:after="40"/>
      </w:pPr>
    </w:p>
    <w:p>
      <w:r>
        <w:rPr>
          <w:b w:val="0"/>
          <w:i/>
          <w:color w:val="595959"/>
          <w:sz w:val="19"/>
        </w:rPr>
        <w:t>Demostración académica; no es una herramienta de diagnóstico médico. Todos los números provienen de mediciones reales del equipo (ver evaluacion_prueba.json y registro_modelos.json); las cifras del artículo de BRISC se citan como tales. La prueba oficial se evaluó una sola vez.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b w:val="0"/>
          <w:i w:val="0"/>
        </w:rPr>
        <w:t xml:space="preserve">El proyecto construyó un sistema que, dada una resonancia magnética cerebral (T1 con contraste), </w:t>
      </w:r>
      <w:r>
        <w:rPr>
          <w:b/>
          <w:i w:val="0"/>
        </w:rPr>
        <w:t>clasifica</w:t>
      </w:r>
      <w:r>
        <w:rPr>
          <w:b w:val="0"/>
          <w:i w:val="0"/>
        </w:rPr>
        <w:t xml:space="preserve"> el tipo de tumor (glioma, meningioma, tumor de hipófisis o sin tumor) y </w:t>
      </w:r>
      <w:r>
        <w:rPr>
          <w:b/>
          <w:i w:val="0"/>
        </w:rPr>
        <w:t>segmenta</w:t>
      </w:r>
      <w:r>
        <w:rPr>
          <w:b w:val="0"/>
          <w:i w:val="0"/>
        </w:rPr>
        <w:t xml:space="preserve"> su contorno, y lo mostró en un </w:t>
      </w:r>
      <w:r>
        <w:rPr>
          <w:b/>
          <w:i w:val="0"/>
        </w:rPr>
        <w:t>prototipo de sistema web de apoyo al diagnóstico</w:t>
      </w:r>
      <w:r>
        <w:rPr>
          <w:b w:val="0"/>
          <w:i w:val="0"/>
        </w:rPr>
        <w:t>. El trabajo siguió Scrum + CRISP-ML(Q) en tres sprints: comprensión del negocio y los datos (Sprint 1), modelado (Sprint 2) y evaluación y despliegue (Sprint 3).</w:t>
      </w:r>
    </w:p>
    <w:p>
      <w:pPr>
        <w:pStyle w:val="ListBullet"/>
        <w:spacing w:after="60"/>
        <w:ind w:left="357" w:hanging="283"/>
      </w:pPr>
      <w:r>
        <w:rPr>
          <w:b/>
          <w:i w:val="0"/>
        </w:rPr>
        <w:t>Evaluación en la prueba oficial (HU12), una sola vez:</w:t>
      </w:r>
      <w:r>
        <w:rPr>
          <w:b w:val="0"/>
          <w:i w:val="0"/>
        </w:rPr>
        <w:t xml:space="preserve"> el clasificador desplegado alcanzó </w:t>
      </w:r>
      <w:r>
        <w:rPr>
          <w:b/>
          <w:i w:val="0"/>
        </w:rPr>
        <w:t>99.10 % de accuracy</w:t>
      </w:r>
      <w:r>
        <w:rPr>
          <w:b w:val="0"/>
          <w:i w:val="0"/>
        </w:rPr>
        <w:t xml:space="preserve"> y el segmentador </w:t>
      </w:r>
      <w:r>
        <w:rPr>
          <w:b/>
          <w:i w:val="0"/>
        </w:rPr>
        <w:t>80.10 % de IoU</w:t>
      </w:r>
      <w:r>
        <w:rPr>
          <w:b w:val="0"/>
          <w:i w:val="0"/>
        </w:rPr>
        <w:t xml:space="preserve"> (87.07 % de Dice). Las </w:t>
      </w:r>
      <w:r>
        <w:rPr>
          <w:b/>
          <w:i w:val="0"/>
        </w:rPr>
        <w:t>tres metas del acta</w:t>
      </w:r>
      <w:r>
        <w:rPr>
          <w:b w:val="0"/>
          <w:i w:val="0"/>
        </w:rPr>
        <w:t xml:space="preserve"> (accuracy ≥ 95 %, recall ≥ 90 % por clase, IoU ≥ 70 %) </w:t>
      </w:r>
      <w:r>
        <w:rPr>
          <w:b/>
          <w:i w:val="0"/>
        </w:rPr>
        <w:t>se cumplen</w:t>
      </w:r>
      <w:r>
        <w:rPr>
          <w:b w:val="0"/>
          <w:i w:val="0"/>
        </w:rPr>
        <w:t>.</w:t>
      </w:r>
    </w:p>
    <w:p>
      <w:pPr>
        <w:pStyle w:val="ListBullet"/>
        <w:spacing w:after="60"/>
        <w:ind w:left="357" w:hanging="283"/>
      </w:pPr>
      <w:r>
        <w:rPr>
          <w:b/>
          <w:i w:val="0"/>
        </w:rPr>
        <w:t>Despliegue (HU13):</w:t>
      </w:r>
      <w:r>
        <w:rPr>
          <w:b w:val="0"/>
          <w:i w:val="0"/>
        </w:rPr>
        <w:t xml:space="preserve"> un prototipo de sistema clínico con el flujo completo de apoyo al diagnóstico en neuro-oncología (inicio de sesión, casos, subir una resonancia, resultado con contorno, revisión del médico e informe del caso), que funciona en local y sin internet.</w:t>
      </w:r>
    </w:p>
    <w:p>
      <w:pPr>
        <w:pStyle w:val="ListBullet"/>
        <w:spacing w:after="60"/>
        <w:ind w:left="357" w:hanging="283"/>
      </w:pPr>
      <w:r>
        <w:rPr>
          <w:b/>
          <w:i w:val="0"/>
        </w:rPr>
        <w:t>MLOps básico (HU14):</w:t>
      </w:r>
      <w:r>
        <w:rPr>
          <w:b w:val="0"/>
          <w:i w:val="0"/>
        </w:rPr>
        <w:t xml:space="preserve"> modelos exportados a ONNX y versionados con SHA-256, registro de modelos y de datos, etiquetas de Git y monitoreo de predicciones en la aplicación.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60" w:type="dxa"/>
          <w:bottom w:w="90" w:type="dxa"/>
          <w:right w:w="160" w:type="dxa"/>
        </w:tblCellMar>
      </w:tblPr>
      <w:tblGrid>
        <w:gridCol w:w="9412"/>
      </w:tblGrid>
      <w:tr>
        <w:tc>
          <w:tcPr>
            <w:tcW w:type="dxa" w:w="9411"/>
            <w:shd w:val="clear" w:color="auto" w:fill="EAF0FA"/>
            <w:tcBorders>
              <w:left w:val="single" w:sz="24" w:color="2F5597"/>
            </w:tcBorders>
          </w:tcPr>
          <w:p>
            <w:pPr>
              <w:spacing w:after="0"/>
            </w:pPr>
            <w:r>
              <w:rPr>
                <w:b/>
                <w:i w:val="0"/>
                <w:sz w:val="20"/>
              </w:rPr>
              <w:t>Honestidad:</w:t>
            </w:r>
            <w:r>
              <w:rPr>
                <w:b w:val="0"/>
                <w:i w:val="0"/>
                <w:sz w:val="20"/>
              </w:rPr>
              <w:t xml:space="preserve"> la prueba oficial no se usó para elegir nada; el modelo desplegado se eligió por validación (semilla 2024). Se reporta el efecto de las imágenes de prueba parecidas al entrenamiento y las limitaciones. </w:t>
            </w:r>
            <w:r>
              <w:rPr>
                <w:b/>
                <w:i w:val="0"/>
                <w:sz w:val="20"/>
              </w:rPr>
              <w:t>No es un diagnóstico médico.</w:t>
            </w:r>
          </w:p>
        </w:tc>
      </w:tr>
    </w:tbl>
    <w:p>
      <w:pPr>
        <w:spacing w:after="40"/>
      </w:pPr>
    </w:p>
    <w:p>
      <w:pPr>
        <w:pStyle w:val="Heading1"/>
      </w:pPr>
      <w:r>
        <w:t>2. Comprensión del negocio</w:t>
      </w:r>
    </w:p>
    <w:p>
      <w:r>
        <w:rPr>
          <w:b w:val="0"/>
          <w:i w:val="0"/>
        </w:rPr>
        <w:t xml:space="preserve">Objetivo: apoyar la lectura de resonancias en neuro-oncología con un sistema que sugiere el tipo de tumor y marca su contorno, como </w:t>
      </w:r>
      <w:r>
        <w:rPr>
          <w:b/>
          <w:i w:val="0"/>
        </w:rPr>
        <w:t>apoyo al diagnóstico</w:t>
      </w:r>
      <w:r>
        <w:rPr>
          <w:b w:val="0"/>
          <w:i w:val="0"/>
        </w:rPr>
        <w:t xml:space="preserve"> (nunca en reemplazo del médico). No hay cliente real ni datos de pacientes reales: es una demostración académica. Metas del acta (sobre la prueba oficial): accuracy ≥ 95 %, recall ≥ 90 % por clase e IoU ≥ 70 %.</w:t>
      </w:r>
    </w:p>
    <w:p>
      <w:pPr>
        <w:pStyle w:val="Heading1"/>
      </w:pPr>
      <w:r>
        <w:t>3. Comprensión y preparación de los datos (Sprint 1)</w:t>
      </w:r>
    </w:p>
    <w:p>
      <w:r>
        <w:rPr>
          <w:b w:val="0"/>
          <w:i w:val="0"/>
        </w:rPr>
        <w:t xml:space="preserve">Dataset BRISC 2025 (CC BY 4.0): 6.000 imágenes T1 con contraste y 4.793 máscaras de tumor. Se preparó a 256×256 en gris con normalización de ImageNet y una </w:t>
      </w:r>
      <w:r>
        <w:rPr>
          <w:b/>
          <w:i w:val="0"/>
        </w:rPr>
        <w:t>partición propia (semilla 42): 3.999 entrenamiento / 1.001 validación / 1.000 prueba oficial</w:t>
      </w:r>
      <w:r>
        <w:rPr>
          <w:b w:val="0"/>
          <w:i w:val="0"/>
        </w:rPr>
        <w:t>, agrupando por hash perceptual para evitar fuga evidente. La prueba oficial se dejó intacta para evaluarla una sola vez al final.</w:t>
      </w:r>
    </w:p>
    <w:p>
      <w:pPr>
        <w:pStyle w:val="Heading1"/>
      </w:pPr>
      <w:r>
        <w:t>4. Modelado (Sprint 2)</w:t>
      </w:r>
    </w:p>
    <w:p>
      <w:r>
        <w:rPr>
          <w:b w:val="0"/>
          <w:i w:val="0"/>
        </w:rPr>
        <w:t xml:space="preserve">Se compararon dos arquitecturas de clasificación con transfer learning (EfficientNetB0 y ResNet50) y una U-Net con encoder ResNet34 para segmentación, con 13 entrenamientos registrados (ajuste de hiperparámetros y 3 semillas). Configuraciones elegidas por </w:t>
      </w:r>
      <w:r>
        <w:rPr>
          <w:b/>
          <w:i w:val="0"/>
        </w:rPr>
        <w:t>validación</w:t>
      </w:r>
      <w:r>
        <w:rPr>
          <w:b w:val="0"/>
          <w:i w:val="0"/>
        </w:rPr>
        <w:t>: EfficientNetB0 (lote 64) y U-Net (lr 1e-4).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041"/>
        <w:gridCol w:w="3685"/>
        <w:gridCol w:w="3685"/>
      </w:tblGrid>
      <w:tr>
        <w:tc>
          <w:tcPr>
            <w:tcW w:type="dxa" w:w="2041"/>
            <w:shd w:val="clear" w:color="auto" w:fill="1F3864"/>
          </w:tcPr>
          <w:p>
            <w:pPr>
              <w:spacing w:after="0" w:line="252" w:lineRule="auto"/>
            </w:pPr>
            <w:r>
              <w:rPr>
                <w:b/>
                <w:i w:val="0"/>
                <w:color w:val="FFFFFF"/>
                <w:sz w:val="18"/>
              </w:rPr>
              <w:t>Tarea</w:t>
            </w:r>
          </w:p>
        </w:tc>
        <w:tc>
          <w:tcPr>
            <w:tcW w:type="dxa" w:w="3685"/>
            <w:shd w:val="clear" w:color="auto" w:fill="1F3864"/>
          </w:tcPr>
          <w:p>
            <w:pPr>
              <w:spacing w:after="0" w:line="252" w:lineRule="auto"/>
            </w:pPr>
            <w:r>
              <w:rPr>
                <w:b/>
                <w:i w:val="0"/>
                <w:color w:val="FFFFFF"/>
                <w:sz w:val="18"/>
              </w:rPr>
              <w:t>Modelo elegido</w:t>
            </w:r>
          </w:p>
        </w:tc>
        <w:tc>
          <w:tcPr>
            <w:tcW w:type="dxa" w:w="3685"/>
            <w:shd w:val="clear" w:color="auto" w:fill="1F3864"/>
          </w:tcPr>
          <w:p>
            <w:pPr>
              <w:spacing w:after="0" w:line="252" w:lineRule="auto"/>
            </w:pPr>
            <w:r>
              <w:rPr>
                <w:b/>
                <w:i w:val="0"/>
                <w:color w:val="FFFFFF"/>
                <w:sz w:val="18"/>
              </w:rPr>
              <w:t>Validación (Sprint 2, 3 semillas)</w:t>
            </w:r>
          </w:p>
        </w:tc>
      </w:tr>
      <w:tr>
        <w:tc>
          <w:tcPr>
            <w:tcW w:type="dxa" w:w="2041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Clasificación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EfficientNetB0 (lote 64)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recall medio 99,57 % ± 0,15 %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Segmentación</w:t>
            </w:r>
          </w:p>
        </w:tc>
        <w:tc>
          <w:tcPr>
            <w:tcW w:type="dxa" w:w="3685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U-Net (encoder ResNet34, lr 1e-4)</w:t>
            </w:r>
          </w:p>
        </w:tc>
        <w:tc>
          <w:tcPr>
            <w:tcW w:type="dxa" w:w="3685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IoU 80,12 % ± 0,33 %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Evaluación en la prueba oficial (HU12)</w:t>
      </w:r>
    </w:p>
    <w:p>
      <w:r>
        <w:rPr>
          <w:b w:val="0"/>
          <w:i w:val="0"/>
        </w:rPr>
        <w:t xml:space="preserve">La prueba oficial (1000 imágenes de clasificación, 860 con máscara) se evaluó </w:t>
      </w:r>
      <w:r>
        <w:rPr>
          <w:b/>
          <w:i w:val="0"/>
        </w:rPr>
        <w:t>una sola vez</w:t>
      </w:r>
      <w:r>
        <w:rPr>
          <w:b w:val="0"/>
          <w:i w:val="0"/>
        </w:rPr>
        <w:t xml:space="preserve">. Siguiendo el plan, se evaluaron los </w:t>
      </w:r>
      <w:r>
        <w:rPr>
          <w:b/>
          <w:i w:val="0"/>
        </w:rPr>
        <w:t>6 puntos de control del Sprint 2</w:t>
      </w:r>
      <w:r>
        <w:rPr>
          <w:b w:val="0"/>
          <w:i w:val="0"/>
        </w:rPr>
        <w:t xml:space="preserve"> (3 semillas × 2 tareas) y se reporta el promedio ± desvío; el </w:t>
      </w:r>
      <w:r>
        <w:rPr>
          <w:b/>
          <w:i w:val="0"/>
        </w:rPr>
        <w:t>modelo desplegado</w:t>
      </w:r>
      <w:r>
        <w:rPr>
          <w:b w:val="0"/>
          <w:i w:val="0"/>
        </w:rPr>
        <w:t xml:space="preserve"> es el mejor por validación (semilla 2024). No se cambió nada después de ver los números.</w:t>
      </w:r>
    </w:p>
    <w:p>
      <w:pPr>
        <w:pStyle w:val="Heading2"/>
      </w:pPr>
      <w:r>
        <w:t>5.1 Resultados frente a las metas del acta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948"/>
        <w:gridCol w:w="1814"/>
        <w:gridCol w:w="2608"/>
        <w:gridCol w:w="2041"/>
      </w:tblGrid>
      <w:tr>
        <w:tc>
          <w:tcPr>
            <w:tcW w:type="dxa" w:w="2948"/>
            <w:shd w:val="clear" w:color="auto" w:fill="1F3864"/>
          </w:tcPr>
          <w:p>
            <w:pPr>
              <w:spacing w:after="0" w:line="252" w:lineRule="auto"/>
            </w:pPr>
            <w:r>
              <w:rPr>
                <w:b/>
                <w:i w:val="0"/>
                <w:color w:val="FFFFFF"/>
                <w:sz w:val="18"/>
              </w:rPr>
              <w:t>Métrica</w:t>
            </w:r>
          </w:p>
        </w:tc>
        <w:tc>
          <w:tcPr>
            <w:tcW w:type="dxa" w:w="1814"/>
            <w:shd w:val="clear" w:color="auto" w:fill="1F3864"/>
          </w:tcPr>
          <w:p>
            <w:pPr>
              <w:spacing w:after="0" w:line="252" w:lineRule="auto"/>
            </w:pPr>
            <w:r>
              <w:rPr>
                <w:b/>
                <w:i w:val="0"/>
                <w:color w:val="FFFFFF"/>
                <w:sz w:val="18"/>
              </w:rPr>
              <w:t>Meta del acta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0" w:line="252" w:lineRule="auto"/>
            </w:pPr>
            <w:r>
              <w:rPr>
                <w:b/>
                <w:i w:val="0"/>
                <w:color w:val="FFFFFF"/>
                <w:sz w:val="18"/>
              </w:rPr>
              <w:t>Prueba oficial (desplegado)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0" w:line="252" w:lineRule="auto"/>
            </w:pPr>
            <w:r>
              <w:rPr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948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Accuracy (clasificación)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≥ 95 %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99.10 %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Cumple ✓</w:t>
            </w:r>
          </w:p>
        </w:tc>
      </w:tr>
      <w:tr>
        <w:tc>
          <w:tcPr>
            <w:tcW w:type="dxa" w:w="2948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Recall por clase (mínimo)</w:t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≥ 90 %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97.24 % (glioma)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Cumple ✓</w:t>
            </w:r>
          </w:p>
        </w:tc>
      </w:tr>
      <w:tr>
        <w:tc>
          <w:tcPr>
            <w:tcW w:type="dxa" w:w="2948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IoU (segmentación)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≥ 70 %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80.10 %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Cumple ✓</w:t>
            </w:r>
          </w:p>
        </w:tc>
      </w:tr>
    </w:tbl>
    <w:p>
      <w:pPr>
        <w:spacing w:after="4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563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vs_prueb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6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8"/>
        </w:rPr>
        <w:t>Figura 1. Validación (Sprint 2) frente a la prueba oficial (HU12). El desempeño en prueba es muy cercano al de validación: el modelo generaliza y no colapsa por sobreajuste.</w:t>
      </w:r>
    </w:p>
    <w:p>
      <w:r>
        <w:rPr>
          <w:b w:val="0"/>
          <w:i w:val="0"/>
        </w:rPr>
        <w:t xml:space="preserve">El clasificador promedió </w:t>
      </w:r>
      <w:r>
        <w:rPr>
          <w:b/>
          <w:i w:val="0"/>
        </w:rPr>
        <w:t>99.17 % ± 0.12 %</w:t>
      </w:r>
      <w:r>
        <w:rPr>
          <w:b w:val="0"/>
          <w:i w:val="0"/>
        </w:rPr>
        <w:t xml:space="preserve"> de accuracy sobre las 3 semillas, y la U-Net </w:t>
      </w:r>
      <w:r>
        <w:rPr>
          <w:b/>
          <w:i w:val="0"/>
        </w:rPr>
        <w:t>79.90 % ± 0.19 %</w:t>
      </w:r>
      <w:r>
        <w:rPr>
          <w:b w:val="0"/>
          <w:i w:val="0"/>
        </w:rPr>
        <w:t xml:space="preserve"> de IoU. La variabilidad entre semillas es pequeña.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563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ueba_semillas_vecin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6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8"/>
        </w:rPr>
        <w:t>Figura 2. Izquierda: resultado por cada una de las 3 semillas (la desplegada es la 2024). Derecha: efecto del subconjunto sin vecino cercano al entrenamiento.</w:t>
      </w:r>
    </w:p>
    <w:p>
      <w:pPr>
        <w:pStyle w:val="Heading2"/>
      </w:pPr>
      <w:r>
        <w:t>5.2 Clasificación: recall por clase y matriz de confusión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4535"/>
        <w:gridCol w:w="2835"/>
      </w:tblGrid>
      <w:tr>
        <w:tc>
          <w:tcPr>
            <w:tcW w:type="dxa" w:w="4535"/>
            <w:shd w:val="clear" w:color="auto" w:fill="1F3864"/>
          </w:tcPr>
          <w:p>
            <w:pPr>
              <w:spacing w:after="0" w:line="252" w:lineRule="auto"/>
            </w:pPr>
            <w:r>
              <w:rPr>
                <w:b/>
                <w:i w:val="0"/>
                <w:color w:val="FFFFFF"/>
                <w:sz w:val="18"/>
              </w:rPr>
              <w:t>Clase</w:t>
            </w:r>
          </w:p>
        </w:tc>
        <w:tc>
          <w:tcPr>
            <w:tcW w:type="dxa" w:w="2835"/>
            <w:shd w:val="clear" w:color="auto" w:fill="1F3864"/>
          </w:tcPr>
          <w:p>
            <w:pPr>
              <w:spacing w:after="0" w:line="252" w:lineRule="auto"/>
            </w:pPr>
            <w:r>
              <w:rPr>
                <w:b/>
                <w:i w:val="0"/>
                <w:color w:val="FFFFFF"/>
                <w:sz w:val="18"/>
              </w:rPr>
              <w:t>Recall en la prueba</w:t>
            </w:r>
          </w:p>
        </w:tc>
      </w:tr>
      <w:tr>
        <w:tc>
          <w:tcPr>
            <w:tcW w:type="dxa" w:w="4535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Glioma</w:t>
            </w:r>
          </w:p>
        </w:tc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97.24 %</w:t>
            </w:r>
          </w:p>
        </w:tc>
      </w:tr>
      <w:tr>
        <w:tc>
          <w:tcPr>
            <w:tcW w:type="dxa" w:w="4535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Meningioma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99.67 %</w:t>
            </w:r>
          </w:p>
        </w:tc>
      </w:tr>
      <w:tr>
        <w:tc>
          <w:tcPr>
            <w:tcW w:type="dxa" w:w="4535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Hipófisis</w:t>
            </w:r>
          </w:p>
        </w:tc>
        <w:tc>
          <w:tcPr>
            <w:tcW w:type="dxa" w:w="2835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99.67 %</w:t>
            </w:r>
          </w:p>
        </w:tc>
      </w:tr>
      <w:tr>
        <w:tc>
          <w:tcPr>
            <w:tcW w:type="dxa" w:w="4535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Sin tumor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100.00 %</w:t>
            </w:r>
          </w:p>
        </w:tc>
      </w:tr>
    </w:tbl>
    <w:p>
      <w:pPr>
        <w:spacing w:after="4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140000" cy="25682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ueba_recall_por_cl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568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8"/>
        </w:rPr>
        <w:t>Figura 3. Recall por clase en la prueba oficial; todas superan la meta de 90 %. El glioma es la clase más difícil.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29076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ueba_matriz_confu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0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8"/>
        </w:rPr>
        <w:t>Figura 4. Matriz de confusión real sobre las 1.000 imágenes de la prueba oficial.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1801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ueba_ejemplos_clasifica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80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8"/>
        </w:rPr>
        <w:t>Figura 5. Ejemplos reales de aciertos y errores de clasificación (salida del modelo, sin retocar).</w:t>
      </w:r>
    </w:p>
    <w:p>
      <w:pPr>
        <w:pStyle w:val="Heading2"/>
      </w:pPr>
      <w:r>
        <w:t>5.3 Segmentación: IoU por clase y ejemplos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402"/>
        <w:gridCol w:w="1984"/>
        <w:gridCol w:w="1984"/>
      </w:tblGrid>
      <w:tr>
        <w:tc>
          <w:tcPr>
            <w:tcW w:type="dxa" w:w="3402"/>
            <w:shd w:val="clear" w:color="auto" w:fill="1F3864"/>
          </w:tcPr>
          <w:p>
            <w:pPr>
              <w:spacing w:after="0" w:line="252" w:lineRule="auto"/>
            </w:pPr>
            <w:r>
              <w:rPr>
                <w:b/>
                <w:i w:val="0"/>
                <w:color w:val="FFFFFF"/>
                <w:sz w:val="18"/>
              </w:rPr>
              <w:t>Clase</w:t>
            </w:r>
          </w:p>
        </w:tc>
        <w:tc>
          <w:tcPr>
            <w:tcW w:type="dxa" w:w="1984"/>
            <w:shd w:val="clear" w:color="auto" w:fill="1F3864"/>
          </w:tcPr>
          <w:p>
            <w:pPr>
              <w:spacing w:after="0" w:line="252" w:lineRule="auto"/>
            </w:pPr>
            <w:r>
              <w:rPr>
                <w:b/>
                <w:i w:val="0"/>
                <w:color w:val="FFFFFF"/>
                <w:sz w:val="18"/>
              </w:rPr>
              <w:t>IoU</w:t>
            </w:r>
          </w:p>
        </w:tc>
        <w:tc>
          <w:tcPr>
            <w:tcW w:type="dxa" w:w="1984"/>
            <w:shd w:val="clear" w:color="auto" w:fill="1F3864"/>
          </w:tcPr>
          <w:p>
            <w:pPr>
              <w:spacing w:after="0" w:line="252" w:lineRule="auto"/>
            </w:pPr>
            <w:r>
              <w:rPr>
                <w:b/>
                <w:i w:val="0"/>
                <w:color w:val="FFFFFF"/>
                <w:sz w:val="18"/>
              </w:rPr>
              <w:t>Dice</w:t>
            </w:r>
          </w:p>
        </w:tc>
      </w:tr>
      <w:tr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Glioma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67.97 %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77.04 %</w:t>
            </w:r>
          </w:p>
        </w:tc>
      </w:tr>
      <w:tr>
        <w:tc>
          <w:tcPr>
            <w:tcW w:type="dxa" w:w="3402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Meningioma</w:t>
            </w:r>
          </w:p>
        </w:tc>
        <w:tc>
          <w:tcPr>
            <w:tcW w:type="dxa" w:w="1984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89.81 %</w:t>
            </w:r>
          </w:p>
        </w:tc>
        <w:tc>
          <w:tcPr>
            <w:tcW w:type="dxa" w:w="1984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94.38 %</w:t>
            </w:r>
          </w:p>
        </w:tc>
      </w:tr>
      <w:tr>
        <w:tc>
          <w:tcPr>
            <w:tcW w:type="dxa" w:w="3402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Hipófisis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80.48 %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88.12 %</w:t>
            </w:r>
          </w:p>
        </w:tc>
      </w:tr>
    </w:tbl>
    <w:p>
      <w:pPr>
        <w:spacing w:after="4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140000" cy="26481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ueba_iou_por_cla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648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8"/>
        </w:rPr>
        <w:t>Figura 6. IoU y Dice por clase de tumor en la prueba. El glioma, de bajo contraste, es el más difícil de segmentar.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64308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ueba_ejemplos_segmentac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430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8"/>
        </w:rPr>
        <w:t>Figura 7. Segmentación real: 2 mejores y 2 peores por IoU. En los peores el modelo marca una región cercana pero no el tumor real (pequeño o desplazado).</w:t>
      </w:r>
    </w:p>
    <w:p>
      <w:pPr>
        <w:pStyle w:val="Heading2"/>
      </w:pPr>
      <w:r>
        <w:t>5.4 Riesgo R09 (atajo por procedencia) y subconjunto sin fuga</w:t>
      </w:r>
    </w:p>
    <w:p>
      <w:r>
        <w:rPr>
          <w:b w:val="0"/>
          <w:i w:val="0"/>
        </w:rPr>
        <w:t>Por tipo de archivo de origen (gris/RGB): accuracy 99.1 % (gris) frente a 99.0 % (RGB); IoU 78.9 % (gris) frente a 82.7 % (RGB). La brecha de la U-Net coincide con que el glioma —la clase más difícil— es mayoritariamente en gris.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070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ueba_por_mod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07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8"/>
        </w:rPr>
        <w:t>Figura 8. Desempeño por tipo de archivo de origen en la prueba oficial (riesgo R09).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60" w:type="dxa"/>
          <w:bottom w:w="90" w:type="dxa"/>
          <w:right w:w="160" w:type="dxa"/>
        </w:tblCellMar>
      </w:tblPr>
      <w:tblGrid>
        <w:gridCol w:w="9412"/>
      </w:tblGrid>
      <w:tr>
        <w:tc>
          <w:tcPr>
            <w:tcW w:type="dxa" w:w="9411"/>
            <w:shd w:val="clear" w:color="auto" w:fill="EAF0FA"/>
            <w:tcBorders>
              <w:left w:val="single" w:sz="24" w:color="2F5597"/>
            </w:tcBorders>
          </w:tcPr>
          <w:p>
            <w:pPr>
              <w:spacing w:after="0"/>
            </w:pPr>
            <w:r>
              <w:rPr>
                <w:b/>
                <w:i w:val="0"/>
                <w:sz w:val="20"/>
              </w:rPr>
              <w:t>Subconjunto sin vecino cercano:</w:t>
            </w:r>
            <w:r>
              <w:rPr>
                <w:b w:val="0"/>
                <w:i w:val="0"/>
                <w:sz w:val="20"/>
              </w:rPr>
              <w:t xml:space="preserve"> 196 de las 1.000 imágenes de prueba tienen un vecino casi idéntico en el entrenamiento oficial (correlación de miniaturas 32×32 ≥ 0,98). Quitándolas, el desempeño baja poco: accuracy 98.88 % (n=804) e IoU 78.43 % (n=665). El efecto de la fuga es pequeño.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Despliegue: la aplicación clínica (HU13)</w:t>
      </w:r>
    </w:p>
    <w:p>
      <w:r>
        <w:rPr>
          <w:b w:val="0"/>
          <w:i w:val="0"/>
        </w:rPr>
        <w:t xml:space="preserve">El modelo se desplegó en un </w:t>
      </w:r>
      <w:r>
        <w:rPr>
          <w:b/>
          <w:i w:val="0"/>
        </w:rPr>
        <w:t>prototipo de sistema clínico</w:t>
      </w:r>
      <w:r>
        <w:rPr>
          <w:b w:val="0"/>
          <w:i w:val="0"/>
        </w:rPr>
        <w:t xml:space="preserve"> con el flujo principal de apoyo al diagnóstico en neuro-oncología completo y los demás módulos como maqueta. Tecnología: FastAPI + Jinja2 + SQLite; inferencia con ONNX Runtime en CPU; </w:t>
      </w:r>
      <w:r>
        <w:rPr>
          <w:b/>
          <w:i w:val="0"/>
        </w:rPr>
        <w:t>funciona sin internet</w:t>
      </w:r>
      <w:r>
        <w:rPr>
          <w:b w:val="0"/>
          <w:i w:val="0"/>
        </w:rPr>
        <w:t xml:space="preserve"> (fuentes del sistema, nada de CDN); diseño blanco y formal. Decisión de arquitectura (riesgo R05): backend local en vez de correr el modelo en el navegador, porque la U-Net pesa ~98 MB en ONNX.</w:t>
      </w:r>
    </w:p>
    <w:p>
      <w:r>
        <w:rPr>
          <w:b/>
          <w:i w:val="0"/>
        </w:rPr>
        <w:t>Reglas de decisión:</w:t>
      </w:r>
      <w:r>
        <w:rPr>
          <w:b w:val="0"/>
          <w:i w:val="0"/>
        </w:rPr>
        <w:t xml:space="preserve"> si el clasificador predice «sin tumor», no se muestra contorno (el segmentador solo se entrenó con imágenes con tumor); si la probabilidad más alta es &lt; 80 %, se marca «confianza baja: requiere revisión»; se valida la entrada (PNG/JPG, brillo medio del cerebro en el rango de entrenamiento). El aviso de demostración aparece en todas las pantallas; la decisión final es siempre del médico.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3774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logi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7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8"/>
        </w:rPr>
        <w:t>Figura 9. Inicio de sesión del prototipo (usuarios ficticios).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5032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caso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8"/>
        </w:rPr>
        <w:t>Figura 10. Lista de casos con pacientes ficticios (módulo de neuro-oncología).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5032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estudio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8"/>
        </w:rPr>
        <w:t>Figura 11. Nuevo estudio: subir una resonancia T1 o elegir un ejemplo de validación.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5032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resultado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8"/>
        </w:rPr>
        <w:t>Figura 12. Resultado real: clase sugerida (Meningioma 100 %), probabilidades, contorno del tumor con control de opacidad, área, y el formulario de revisión del médico.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5032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sin_tumor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8"/>
        </w:rPr>
        <w:t>Figura 13. Caso «sin tumor»: el sistema no muestra contorno (regla de decisión).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5032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inform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8"/>
        </w:rPr>
        <w:t>Figura 14. Informe del caso imprimible, con la versión de los modelos, la revisión del médico y el aviso de demostración.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5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ficha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8"/>
        </w:rPr>
        <w:t>Figura 15. Ficha de los modelos: métricas de validación y de la prueba oficial, uso previsto y limitaciones.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08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maqueta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0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8"/>
        </w:rPr>
        <w:t>Figura 16. Los demás módulos son maqueta, marcados «no implementado».</w:t>
      </w:r>
    </w:p>
    <w:p>
      <w:pPr>
        <w:pStyle w:val="Heading1"/>
      </w:pPr>
      <w:r>
        <w:t>7. MLOps básico (HU14)</w:t>
      </w:r>
    </w:p>
    <w:p>
      <w:pPr>
        <w:pStyle w:val="ListBullet"/>
        <w:spacing w:after="60"/>
        <w:ind w:left="357" w:hanging="283"/>
      </w:pPr>
      <w:r>
        <w:rPr>
          <w:b/>
          <w:i w:val="0"/>
        </w:rPr>
        <w:t>Versionado de modelos:</w:t>
      </w:r>
      <w:r>
        <w:rPr>
          <w:b w:val="0"/>
          <w:i w:val="0"/>
        </w:rPr>
        <w:t xml:space="preserve"> cada modelo desplegado en ONNX (clasificador_v1 16 MB, segmentacion_v1 97,7 MB) con su tarjeta de modelo y </w:t>
      </w:r>
      <w:r>
        <w:rPr>
          <w:b/>
          <w:i w:val="0"/>
        </w:rPr>
        <w:t>SHA-256</w:t>
      </w:r>
      <w:r>
        <w:rPr>
          <w:b w:val="0"/>
          <w:i w:val="0"/>
        </w:rPr>
        <w:t>; paridad PyTorch↔ONNX verificada.</w:t>
      </w:r>
    </w:p>
    <w:p>
      <w:pPr>
        <w:pStyle w:val="ListBullet"/>
        <w:spacing w:after="60"/>
        <w:ind w:left="357" w:hanging="283"/>
      </w:pPr>
      <w:r>
        <w:rPr>
          <w:b/>
          <w:i w:val="0"/>
        </w:rPr>
        <w:t>Registro de modelos y de datos:</w:t>
      </w:r>
      <w:r>
        <w:rPr>
          <w:b w:val="0"/>
          <w:i w:val="0"/>
        </w:rPr>
        <w:t xml:space="preserve"> `registro_modelos.json` reúne procedencia, SHA-256, métricas de validación y de prueba, la </w:t>
      </w:r>
      <w:r>
        <w:rPr>
          <w:b/>
          <w:i w:val="0"/>
        </w:rPr>
        <w:t>versión del dataset</w:t>
      </w:r>
      <w:r>
        <w:rPr>
          <w:b w:val="0"/>
          <w:i w:val="0"/>
        </w:rPr>
        <w:t xml:space="preserve"> (SHA-256 del manifest + semilla 42), las versiones de las librerías y el </w:t>
      </w:r>
      <w:r>
        <w:rPr>
          <w:b/>
          <w:i w:val="0"/>
        </w:rPr>
        <w:t>commit de Git</w:t>
      </w:r>
      <w:r>
        <w:rPr>
          <w:b w:val="0"/>
          <w:i w:val="0"/>
        </w:rPr>
        <w:t xml:space="preserve"> (7e19df8).</w:t>
      </w:r>
    </w:p>
    <w:p>
      <w:pPr>
        <w:pStyle w:val="ListBullet"/>
        <w:spacing w:after="60"/>
        <w:ind w:left="357" w:hanging="283"/>
      </w:pPr>
      <w:r>
        <w:rPr>
          <w:b/>
          <w:i w:val="0"/>
        </w:rPr>
        <w:t>Etiquetas de Git</w:t>
      </w:r>
      <w:r>
        <w:rPr>
          <w:b w:val="0"/>
          <w:i w:val="0"/>
        </w:rPr>
        <w:t xml:space="preserve"> (versión identificable): datos-v1.0, modelo-clasificador-v1.0, modelo-segmentacion-v1.0, app-v1.0.</w:t>
      </w:r>
    </w:p>
    <w:p>
      <w:pPr>
        <w:pStyle w:val="ListBullet"/>
        <w:spacing w:after="60"/>
        <w:ind w:left="357" w:hanging="283"/>
      </w:pPr>
      <w:r>
        <w:rPr>
          <w:b/>
          <w:i w:val="0"/>
        </w:rPr>
        <w:t>Monitoreo</w:t>
      </w:r>
      <w:r>
        <w:rPr>
          <w:b w:val="0"/>
          <w:i w:val="0"/>
        </w:rPr>
        <w:t xml:space="preserve"> en la aplicación (página de administrador): registra cada predicción (clase, probabilidades, confianza, área, tiempo de respuesta, brillo medio de la entrada y alerta de confianza baja) </w:t>
      </w:r>
      <w:r>
        <w:rPr>
          <w:b/>
          <w:i w:val="0"/>
        </w:rPr>
        <w:t>sin guardar imágenes ni datos personales</w:t>
      </w:r>
      <w:r>
        <w:rPr>
          <w:b w:val="0"/>
          <w:i w:val="0"/>
        </w:rPr>
        <w:t>; compara el brillo medio con el del entrenamiento como señal simple de deriva.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08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monitoreo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0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8"/>
        </w:rPr>
        <w:t>Figura 17. Página de monitoreo: total de predicciones, confianza media, porcentaje de alertas, tiempo p95 y distribución de clases.</w:t>
      </w:r>
    </w:p>
    <w:p>
      <w:r>
        <w:rPr>
          <w:b w:val="0"/>
          <w:i w:val="0"/>
        </w:rPr>
        <w:t>Los pesos (.pt) y los modelos (.onnx) no se suben a Git; se regeneran con los scripts. Lo versionado es el código, las tarjetas de modelo y el registro de métricas.</w:t>
      </w:r>
    </w:p>
    <w:p>
      <w:r>
        <w:br w:type="page"/>
      </w:r>
    </w:p>
    <w:p>
      <w:pPr>
        <w:pStyle w:val="Heading1"/>
      </w:pPr>
      <w:r>
        <w:t>8. Limitaciones y consideraciones éticas</w:t>
      </w:r>
    </w:p>
    <w:p>
      <w:pPr>
        <w:pStyle w:val="ListBullet"/>
        <w:spacing w:after="60"/>
        <w:ind w:left="357" w:hanging="283"/>
      </w:pPr>
      <w:r>
        <w:rPr>
          <w:b/>
          <w:i w:val="0"/>
        </w:rPr>
        <w:t>La prueba se evaluó una sola vez</w:t>
      </w:r>
      <w:r>
        <w:rPr>
          <w:b w:val="0"/>
          <w:i w:val="0"/>
        </w:rPr>
        <w:t xml:space="preserve"> y el modelo desplegado se eligió por validación, no por la prueba.</w:t>
      </w:r>
    </w:p>
    <w:p>
      <w:pPr>
        <w:pStyle w:val="ListBullet"/>
        <w:spacing w:after="60"/>
        <w:ind w:left="357" w:hanging="283"/>
      </w:pPr>
      <w:r>
        <w:rPr>
          <w:b/>
          <w:i w:val="0"/>
        </w:rPr>
        <w:t>Fuga:</w:t>
      </w:r>
      <w:r>
        <w:rPr>
          <w:b w:val="0"/>
          <w:i w:val="0"/>
        </w:rPr>
        <w:t xml:space="preserve"> 196 imágenes de prueba tienen un vecino casi idéntico en el entrenamiento; se reportan las métricas también sin ellas (el efecto es pequeño).</w:t>
      </w:r>
    </w:p>
    <w:p>
      <w:pPr>
        <w:pStyle w:val="ListBullet"/>
        <w:spacing w:after="60"/>
        <w:ind w:left="357" w:hanging="283"/>
      </w:pPr>
      <w:r>
        <w:rPr>
          <w:b/>
          <w:i w:val="0"/>
        </w:rPr>
        <w:t>El glioma es la clase más difícil</w:t>
      </w:r>
      <w:r>
        <w:rPr>
          <w:b w:val="0"/>
          <w:i w:val="0"/>
        </w:rPr>
        <w:t>, tanto en clasificación (menor recall) como en segmentación (menor IoU), por su bajo contraste con el tejido.</w:t>
      </w:r>
    </w:p>
    <w:p>
      <w:pPr>
        <w:pStyle w:val="ListBullet"/>
        <w:spacing w:after="60"/>
        <w:ind w:left="357" w:hanging="283"/>
      </w:pPr>
      <w:r>
        <w:rPr>
          <w:b/>
          <w:i w:val="0"/>
        </w:rPr>
        <w:t>Un solo dataset y una sola secuencia</w:t>
      </w:r>
      <w:r>
        <w:rPr>
          <w:b w:val="0"/>
          <w:i w:val="0"/>
        </w:rPr>
        <w:t xml:space="preserve"> (T1 con contraste); no se probó la generalización a otros escáneres o secuencias. El dataset no tiene identificador de paciente.</w:t>
      </w:r>
    </w:p>
    <w:p>
      <w:pPr>
        <w:pStyle w:val="ListBullet"/>
        <w:spacing w:after="60"/>
        <w:ind w:left="357" w:hanging="283"/>
      </w:pPr>
      <w:r>
        <w:rPr>
          <w:b/>
          <w:i w:val="0"/>
        </w:rPr>
        <w:t>Ética y privacidad:</w:t>
      </w:r>
      <w:r>
        <w:rPr>
          <w:b w:val="0"/>
          <w:i w:val="0"/>
        </w:rPr>
        <w:t xml:space="preserve"> es una demostración académica de </w:t>
      </w:r>
      <w:r>
        <w:rPr>
          <w:b/>
          <w:i w:val="0"/>
        </w:rPr>
        <w:t>apoyo al diagnóstico</w:t>
      </w:r>
      <w:r>
        <w:rPr>
          <w:b w:val="0"/>
          <w:i w:val="0"/>
        </w:rPr>
        <w:t>, no un diagnóstico y no sustituye al médico. Todo se procesa en local; no se usan datos de pacientes reales; el monitoreo no guarda imágenes ni datos personales. Se cita el dataset BRISC 2025 (CC BY 4.0).</w:t>
      </w:r>
    </w:p>
    <w:p>
      <w:pPr>
        <w:pStyle w:val="Heading1"/>
      </w:pPr>
      <w:r>
        <w:t>9. Conclusiones y trabajo futuro</w:t>
      </w:r>
    </w:p>
    <w:p>
      <w:pPr>
        <w:pStyle w:val="ListBullet"/>
        <w:spacing w:after="60"/>
        <w:ind w:left="357" w:hanging="283"/>
      </w:pPr>
      <w:r>
        <w:rPr>
          <w:b w:val="0"/>
          <w:i w:val="0"/>
        </w:rPr>
        <w:t>El sistema cumple las tres metas del acta en la prueba oficial y se desplegó en un prototipo de apoyo al diagnóstico funcional, reproducible y versionado.</w:t>
      </w:r>
    </w:p>
    <w:p>
      <w:pPr>
        <w:pStyle w:val="ListBullet"/>
        <w:spacing w:after="60"/>
        <w:ind w:left="357" w:hanging="283"/>
      </w:pPr>
      <w:r>
        <w:rPr>
          <w:b w:val="0"/>
          <w:i w:val="0"/>
        </w:rPr>
        <w:t>Trabajo futuro: mejorar el glioma (más datos o pérdidas específicas), validar con otros datasets y escáneres, un modelo multitarea con encoder compartido, y pasos de MLOps más completos (reentrenamiento ante deriva).</w:t>
      </w:r>
    </w:p>
    <w:p>
      <w:pPr>
        <w:pStyle w:val="Heading1"/>
      </w:pPr>
      <w:r>
        <w:t>10. Anexo</w:t>
      </w:r>
    </w:p>
    <w:p>
      <w:pPr>
        <w:pStyle w:val="Heading2"/>
      </w:pPr>
      <w:r>
        <w:t>10.1 Revisión por el equipo (HU15)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4082"/>
        <w:gridCol w:w="2381"/>
        <w:gridCol w:w="1701"/>
        <w:gridCol w:w="1247"/>
      </w:tblGrid>
      <w:tr>
        <w:tc>
          <w:tcPr>
            <w:tcW w:type="dxa" w:w="4082"/>
            <w:shd w:val="clear" w:color="auto" w:fill="1F3864"/>
          </w:tcPr>
          <w:p>
            <w:pPr>
              <w:spacing w:after="0" w:line="252" w:lineRule="auto"/>
            </w:pPr>
            <w:r>
              <w:rPr>
                <w:b/>
                <w:i w:val="0"/>
                <w:color w:val="FFFFFF"/>
                <w:sz w:val="18"/>
              </w:rPr>
              <w:t>Integrante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after="0" w:line="252" w:lineRule="auto"/>
            </w:pPr>
            <w:r>
              <w:rPr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0" w:line="252" w:lineRule="auto"/>
            </w:pPr>
            <w:r>
              <w:rPr>
                <w:b/>
                <w:i w:val="0"/>
                <w:color w:val="FFFFFF"/>
                <w:sz w:val="18"/>
              </w:rPr>
              <w:t>Revisión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0" w:line="252" w:lineRule="auto"/>
            </w:pPr>
            <w:r>
              <w:rPr>
                <w:b/>
                <w:i w:val="0"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4082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Coavoy Cruz Joseph Gabriel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Gerente de Proyecto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☐ revisado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____</w:t>
            </w:r>
          </w:p>
        </w:tc>
      </w:tr>
      <w:tr>
        <w:tc>
          <w:tcPr>
            <w:tcW w:type="dxa" w:w="4082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Cuchuyrrumi Mamani Manuel Rodrigo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Scrum Master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☐ revisado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____</w:t>
            </w:r>
          </w:p>
        </w:tc>
      </w:tr>
      <w:tr>
        <w:tc>
          <w:tcPr>
            <w:tcW w:type="dxa" w:w="4082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Huallpatuiro Rafaile Brayan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Desarrollo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☐ revisado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____</w:t>
            </w:r>
          </w:p>
        </w:tc>
      </w:tr>
      <w:tr>
        <w:tc>
          <w:tcPr>
            <w:tcW w:type="dxa" w:w="4082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Mamani Acuña Frank Joseph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Desarrollo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☐ revisado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8"/>
              </w:rPr>
              <w:t>____</w:t>
            </w:r>
          </w:p>
        </w:tc>
      </w:tr>
    </w:tbl>
    <w:p>
      <w:pPr>
        <w:spacing w:after="40"/>
      </w:pPr>
    </w:p>
    <w:p>
      <w:pPr>
        <w:pStyle w:val="Heading2"/>
      </w:pPr>
      <w:r>
        <w:t>10.2 Glosario</w:t>
      </w:r>
    </w:p>
    <w:p>
      <w:pPr>
        <w:spacing w:after="60"/>
      </w:pPr>
      <w:r>
        <w:rPr>
          <w:b/>
          <w:i w:val="0"/>
          <w:sz w:val="20"/>
        </w:rPr>
        <w:t>ONNX:</w:t>
      </w:r>
      <w:r>
        <w:rPr>
          <w:b w:val="0"/>
          <w:i w:val="0"/>
          <w:sz w:val="20"/>
        </w:rPr>
        <w:t xml:space="preserve"> formato estándar para servir modelos sin PyTorch (aquí, con ONNX Runtime en CPU).</w:t>
      </w:r>
    </w:p>
    <w:p>
      <w:pPr>
        <w:spacing w:after="60"/>
      </w:pPr>
      <w:r>
        <w:rPr>
          <w:b/>
          <w:i w:val="0"/>
          <w:sz w:val="20"/>
        </w:rPr>
        <w:t>IoU / Dice:</w:t>
      </w:r>
      <w:r>
        <w:rPr>
          <w:b w:val="0"/>
          <w:i w:val="0"/>
          <w:sz w:val="20"/>
        </w:rPr>
        <w:t xml:space="preserve"> cuánto se solapa la máscara predicha con la real.</w:t>
      </w:r>
    </w:p>
    <w:p>
      <w:pPr>
        <w:spacing w:after="60"/>
      </w:pPr>
      <w:r>
        <w:rPr>
          <w:b/>
          <w:i w:val="0"/>
          <w:sz w:val="20"/>
        </w:rPr>
        <w:t>Recall:</w:t>
      </w:r>
      <w:r>
        <w:rPr>
          <w:b w:val="0"/>
          <w:i w:val="0"/>
          <w:sz w:val="20"/>
        </w:rPr>
        <w:t xml:space="preserve"> de los casos reales de una clase, cuántos detecta el modelo.</w:t>
      </w:r>
    </w:p>
    <w:p>
      <w:pPr>
        <w:spacing w:after="60"/>
      </w:pPr>
      <w:r>
        <w:rPr>
          <w:b/>
          <w:i w:val="0"/>
          <w:sz w:val="20"/>
        </w:rPr>
        <w:t>Transfer learning:</w:t>
      </w:r>
      <w:r>
        <w:rPr>
          <w:b w:val="0"/>
          <w:i w:val="0"/>
          <w:sz w:val="20"/>
        </w:rPr>
        <w:t xml:space="preserve"> partir de una red entrenada con otro dataset (ImageNet).</w:t>
      </w:r>
    </w:p>
    <w:p>
      <w:pPr>
        <w:spacing w:after="60"/>
      </w:pPr>
      <w:r>
        <w:rPr>
          <w:b/>
          <w:i w:val="0"/>
          <w:sz w:val="20"/>
        </w:rPr>
        <w:t>Fuga:</w:t>
      </w:r>
      <w:r>
        <w:rPr>
          <w:b w:val="0"/>
          <w:i w:val="0"/>
          <w:sz w:val="20"/>
        </w:rPr>
        <w:t xml:space="preserve"> que imágenes casi iguales caigan en entrenamiento y evaluación, inflando resultados.</w:t>
      </w:r>
    </w:p>
    <w:p>
      <w:pPr>
        <w:spacing w:after="60"/>
      </w:pPr>
      <w:r>
        <w:rPr>
          <w:b/>
          <w:i w:val="0"/>
          <w:sz w:val="20"/>
        </w:rPr>
        <w:t>MLOps:</w:t>
      </w:r>
      <w:r>
        <w:rPr>
          <w:b w:val="0"/>
          <w:i w:val="0"/>
          <w:sz w:val="20"/>
        </w:rPr>
        <w:t xml:space="preserve"> prácticas para versionar, desplegar y monitorear modelos de forma reproducible.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Informe final · Sistema inteligente: tumores cerebrales en MRI · Página </w:t>
    </w:r>
    <w:r>
      <w:rPr>
        <w:color w:val="595959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