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  <w:r>
        <w:rPr>
          <w:b/>
          <w:bCs/>
          <w:color w:val="1D2B36"/>
          <w:sz w:val="32"/>
          <w:szCs w:val="32"/>
        </w:rPr>
        <w:t xml:space="preserve">INFORME DE DESARROLLO PASO A PASO</w:t>
      </w:r>
    </w:p>
    <w:p>
      <w:pPr>
        <w:spacing w:after="100" w:before="200"/>
        <w:jc w:val="center"/>
      </w:pPr>
      <w:r>
        <w:rPr>
          <w:b/>
          <w:bCs/>
          <w:color w:val="C1440E"/>
          <w:sz w:val="26"/>
          <w:szCs w:val="26"/>
        </w:rPr>
        <w:t xml:space="preserve">Comparativo de Familias de Aprendizaje Supervisado</w:t>
      </w:r>
    </w:p>
    <w:p>
      <w:pPr>
        <w:spacing w:after="400"/>
        <w:jc w:val="center"/>
      </w:pPr>
      <w:r>
        <w:rPr>
          <w:color w:val="4A5A63"/>
          <w:sz w:val="22"/>
          <w:szCs w:val="22"/>
        </w:rPr>
        <w:t xml:space="preserve">Familia 3 · Modelos probabilísticos y redes neuronales multicapa · Equipo 5</w:t>
      </w:r>
    </w:p>
    <w:p>
      <w:pPr>
        <w:spacing w:after="60"/>
        <w:jc w:val="center"/>
      </w:pPr>
      <w:r>
        <w:rPr>
          <w:b/>
          <w:bCs/>
          <w:sz w:val="20"/>
          <w:szCs w:val="20"/>
        </w:rPr>
        <w:t xml:space="preserve">Integrantes:</w:t>
      </w:r>
    </w:p>
    <w:p>
      <w:pPr>
        <w:spacing w:after="40"/>
        <w:jc w:val="center"/>
      </w:pPr>
      <w:r>
        <w:rPr>
          <w:sz w:val="20"/>
          <w:szCs w:val="20"/>
        </w:rPr>
        <w:t xml:space="preserve">Coavoy Cruz, Joseph Gabriel</w:t>
      </w:r>
    </w:p>
    <w:p>
      <w:pPr>
        <w:spacing w:after="40"/>
        <w:jc w:val="center"/>
      </w:pPr>
      <w:r>
        <w:rPr>
          <w:sz w:val="20"/>
          <w:szCs w:val="20"/>
        </w:rPr>
        <w:t xml:space="preserve">Cuchuyrrumi Mamani, Manuel Rodrigo</w:t>
      </w:r>
    </w:p>
    <w:p>
      <w:pPr>
        <w:spacing w:after="40"/>
        <w:jc w:val="center"/>
      </w:pPr>
      <w:r>
        <w:rPr>
          <w:sz w:val="20"/>
          <w:szCs w:val="20"/>
        </w:rPr>
        <w:t xml:space="preserve">Huallpatuiro Rafaile, Brayan</w:t>
      </w:r>
    </w:p>
    <w:p>
      <w:pPr>
        <w:spacing w:after="40"/>
        <w:jc w:val="center"/>
      </w:pPr>
      <w:r>
        <w:rPr>
          <w:sz w:val="20"/>
          <w:szCs w:val="20"/>
        </w:rPr>
        <w:t xml:space="preserve">Mamani Acuña, Frank Joseph</w:t>
      </w:r>
    </w:p>
    <w:p>
      <w:pPr>
        <w:spacing w:after="40" w:before="300"/>
        <w:jc w:val="center"/>
      </w:pPr>
      <w:r>
        <w:rPr>
          <w:color w:val="4A5A63"/>
          <w:sz w:val="18"/>
          <w:szCs w:val="18"/>
        </w:rPr>
        <w:t xml:space="preserve">Repositorio: github.com/Calamar49/Comparativo-de-Familias</w:t>
      </w:r>
    </w:p>
    <w:p>
      <w:pPr>
        <w:jc w:val="center"/>
      </w:pPr>
      <w:r>
        <w:rPr>
          <w:color w:val="4A5A63"/>
          <w:sz w:val="18"/>
          <w:szCs w:val="18"/>
        </w:rPr>
        <w:t xml:space="preserve">Generado: 28 de octubre de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Introducción</w:t>
      </w:r>
    </w:p>
    <w:p>
      <w:pPr>
        <w:spacing w:after="160"/>
      </w:pPr>
      <w:r>
        <w:t xml:space="preserve">Este documento registra, paso a paso y con evidencia real (capturas de terminal y del sitio web funcionando, figuras generadas por los notebooks), todo el proceso seguido para desarrollar el proyecto "Comparativo de Familias de Aprendizaje Supervisado": desde clonar el repositorio hasta publicar el sitio web que consume los modelos entrenados. Cada paso muestra el comando ejecutado, su salida real, y una explicación de qué hace y por qué.</w:t>
      </w:r>
    </w:p>
    <w:p>
      <w:pPr>
        <w:spacing w:after="160"/>
      </w:pPr>
      <w:r>
        <w:t xml:space="preserve">El proyecto compara tres modelos de la Familia 3 del curso: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Naive Bayes Gaussiano — modelo generativo, con solución cerrada.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Perceptrón Multicapa (MLP) — modelo discriminativo, entrenado por backpropagation.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Regresión por Proceso Gaussiano (GPR) — modelo bayesiano no paramétrico, con incertidumbre calibrada.</w:t>
      </w:r>
    </w:p>
    <w:p>
      <w:pPr>
        <w:spacing w:after="160"/>
      </w:pPr>
      <w:r>
        <w:t xml:space="preserve">Los tres se entrenan en Python, se exportan a formato ONNX con verificación de paridad numérica, y se consumen desde una simulación interactiva en el navegador que nunca reentrena ni reimplementa el modelo.</w:t>
      </w:r>
    </w:p>
    <w:p>
      <w:pPr>
        <w:pStyle w:val="Heading1"/>
        <w:spacing w:after="200" w:before="400"/>
      </w:pPr>
      <w:r>
        <w:t xml:space="preserve">Paso 1 · Clonar el repositorio</w:t>
      </w:r>
    </w:p>
    <w:p>
      <w:pPr>
        <w:spacing w:after="160"/>
      </w:pPr>
      <w:r>
        <w:t xml:space="preserve">Se clonó el repositorio base del equipo, que en ese momento solo contenía el README y el plan de trabajo (docs/PLAN_DE_TRABAJO.md).</w:t>
      </w:r>
    </w:p>
    <w:p>
      <w:pPr>
        <w:pBdr>
          <w:top w:val="single" w:color="D8D1BF" w:sz="2"/>
          <w:bottom w:val="single" w:color="D8D1BF" w:sz="2"/>
          <w:left w:val="single" w:color="D8D1BF" w:sz="2"/>
          <w:right w:val="single" w:color="D8D1BF" w:sz="2"/>
        </w:pBdr>
        <w:shd w:fill="F4F1EA" w:val="clear"/>
        <w:spacing w:after="200" w:before="12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git clone https://github.com/Calamar49/Comparativo-de-Familias.git</w:t>
      </w:r>
    </w:p>
    <w:p>
      <w:pPr>
        <w:spacing w:after="80" w:before="200"/>
        <w:jc w:val="center"/>
      </w:pPr>
      <w:r>
        <w:drawing>
          <wp:inline distT="0" distB="0" distL="0" distR="0">
            <wp:extent cx="53340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4A5A63"/>
          <w:sz w:val="19"/>
          <w:szCs w:val="19"/>
        </w:rPr>
        <w:t xml:space="preserve">Figura 1.1 — Clonación del repositorio y contenido inicial (README.md y docs/).</w:t>
      </w:r>
    </w:p>
    <w:p>
      <w:pPr>
        <w:pStyle w:val="Heading1"/>
        <w:spacing w:after="200" w:before="400"/>
      </w:pPr>
      <w:r>
        <w:t xml:space="preserve">Paso 2 · Crear la estructura del proyecto</w:t>
      </w:r>
    </w:p>
    <w:p>
      <w:pPr>
        <w:spacing w:after="160"/>
      </w:pPr>
      <w:r>
        <w:t xml:space="preserve">Se creó la estructura de carpetas definida en el plan de trabajo: paquete de Python instalable (src/familia3), pruebas (tests/), notebooks, sitio web (web/), registro de modelos (models/), informe (informe/) y figuras (reports/figuras/). Esta organización separa con claridad el código que entrena de lo que se publica.</w:t>
      </w:r>
    </w:p>
    <w:p>
      <w:pPr>
        <w:spacing w:after="80" w:before="200"/>
        <w:jc w:val="center"/>
      </w:pPr>
      <w:r>
        <w:drawing>
          <wp:inline distT="0" distB="0" distL="0" distR="0">
            <wp:extent cx="53340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4A5A63"/>
          <w:sz w:val="19"/>
          <w:szCs w:val="19"/>
        </w:rPr>
        <w:t xml:space="preserve">Figura 2.1 — Estructura de archivos y carpetas creada siguiendo el plan de trabajo.</w:t>
      </w:r>
    </w:p>
    <w:p>
      <w:pPr>
        <w:pStyle w:val="Heading1"/>
        <w:spacing w:after="200" w:before="400"/>
      </w:pPr>
      <w:r>
        <w:t xml:space="preserve">Paso 3 · Implementar el paquete familia3</w:t>
      </w:r>
    </w:p>
    <w:p>
      <w:pPr>
        <w:spacing w:after="160"/>
      </w:pPr>
      <w:r>
        <w:t xml:space="preserve">Dentro de src/familia3/ se implementaron los módulos que hacen todo el trabajo matemático y de datos: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0"/>
      </w:tblGrid>
      <w:tr>
        <w:tc>
          <w:tcPr>
            <w:tcW w:type="dxa" w:w="2600"/>
            <w:shd w:fill="1D2B36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7000"/>
            <w:shd w:fill="1D2B36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Responsabilidad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datos.py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Carga de datasets, particiones 80/20 estratificadas, semilla fija, contaminación con atípicos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pipelines.py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 Pipeline por modelo (escalado + estimador), sin fuga de datos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busqueda.py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GridSearchCV / RandomizedSearchCV con validación cruzada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metricas.py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Métricas de clasificación, regresión, calibración y bootstrap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graficos.py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Fronteras de decisión, curvas de aprendizaje, bandas de incertidumbre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desde_cero.py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NB, MLP y GPR implementados en NumPy puro, para verificar la matemática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exportar.py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sklearn → ONNX, prueba de paridad numérica, registro con SHA-256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publicar.py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Arma dist/: sitio web + registro + modelos .onnx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verificar_release.py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Comprueba hashes y que la web no tenga datos escritos a mano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todo.py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 solo comando que entrena, exporta, registra y publica los 6 modelos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>La pieza más delicada de esta fase es desde_cero.py: ahí se implementó cada modelo únicamente con NumPy, siguiendo su derivación matemática exacta, para poder comprobar numéricamente que la teoría del capítulo 2 del informe técnico coincide con lo que realmente calcula scikit-learn. Por ejemplo, el Naive Bayes propio se verificó contra GaussianNB con una diferencia menor a 1e-10, y el MLP propio pasó la comprobación de gradientes por diferencias finitas (error relativo menor a 1e-4), confirmando que la implementación de backpropagation es matemáticamente correcta.</w:t>
      </w:r>
    </w:p>
    <w:p>
      <w:pPr>
        <w:pStyle w:val="Heading1"/>
        <w:spacing w:after="200" w:before="400"/>
      </w:pPr>
      <w:r>
        <w:t xml:space="preserve">Paso 4 · Pruebas automatizadas (pytest)</w:t>
      </w:r>
    </w:p>
    <w:p>
      <w:pPr>
        <w:spacing w:after="160"/>
      </w:pPr>
      <w:r>
        <w:t xml:space="preserve">Antes de entrenar nada en firme, se escribieron 19 pruebas automatizadas que verifican cuatro cosas: que no hay fuga de datos entre entrenamiento y prueba, que la implementación en NumPy coincide con scikit-learn, que las métricas se calculan correctamente, y que la exportación a ONNX conserva las mismas predicciones.</w:t>
      </w:r>
    </w:p>
    <w:p>
      <w:pPr>
        <w:pBdr>
          <w:top w:val="single" w:color="D8D1BF" w:sz="2"/>
          <w:bottom w:val="single" w:color="D8D1BF" w:sz="2"/>
          <w:left w:val="single" w:color="D8D1BF" w:sz="2"/>
          <w:right w:val="single" w:color="D8D1BF" w:sz="2"/>
        </w:pBdr>
        <w:shd w:fill="F4F1EA" w:val="clear"/>
        <w:spacing w:after="200" w:before="12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pytest -v</w:t>
      </w:r>
    </w:p>
    <w:p>
      <w:pPr>
        <w:spacing w:after="80" w:before="200"/>
        <w:jc w:val="center"/>
      </w:pPr>
      <w:r>
        <w:drawing>
          <wp:inline distT="0" distB="0" distL="0" distR="0">
            <wp:extent cx="53340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4A5A63"/>
          <w:sz w:val="19"/>
          <w:szCs w:val="19"/>
        </w:rPr>
        <w:t xml:space="preserve">Figura 4.1 — Las 19 pruebas automatizadas pasando en 3.01 segundos.</w:t>
      </w:r>
    </w:p>
    <w:p>
      <w:pPr>
        <w:pStyle w:val="Heading1"/>
        <w:spacing w:after="200" w:before="400"/>
      </w:pPr>
      <w:r>
        <w:t xml:space="preserve">Paso 5 · Entrenamiento, exportación a ONNX y registro</w:t>
      </w:r>
    </w:p>
    <w:p>
      <w:pPr>
        <w:spacing w:after="160"/>
      </w:pPr>
      <w:r>
        <w:t xml:space="preserve">Con el paquete probado, se ejecutó el comando único que entrena los 6 modelos (Naive Bayes y MLP sobre Breast Cancer Wisconsin y sobre make_moons; Proceso Gaussiano sobre Diabetes y sobre una función seno 1D), los exporta a ONNX, verifica que las predicciones de ONNX coincidan con las de scikit-learn, y registra cada versión con su hash SHA-256 en models/registry.json. Al final arma dist/, la carpeta lista para publicar.</w:t>
      </w:r>
    </w:p>
    <w:p>
      <w:pPr>
        <w:pBdr>
          <w:top w:val="single" w:color="D8D1BF" w:sz="2"/>
          <w:bottom w:val="single" w:color="D8D1BF" w:sz="2"/>
          <w:left w:val="single" w:color="D8D1BF" w:sz="2"/>
          <w:right w:val="single" w:color="D8D1BF" w:sz="2"/>
        </w:pBdr>
        <w:shd w:fill="F4F1EA" w:val="clear"/>
        <w:spacing w:after="200" w:before="12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python -m familia3.todo
python -m familia3.verificar_release</w:t>
      </w:r>
    </w:p>
    <w:p>
      <w:pPr>
        <w:spacing w:after="80" w:before="200"/>
        <w:jc w:val="center"/>
      </w:pPr>
      <w:r>
        <w:drawing>
          <wp:inline distT="0" distB="0" distL="0" distR="0">
            <wp:extent cx="53340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4A5A63"/>
          <w:sz w:val="19"/>
          <w:szCs w:val="19"/>
        </w:rPr>
        <w:t xml:space="preserve">Figura 5.1 — Entrenamiento de los 6 modelos, paridad ONNX y verificación final del release.</w:t>
      </w:r>
    </w:p>
    <w:p>
      <w:pPr>
        <w:pStyle w:val="Heading2"/>
        <w:spacing w:after="140" w:before="280"/>
      </w:pPr>
      <w:r>
        <w:t xml:space="preserve">Resultado del entrenamiento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400"/>
      </w:tblGrid>
      <w:tr>
        <w:tc>
          <w:tcPr>
            <w:tcW w:type="dxa" w:w="2600"/>
            <w:shd w:fill="1D2B36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Modelo</w:t>
            </w:r>
          </w:p>
        </w:tc>
        <w:tc>
          <w:tcPr>
            <w:tcW w:type="dxa" w:w="3600"/>
            <w:shd w:fill="1D2B36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Métrica principal</w:t>
            </w:r>
          </w:p>
        </w:tc>
        <w:tc>
          <w:tcPr>
            <w:tcW w:type="dxa" w:w="3400"/>
            <w:shd w:fill="1D2B36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Paridad ONNX (máx. diferencia)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nb_cancer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ROC-AUC = 0.988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4.18e-07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mlp_cancer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ROC-AUC = 0.993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8.77e-08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nb_moons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ROC-AUC = 0.985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2.83e-07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mlp_moons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ROC-AUC = 0.988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1.07e-07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gpr_diabetes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R² = 0.510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7.5e-06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gpr_seno1d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R² = 0.901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4.2e-05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>Nota técnica: los dos modelos de Proceso Gaussiano se entrenan con el objetivo estandarizado a mano (media y desviación guardadas como y_offset/y_scale en el registro), porque la versión de skl2onnx usada no logra exportar GaussianProcessRegressor con normalize_y=True. La web deshace esa transformación leyendo esos dos valores del registro — no hay ningún número de modelo escrito a mano en el código del sitio.</w:t>
      </w:r>
    </w:p>
    <w:p>
      <w:pPr>
        <w:pStyle w:val="Heading1"/>
        <w:spacing w:after="200" w:before="400"/>
      </w:pPr>
      <w:r>
        <w:t xml:space="preserve">Paso 6 · Notebooks: experimentos y verificación matemática</w:t>
      </w:r>
    </w:p>
    <w:p>
      <w:pPr>
        <w:spacing w:after="160"/>
      </w:pPr>
      <w:r>
        <w:t xml:space="preserve">Se construyeron y ejecutaron de principio a fin, sin errores, los 5 notebooks del plan de trabajo. Cada uno genera figuras reales que respaldan las afirmaciones del informe técnico.</w:t>
      </w:r>
    </w:p>
    <w:p>
      <w:pPr>
        <w:pBdr>
          <w:top w:val="single" w:color="D8D1BF" w:sz="2"/>
          <w:bottom w:val="single" w:color="D8D1BF" w:sz="2"/>
          <w:left w:val="single" w:color="D8D1BF" w:sz="2"/>
          <w:right w:val="single" w:color="D8D1BF" w:sz="2"/>
        </w:pBdr>
        <w:shd w:fill="F4F1EA" w:val="clear"/>
        <w:spacing w:after="200" w:before="12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jupyter nbconvert --to notebook --execute --inplace notebooks/*.ipynb</w:t>
      </w:r>
    </w:p>
    <w:p>
      <w:pPr>
        <w:spacing w:after="80" w:before="200"/>
        <w:jc w:val="center"/>
      </w:pPr>
      <w:r>
        <w:drawing>
          <wp:inline distT="0" distB="0" distL="0" distR="0">
            <wp:extent cx="53340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4A5A63"/>
          <w:sz w:val="19"/>
          <w:szCs w:val="19"/>
        </w:rPr>
        <w:t xml:space="preserve">Figura 6.1 — Los 5 notebooks ejecutados de principio a fin sin errores.</w:t>
      </w:r>
    </w:p>
    <w:p>
      <w:pPr>
        <w:pStyle w:val="Heading2"/>
        <w:spacing w:after="140" w:before="280"/>
      </w:pPr>
      <w:r>
        <w:t xml:space="preserve">01 · Datos y protocolo</w:t>
      </w:r>
    </w:p>
    <w:p>
      <w:pPr>
        <w:spacing w:after="160"/>
      </w:pPr>
      <w:r>
        <w:t xml:space="preserve">Correlación entre atributos del dataset de cáncer (pone a prueba el supuesto de independencia de Naive Bayes) y el conjunto sintético make_moons usado para dibujar fronteras.</w:t>
      </w:r>
    </w:p>
    <w:p>
      <w:pPr>
        <w:spacing w:after="80" w:before="200"/>
        <w:jc w:val="center"/>
      </w:pPr>
      <w:r>
        <w:drawing>
          <wp:inline distT="0" distB="0" distL="0" distR="0">
            <wp:extent cx="5524500" cy="1933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4A5A63"/>
          <w:sz w:val="19"/>
          <w:szCs w:val="19"/>
        </w:rPr>
        <w:t xml:space="preserve">Figura 6.2 — Distribución de un atributo y matriz de correlación (Breast Cancer Wisconsin).</w:t>
      </w:r>
    </w:p>
    <w:p>
      <w:pPr>
        <w:spacing w:after="80" w:before="200"/>
        <w:jc w:val="center"/>
      </w:pPr>
      <w:r>
        <w:drawing>
          <wp:inline distT="0" distB="0" distL="0" distR="0">
            <wp:extent cx="3619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4A5A63"/>
          <w:sz w:val="19"/>
          <w:szCs w:val="19"/>
        </w:rPr>
        <w:t xml:space="preserve">Figura 6.3 — Conjunto sintético make_moons usado para las fronteras 2D.</w:t>
      </w:r>
    </w:p>
    <w:p>
      <w:pPr>
        <w:pStyle w:val="Heading2"/>
        <w:spacing w:after="140" w:before="280"/>
      </w:pPr>
      <w:r>
        <w:t xml:space="preserve">02 · Naive Bayes Gaussiano</w:t>
      </w:r>
    </w:p>
    <w:p>
      <w:pPr>
        <w:spacing w:after="80" w:before="200"/>
        <w:jc w:val="center"/>
      </w:pPr>
      <w:r>
        <w:drawing>
          <wp:inline distT="0" distB="0" distL="0" distR="0">
            <wp:extent cx="3048000" cy="2609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4A5A63"/>
          <w:sz w:val="19"/>
          <w:szCs w:val="19"/>
        </w:rPr>
        <w:t xml:space="preserve">Figura 6.4 — Matriz de confusión sobre el conjunto de prueba.</w:t>
      </w:r>
    </w:p>
    <w:p>
      <w:pPr>
        <w:spacing w:after="80" w:before="200"/>
        <w:jc w:val="center"/>
      </w:pPr>
      <w:r>
        <w:drawing>
          <wp:inline distT="0" distB="0" distL="0" distR="0">
            <wp:extent cx="40005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4A5A63"/>
          <w:sz w:val="19"/>
          <w:szCs w:val="19"/>
        </w:rPr>
        <w:t xml:space="preserve">Figura 6.5 — Frontera de decisión cuadrática de Naive Bayes sobre make_moons: no puede doblarse alrededor de los dos semicírculos.</w:t>
      </w:r>
    </w:p>
    <w:p>
      <w:pPr>
        <w:spacing w:after="80" w:before="200"/>
        <w:jc w:val="center"/>
      </w:pPr>
      <w:r>
        <w:drawing>
          <wp:inline distT="0" distB="0" distL="0" distR="0">
            <wp:extent cx="3619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4A5A63"/>
          <w:sz w:val="19"/>
          <w:szCs w:val="19"/>
        </w:rPr>
        <w:t xml:space="preserve">Figura 6.6 — Degradación del ROC-AUC al aumentar artificialmente la correlación entre atributos (viola el supuesto de independencia).</w:t>
      </w:r>
    </w:p>
    <w:p>
      <w:pPr>
        <w:pStyle w:val="Heading2"/>
        <w:spacing w:after="140" w:before="280"/>
      </w:pPr>
      <w:r>
        <w:t xml:space="preserve">03 · Perceptrón multicapa (MLP)</w:t>
      </w:r>
    </w:p>
    <w:p>
      <w:pPr>
        <w:spacing w:after="80" w:before="200"/>
        <w:jc w:val="center"/>
      </w:pPr>
      <w:r>
        <w:drawing>
          <wp:inline distT="0" distB="0" distL="0" distR="0">
            <wp:extent cx="4000500" cy="2705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4A5A63"/>
          <w:sz w:val="19"/>
          <w:szCs w:val="19"/>
        </w:rPr>
        <w:t xml:space="preserve">Figura 6.7 — Curva de pérdida (entropía cruzada + L2) durante el entrenamiento.</w:t>
      </w:r>
    </w:p>
    <w:p>
      <w:pPr>
        <w:spacing w:after="80" w:before="200"/>
        <w:jc w:val="center"/>
      </w:pPr>
      <w:r>
        <w:drawing>
          <wp:inline distT="0" distB="0" distL="0" distR="0">
            <wp:extent cx="40005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4A5A63"/>
          <w:sz w:val="19"/>
          <w:szCs w:val="19"/>
        </w:rPr>
        <w:t xml:space="preserve">Figura 6.8 — Frontera de decisión del MLP sobre make_moons: sí logra doblarse alrededor de los semicírculos.</w:t>
      </w:r>
    </w:p>
    <w:p>
      <w:pPr>
        <w:pStyle w:val="Heading2"/>
        <w:spacing w:after="140" w:before="280"/>
      </w:pPr>
      <w:r>
        <w:t xml:space="preserve">04 · Regresión por Proceso Gaussiano</w:t>
      </w:r>
    </w:p>
    <w:p>
      <w:pPr>
        <w:spacing w:after="80" w:before="200"/>
        <w:jc w:val="center"/>
      </w:pPr>
      <w:r>
        <w:drawing>
          <wp:inline distT="0" distB="0" distL="0" distR="0">
            <wp:extent cx="4572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4A5A63"/>
          <w:sz w:val="19"/>
          <w:szCs w:val="19"/>
        </w:rPr>
        <w:t xml:space="preserve">Figura 6.9 — Banda de incertidumbre ±2σ sobre f(x)=sin(x)+ruido: se ensancha en el hueco [3,5] sin datos de entrenamiento.</w:t>
      </w:r>
    </w:p>
    <w:p>
      <w:pPr>
        <w:spacing w:after="80" w:before="200"/>
        <w:jc w:val="center"/>
      </w:pPr>
      <w:r>
        <w:drawing>
          <wp:inline distT="0" distB="0" distL="0" distR="0">
            <wp:extent cx="3619500" cy="2990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4A5A63"/>
          <w:sz w:val="19"/>
          <w:szCs w:val="19"/>
        </w:rPr>
        <w:t xml:space="preserve">Figura 6.10 — Tiempo de entrenamiento del GPR frente al tamaño de los datos: crece como O(n³).</w:t>
      </w:r>
    </w:p>
    <w:p>
      <w:pPr>
        <w:pStyle w:val="Heading2"/>
        <w:spacing w:after="140" w:before="280"/>
      </w:pPr>
      <w:r>
        <w:t xml:space="preserve">05 · Comparativo y experimento de atípicos</w:t>
      </w:r>
    </w:p>
    <w:p>
      <w:pPr>
        <w:spacing w:after="160"/>
      </w:pPr>
      <w:r>
        <w:t xml:space="preserve">El experimento central de este notebook contamina una fracción creciente del conjunto de ENTRENAMIENTO (nunca el de prueba) con valores atípicos en los atributos, y mide cómo se degrada cada modelo.</w:t>
      </w:r>
    </w:p>
    <w:p>
      <w:pPr>
        <w:spacing w:after="80" w:before="200"/>
        <w:jc w:val="center"/>
      </w:pPr>
      <w:r>
        <w:drawing>
          <wp:inline distT="0" distB="0" distL="0" distR="0">
            <wp:extent cx="4000500" cy="2981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4A5A63"/>
          <w:sz w:val="19"/>
          <w:szCs w:val="19"/>
        </w:rPr>
        <w:t xml:space="preserve">Figura 6.11 — Degradación del ROC-AUC de Naive Bayes y MLP frente al porcentaje de datos de entrenamiento contaminados con atípicos.</w:t>
      </w:r>
    </w:p>
    <w:p>
      <w:pPr>
        <w:pStyle w:val="Heading1"/>
        <w:spacing w:after="200" w:before="400"/>
      </w:pPr>
      <w:r>
        <w:t xml:space="preserve">Paso 7 · Sitio web interactivo</w:t>
      </w:r>
    </w:p>
    <w:p>
      <w:pPr>
        <w:spacing w:after="160"/>
      </w:pPr>
      <w:r>
        <w:t xml:space="preserve">El sitio (carpeta web/, publicado a dist/) arranca leyendo models/registry.json, descarga cada archivo .onnx, verifica su hash SHA-256 contra el valor registrado y crea una sesión de ONNX Runtime Web; si el hash no coincide, el modelo se rechaza. Ningún número de modelo, versión o métrica está escrito a mano en el HTML o el JavaScript: todo proviene del registro. Las capturas siguientes son del sitio corriendo de verdad en el navegador, no un mockup.</w:t>
      </w:r>
    </w:p>
    <w:p>
      <w:pPr>
        <w:pStyle w:val="Heading2"/>
        <w:spacing w:after="140" w:before="280"/>
      </w:pPr>
      <w:r>
        <w:t xml:space="preserve">Pestaña Naive Bayes</w:t>
      </w:r>
    </w:p>
    <w:p>
      <w:pPr>
        <w:spacing w:after="160"/>
      </w:pPr>
      <w:r>
        <w:t xml:space="preserve">Se eligió el "caso 1" del conjunto de prueba (maligno) y se ajustaron los 4 atributos más influyentes con deslizadores. El modelo predice correctamente "maligno" con P(maligno)=1.000, consultando el .onnx cargado y verificado en el navegador.</w:t>
      </w:r>
    </w:p>
    <w:p>
      <w:pPr>
        <w:spacing w:after="80" w:before="200"/>
        <w:jc w:val="center"/>
      </w:pPr>
      <w:r>
        <w:drawing>
          <wp:inline distT="0" distB="0" distL="0" distR="0">
            <wp:extent cx="53340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4A5A63"/>
          <w:sz w:val="19"/>
          <w:szCs w:val="19"/>
        </w:rPr>
        <w:t xml:space="preserve">Figura 7.1 — Pestaña Naive Bayes: predicción sobre un caso real y mapa de probabilidad sobre make_moons.</w:t>
      </w:r>
    </w:p>
    <w:p>
      <w:pPr>
        <w:pStyle w:val="Heading2"/>
        <w:spacing w:after="140" w:before="280"/>
      </w:pPr>
      <w:r>
        <w:t xml:space="preserve">Pestaña MLP</w:t>
      </w:r>
    </w:p>
    <w:p>
      <w:pPr>
        <w:spacing w:after="80" w:before="200"/>
        <w:jc w:val="center"/>
      </w:pPr>
      <w:r>
        <w:drawing>
          <wp:inline distT="0" distB="0" distL="0" distR="0">
            <wp:extent cx="53340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4A5A63"/>
          <w:sz w:val="19"/>
          <w:szCs w:val="19"/>
        </w:rPr>
        <w:t xml:space="preserve">Figura 7.2 — Pestaña MLP: mismo caso de prueba, deslizadores y frontera de make_moons consultada contra el modelo mlp_moons.</w:t>
      </w:r>
    </w:p>
    <w:p>
      <w:pPr>
        <w:pStyle w:val="Heading2"/>
        <w:spacing w:after="140" w:before="280"/>
      </w:pPr>
      <w:r>
        <w:t xml:space="preserve">Pestaña Proceso Gaussiano</w:t>
      </w:r>
    </w:p>
    <w:p>
      <w:pPr>
        <w:spacing w:after="160"/>
      </w:pPr>
      <w:r>
        <w:t xml:space="preserve">Esta es la pestaña que mejor muestra la diferencia frente a los otros dos modelos: cada predicción trae su propia incertidumbre (media ± 2σ), y la banda se ensancha visiblemente en el hueco de datos de entrenamiento entre x=3 y x=5.</w:t>
      </w:r>
    </w:p>
    <w:p>
      <w:pPr>
        <w:spacing w:after="80" w:before="200"/>
        <w:jc w:val="center"/>
      </w:pPr>
      <w:r>
        <w:drawing>
          <wp:inline distT="0" distB="0" distL="0" distR="0">
            <wp:extent cx="53340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4A5A63"/>
          <w:sz w:val="19"/>
          <w:szCs w:val="19"/>
        </w:rPr>
        <w:t xml:space="preserve">Figura 7.3 — Pestaña Proceso Gaussiano: progresión de diabetes con incertidumbre, y banda ±2σ sobre f(x)=sin(x)+ruido.</w:t>
      </w:r>
    </w:p>
    <w:p>
      <w:pPr>
        <w:pStyle w:val="Heading2"/>
        <w:spacing w:after="140" w:before="280"/>
      </w:pPr>
      <w:r>
        <w:t xml:space="preserve">Pestaña Comparativo</w:t>
      </w:r>
    </w:p>
    <w:p>
      <w:pPr>
        <w:spacing w:after="80" w:before="200"/>
        <w:jc w:val="center"/>
      </w:pPr>
      <w:r>
        <w:drawing>
          <wp:inline distT="0" distB="0" distL="0" distR="0">
            <wp:extent cx="53340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4A5A63"/>
          <w:sz w:val="19"/>
          <w:szCs w:val="19"/>
        </w:rPr>
        <w:t xml:space="preserve">Figura 7.4 — El mismo paciente evaluado en paralelo por Naive Bayes y MLP, con las métricas de prueba del registro.</w:t>
      </w:r>
    </w:p>
    <w:p>
      <w:pPr>
        <w:pStyle w:val="Heading2"/>
        <w:spacing w:after="140" w:before="280"/>
      </w:pPr>
      <w:r>
        <w:t xml:space="preserve">Pestaña Teoría</w:t>
      </w:r>
    </w:p>
    <w:p>
      <w:pPr>
        <w:spacing w:after="80" w:before="200"/>
        <w:jc w:val="center"/>
      </w:pPr>
      <w:r>
        <w:drawing>
          <wp:inline distT="0" distB="0" distL="0" distR="0">
            <wp:extent cx="53340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4A5A63"/>
          <w:sz w:val="19"/>
          <w:szCs w:val="19"/>
        </w:rPr>
        <w:t xml:space="preserve">Figura 7.5 — Las tres ecuaciones fundamentales, con enlaces al repositorio y al informe técnico.</w:t>
      </w:r>
    </w:p>
    <w:p>
      <w:pPr>
        <w:pStyle w:val="Heading1"/>
        <w:spacing w:after="200" w:before="400"/>
      </w:pPr>
      <w:r>
        <w:t xml:space="preserve">Paso 8 · Commit y publicación en GitHub</w:t>
      </w:r>
    </w:p>
    <w:p>
      <w:pPr>
        <w:spacing w:after="160"/>
      </w:pPr>
      <w:r>
        <w:t xml:space="preserve">Con todo probado localmente, se agregaron los 60 archivos nuevos, se comiteó el trabajo y se subió a la rama main del repositorio del equipo.</w:t>
      </w:r>
    </w:p>
    <w:p>
      <w:pPr>
        <w:pBdr>
          <w:top w:val="single" w:color="D8D1BF" w:sz="2"/>
          <w:bottom w:val="single" w:color="D8D1BF" w:sz="2"/>
          <w:left w:val="single" w:color="D8D1BF" w:sz="2"/>
          <w:right w:val="single" w:color="D8D1BF" w:sz="2"/>
        </w:pBdr>
        <w:shd w:fill="F4F1EA" w:val="clear"/>
        <w:spacing w:after="200" w:before="12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git add -A
git commit -m "Desarrollar Fases A-E del plan de trabajo..."
git push origin main</w:t>
      </w:r>
    </w:p>
    <w:p>
      <w:pPr>
        <w:spacing w:after="80" w:before="200"/>
        <w:jc w:val="center"/>
      </w:pPr>
      <w:r>
        <w:drawing>
          <wp:inline distT="0" distB="0" distL="0" distR="0">
            <wp:extent cx="53340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4A5A63"/>
          <w:sz w:val="19"/>
          <w:szCs w:val="19"/>
        </w:rPr>
        <w:t xml:space="preserve">Figura 8.1 — Commit (60 archivos, 6972 líneas añadidas) y push exitoso a GitHub.</w:t>
      </w:r>
    </w:p>
    <w:p>
      <w:pPr>
        <w:pStyle w:val="Heading1"/>
        <w:spacing w:after="200" w:before="400"/>
      </w:pPr>
      <w:r>
        <w:t xml:space="preserve">Resumen del proceso completo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600"/>
        <w:gridCol w:w="2800"/>
      </w:tblGrid>
      <w:tr>
        <w:tc>
          <w:tcPr>
            <w:tcW w:type="dxa" w:w="1200"/>
            <w:shd w:fill="1D2B36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Paso</w:t>
            </w:r>
          </w:p>
        </w:tc>
        <w:tc>
          <w:tcPr>
            <w:tcW w:type="dxa" w:w="5600"/>
            <w:shd w:fill="1D2B36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se hizo</w:t>
            </w:r>
          </w:p>
        </w:tc>
        <w:tc>
          <w:tcPr>
            <w:tcW w:type="dxa" w:w="2800"/>
            <w:shd w:fill="1D2B36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Evidencia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56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Clonar el repositorio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Figura 1.1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56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Crear estructura de carpetas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Figura 2.1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56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Implementar familia3 (NB, MLP, GPR + verificación NumPy)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Tabla de módulos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56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19 pruebas automatizadas en verde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Figura 4.1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56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Entrenar, exportar a ONNX y registrar (SHA-256)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Figura 5.1, tabla de métricas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56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 notebooks ejecutados sin errores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Figura 6.1 + 10 figuras reales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56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Sitio web funcionando con los modelos reales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Figuras 7.1 a 7.5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56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Commit y push a GitHub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Figura 8.1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rPr>
          <w:i/>
          <w:iCs/>
          <w:color w:val="4A5A63"/>
          <w:sz w:val="20"/>
          <w:szCs w:val="20"/>
        </w:rPr>
        <w:t xml:space="preserve">Pendiente de decisión del equipo: fecha de entrega, nombre del sitio de Netlify y el despliegue final. El detalle teórico completo (formulación, criterio de optimización, algoritmo de aprendizaje y verificación de cada modelo) está en informe/INFORME_TECNICO.md, dentro del mismo repositorio.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pPr>
      <w:spacing w:after="200" w:before="400"/>
    </w:pPr>
    <w:rPr>
      <w:b/>
      <w:bCs/>
      <w:color w:val="1D2B36"/>
      <w:sz w:val="30"/>
      <w:szCs w:val="30"/>
    </w:rPr>
  </w:style>
  <w:style w:type="paragraph" w:styleId="Heading2">
    <w:name w:val="Heading 2"/>
    <w:pPr>
      <w:spacing w:after="140" w:before="260"/>
    </w:pPr>
    <w:rPr>
      <w:b/>
      <w:bCs/>
      <w:color w:val="C1440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275fae2fe8d37c346230a313d9b34716887bf95.jpg"/><Relationship Id="rId8" Type="http://schemas.openxmlformats.org/officeDocument/2006/relationships/image" Target="media/7884244e31d258ae83d3ea19b7e47a6664e53956.jpg"/><Relationship Id="rId9" Type="http://schemas.openxmlformats.org/officeDocument/2006/relationships/image" Target="media/c064aaa7ad7894156415ec17924d9466f26fba50.jpg"/><Relationship Id="rId10" Type="http://schemas.openxmlformats.org/officeDocument/2006/relationships/image" Target="media/a7404c0e842a6cfdd2f318f4a12a91fa18d402ee.jpg"/><Relationship Id="rId11" Type="http://schemas.openxmlformats.org/officeDocument/2006/relationships/image" Target="media/f98cdd8011bfcd02c635c7df9d318a7843275dd4.jpg"/><Relationship Id="rId12" Type="http://schemas.openxmlformats.org/officeDocument/2006/relationships/image" Target="media/11aae73b758789ce2d1bb4b7e1de016a74954cb5.png"/><Relationship Id="rId13" Type="http://schemas.openxmlformats.org/officeDocument/2006/relationships/image" Target="media/ba721cc9b5c867c1d407343561a696b24f963be8.png"/><Relationship Id="rId14" Type="http://schemas.openxmlformats.org/officeDocument/2006/relationships/image" Target="media/3315b88ad4598c4d9412c1b7aae7dec41aef7521.png"/><Relationship Id="rId15" Type="http://schemas.openxmlformats.org/officeDocument/2006/relationships/image" Target="media/fe56edc402bd474da67ed8476025c2a122776d8d.png"/><Relationship Id="rId16" Type="http://schemas.openxmlformats.org/officeDocument/2006/relationships/image" Target="media/3d5da451b1d54fdbae3471f01b948883a55a2e75.png"/><Relationship Id="rId17" Type="http://schemas.openxmlformats.org/officeDocument/2006/relationships/image" Target="media/cde7fae16ae3dfb3c238604fab3587019181aec0.png"/><Relationship Id="rId18" Type="http://schemas.openxmlformats.org/officeDocument/2006/relationships/image" Target="media/020a6e208cb9cf9c19a1958717e38338ea204c5c.png"/><Relationship Id="rId19" Type="http://schemas.openxmlformats.org/officeDocument/2006/relationships/image" Target="media/b0e76bf7d440dd7d36deedf5b5a7b4a5f8586d7f.png"/><Relationship Id="rId20" Type="http://schemas.openxmlformats.org/officeDocument/2006/relationships/image" Target="media/b337cb38792a0ef810abbe3314dbf0533982fc01.png"/><Relationship Id="rId21" Type="http://schemas.openxmlformats.org/officeDocument/2006/relationships/image" Target="media/5da3aa3b6a10d0777e6fd466b9bebee9f2e2fdb8.png"/><Relationship Id="rId22" Type="http://schemas.openxmlformats.org/officeDocument/2006/relationships/image" Target="media/6b97afec869b729bba1c741f388090a0958b0175.jpg"/><Relationship Id="rId23" Type="http://schemas.openxmlformats.org/officeDocument/2006/relationships/image" Target="media/341db234c74dcb425833934246e3f45404427d93.jpg"/><Relationship Id="rId24" Type="http://schemas.openxmlformats.org/officeDocument/2006/relationships/image" Target="media/8e4b6eecde3fd756725c0b55413345451b63b3a3.jpg"/><Relationship Id="rId25" Type="http://schemas.openxmlformats.org/officeDocument/2006/relationships/image" Target="media/fd9ef64bff9a1e1f5462d7789fedd3b637766ddc.jpg"/><Relationship Id="rId26" Type="http://schemas.openxmlformats.org/officeDocument/2006/relationships/image" Target="media/19f4c88ba3a78822098ebf481c7f96d867a84e59.jpg"/><Relationship Id="rId27" Type="http://schemas.openxmlformats.org/officeDocument/2006/relationships/image" Target="media/5e1ef646381817718c1e57bc92f922e461ddc7ed.jpg"/><Relationship Id="rId2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2026-10-28T17:09:40.988Z</dcterms:created>
  <dcterms:modified xsi:type="dcterms:W3CDTF">2026-10-28T17:09:40.988Z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