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9469" w14:textId="6E343F79" w:rsidR="00F2688F" w:rsidRPr="00A4781E" w:rsidRDefault="00000000">
      <w:pPr>
        <w:jc w:val="center"/>
        <w:rPr>
          <w:lang w:val="pt-BR"/>
        </w:rPr>
      </w:pPr>
      <w:r w:rsidRPr="00A4781E">
        <w:rPr>
          <w:b/>
          <w:sz w:val="40"/>
          <w:lang w:val="pt-BR"/>
        </w:rPr>
        <w:t>Detecção de Fraudes com KYC e KYT</w:t>
      </w:r>
    </w:p>
    <w:p w14:paraId="4DA368F8" w14:textId="6573F20D" w:rsidR="00F2688F" w:rsidRPr="00A4781E" w:rsidRDefault="00000000">
      <w:pPr>
        <w:jc w:val="center"/>
        <w:rPr>
          <w:lang w:val="pt-BR"/>
        </w:rPr>
      </w:pPr>
      <w:r w:rsidRPr="00A4781E">
        <w:rPr>
          <w:i/>
          <w:sz w:val="24"/>
          <w:lang w:val="pt-BR"/>
        </w:rPr>
        <w:t xml:space="preserve">Revisão de literatura e integração com um pipeline reprodutível </w:t>
      </w:r>
    </w:p>
    <w:p w14:paraId="10FED06F" w14:textId="77777777" w:rsidR="00F2688F" w:rsidRPr="00A4781E" w:rsidRDefault="00000000">
      <w:pPr>
        <w:jc w:val="center"/>
        <w:rPr>
          <w:lang w:val="pt-BR"/>
        </w:rPr>
      </w:pPr>
      <w:r w:rsidRPr="00A4781E">
        <w:rPr>
          <w:sz w:val="20"/>
          <w:lang w:val="pt-BR"/>
        </w:rPr>
        <w:t>Data: 22 de dezembro de 2025</w:t>
      </w:r>
    </w:p>
    <w:p w14:paraId="7543EFF7" w14:textId="77777777" w:rsidR="00F2688F" w:rsidRPr="00A4781E" w:rsidRDefault="00000000" w:rsidP="006653DB">
      <w:pPr>
        <w:pStyle w:val="Ttulo1"/>
        <w:jc w:val="both"/>
        <w:rPr>
          <w:lang w:val="pt-BR"/>
        </w:rPr>
      </w:pPr>
      <w:r w:rsidRPr="00A4781E">
        <w:rPr>
          <w:lang w:val="pt-BR"/>
        </w:rPr>
        <w:t>Resumo</w:t>
      </w:r>
    </w:p>
    <w:p w14:paraId="4A59BB6F" w14:textId="75E7F18F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 xml:space="preserve">Este </w:t>
      </w:r>
      <w:r w:rsidR="00A4781E">
        <w:rPr>
          <w:lang w:val="pt-BR"/>
        </w:rPr>
        <w:t xml:space="preserve">projeto é </w:t>
      </w:r>
      <w:r w:rsidRPr="00A4781E">
        <w:rPr>
          <w:lang w:val="pt-BR"/>
        </w:rPr>
        <w:t xml:space="preserve">uma revisão </w:t>
      </w:r>
      <w:r w:rsidR="00A4781E">
        <w:rPr>
          <w:lang w:val="pt-BR"/>
        </w:rPr>
        <w:t>de artigos</w:t>
      </w:r>
      <w:r w:rsidRPr="00A4781E">
        <w:rPr>
          <w:lang w:val="pt-BR"/>
        </w:rPr>
        <w:t xml:space="preserve"> </w:t>
      </w:r>
      <w:r w:rsidR="00A4781E">
        <w:rPr>
          <w:lang w:val="pt-BR"/>
        </w:rPr>
        <w:t>com</w:t>
      </w:r>
      <w:r w:rsidRPr="00A4781E">
        <w:rPr>
          <w:lang w:val="pt-BR"/>
        </w:rPr>
        <w:t xml:space="preserve"> abordagens de ciência de dados aplicadas à detecção de fraude e comportamentos suspeitos em processos de Know Your Customer (KYC) e Know Your Transaction (KYT). </w:t>
      </w:r>
      <w:r w:rsidR="00A4781E">
        <w:rPr>
          <w:lang w:val="pt-BR"/>
        </w:rPr>
        <w:t xml:space="preserve">O que a </w:t>
      </w:r>
      <w:r w:rsidRPr="00A4781E">
        <w:rPr>
          <w:lang w:val="pt-BR"/>
        </w:rPr>
        <w:t>literatura recente converge</w:t>
      </w:r>
      <w:r w:rsidR="00A4781E">
        <w:rPr>
          <w:lang w:val="pt-BR"/>
        </w:rPr>
        <w:t>, é</w:t>
      </w:r>
      <w:r w:rsidRPr="00A4781E">
        <w:rPr>
          <w:lang w:val="pt-BR"/>
        </w:rPr>
        <w:t xml:space="preserve"> um desenho operacional híbrido: sinais cadastrais e de relacionamento (KYC) </w:t>
      </w:r>
      <w:r w:rsidR="00A4781E">
        <w:rPr>
          <w:lang w:val="pt-BR"/>
        </w:rPr>
        <w:t xml:space="preserve">que </w:t>
      </w:r>
      <w:r w:rsidRPr="00A4781E">
        <w:rPr>
          <w:lang w:val="pt-BR"/>
        </w:rPr>
        <w:t>fornecem contexto, enquanto padrões de transação e dinâmica de saldo (KYT) fornecem evidência comportamental;</w:t>
      </w:r>
      <w:r w:rsidR="00A4781E">
        <w:rPr>
          <w:lang w:val="pt-BR"/>
        </w:rPr>
        <w:t xml:space="preserve"> o que muito se mostra são</w:t>
      </w:r>
      <w:r w:rsidRPr="00A4781E">
        <w:rPr>
          <w:lang w:val="pt-BR"/>
        </w:rPr>
        <w:t xml:space="preserve"> modelos supervisionados, detecção de anomalias e técnicas baseadas em grafos </w:t>
      </w:r>
      <w:r w:rsidR="00A4781E">
        <w:rPr>
          <w:lang w:val="pt-BR"/>
        </w:rPr>
        <w:t>que</w:t>
      </w:r>
      <w:r w:rsidRPr="00A4781E">
        <w:rPr>
          <w:lang w:val="pt-BR"/>
        </w:rPr>
        <w:t xml:space="preserve"> combinados </w:t>
      </w:r>
      <w:r w:rsidR="00A4781E">
        <w:rPr>
          <w:lang w:val="pt-BR"/>
        </w:rPr>
        <w:t>reduzem</w:t>
      </w:r>
      <w:r w:rsidRPr="00A4781E">
        <w:rPr>
          <w:lang w:val="pt-BR"/>
        </w:rPr>
        <w:t xml:space="preserve"> falsos positivos e acelera</w:t>
      </w:r>
      <w:r w:rsidR="00A4781E">
        <w:rPr>
          <w:lang w:val="pt-BR"/>
        </w:rPr>
        <w:t>ram</w:t>
      </w:r>
      <w:r w:rsidRPr="00A4781E">
        <w:rPr>
          <w:lang w:val="pt-BR"/>
        </w:rPr>
        <w:t xml:space="preserve"> o tempo até ação. Para tornar essa síntese aplicável, incorpor</w:t>
      </w:r>
      <w:r w:rsidR="00A4781E">
        <w:rPr>
          <w:lang w:val="pt-BR"/>
        </w:rPr>
        <w:t>ei</w:t>
      </w:r>
      <w:r w:rsidRPr="00A4781E">
        <w:rPr>
          <w:lang w:val="pt-BR"/>
        </w:rPr>
        <w:t xml:space="preserve"> um estudo metodológico reprodutível (material suplementar em notebook Jupyter) usando o PKDD’99 Czech Banking Dataset, no qual integr</w:t>
      </w:r>
      <w:r w:rsidR="00A4781E">
        <w:rPr>
          <w:lang w:val="pt-BR"/>
        </w:rPr>
        <w:t>ei</w:t>
      </w:r>
      <w:r w:rsidRPr="00A4781E">
        <w:rPr>
          <w:lang w:val="pt-BR"/>
        </w:rPr>
        <w:t xml:space="preserve"> variáveis contratuais (proxy de sinais estáticos) e estatísticas agregadas de transações (proxy de sinais comportamentais) para prever um evento adverso raro (status de empréstimo em atraso). Embora o alvo do estudo de caso não seja um rótulo de fraude em si, o pipeline reflete decisões centrais em fraude: engenharia de atributos em janelas/contas, aprendizado sensível a desbalanceamento, otimização de hiperparâmetros, ajuste de limiar e empacotamento para inferência em produção. Por fim, discu</w:t>
      </w:r>
      <w:r w:rsidR="00A4781E">
        <w:rPr>
          <w:lang w:val="pt-BR"/>
        </w:rPr>
        <w:t>to</w:t>
      </w:r>
      <w:r w:rsidRPr="00A4781E">
        <w:rPr>
          <w:lang w:val="pt-BR"/>
        </w:rPr>
        <w:t xml:space="preserve"> esses achados</w:t>
      </w:r>
      <w:r w:rsidR="00A4781E">
        <w:rPr>
          <w:lang w:val="pt-BR"/>
        </w:rPr>
        <w:t>, e como</w:t>
      </w:r>
      <w:r w:rsidRPr="00A4781E">
        <w:rPr>
          <w:lang w:val="pt-BR"/>
        </w:rPr>
        <w:t xml:space="preserve"> podem ser adaptados por fintechs para acelerar detecção, priorização e resposta, preservando auditabilidade e governança.</w:t>
      </w:r>
    </w:p>
    <w:p w14:paraId="36C993B4" w14:textId="77777777" w:rsidR="006653DB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>Palavras-chave: fraude; KYC; KYT; AML; ciência de dados; engenharia de atributos; detecção de anomalias; grafos; GNN; monitoramento transacional</w:t>
      </w:r>
    </w:p>
    <w:p w14:paraId="05F4DF29" w14:textId="56EE119F" w:rsidR="006653DB" w:rsidRDefault="006653DB" w:rsidP="006653DB">
      <w:pPr>
        <w:jc w:val="both"/>
        <w:rPr>
          <w:lang w:val="pt-BR"/>
        </w:rPr>
        <w:sectPr w:rsidR="006653DB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A6F2C01" w14:textId="77777777" w:rsidR="00F2688F" w:rsidRPr="00A4781E" w:rsidRDefault="00000000" w:rsidP="006653DB">
      <w:pPr>
        <w:pStyle w:val="Ttulo1"/>
        <w:jc w:val="both"/>
        <w:rPr>
          <w:lang w:val="pt-BR"/>
        </w:rPr>
      </w:pPr>
      <w:r w:rsidRPr="00A4781E">
        <w:rPr>
          <w:lang w:val="pt-BR"/>
        </w:rPr>
        <w:t>1. Introdução</w:t>
      </w:r>
    </w:p>
    <w:p w14:paraId="35F7F037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 xml:space="preserve">A digitalização de serviços financeiros (onboarding remoto, pagamentos instantâneos, carteiras digitais e plataformas de crédito) aumentou o volume, a velocidade e a diversidade de interações econômicas. Em paralelo, elevou a superfície de ataque para fraudes de identidade, contas laranja (mule accounts), tomada de conta (account takeover) e tipologias de lavagem de dinheiro. Nesse contexto, KYC e KYT deixam de ser etapas isoladas de compliance e passam a </w:t>
      </w:r>
      <w:r w:rsidRPr="00A4781E">
        <w:rPr>
          <w:lang w:val="pt-BR"/>
        </w:rPr>
        <w:t xml:space="preserve">funcionar como um sistema contínuo de decisão: KYC responde “quem é o cliente e qual é seu risco provável”, enquanto KYT responde “o que o cliente está fazendo e quão compatível isso é com seu perfil e histórico”. O desafio técnico é que a fraude é um evento raro, com rótulos frequentemente atrasados e sujeitos a ruído; além disso, fraudadores adaptam estratégias para parecerem “normais”, o que limita abordagens puramente baseadas em regras ou em detecção de outliers. A literatura recente tem avançado em três frentes principais: (i) modelos </w:t>
      </w:r>
      <w:r w:rsidRPr="00A4781E">
        <w:rPr>
          <w:lang w:val="pt-BR"/>
        </w:rPr>
        <w:lastRenderedPageBreak/>
        <w:t>supervisionados e híbridos (regras + ML) para priorização e redução de falsos positivos; (ii) modelos não supervisionados/semissupervisionados para descoberta de padrões novos; e (iii) métodos relacionais baseados em grafos para capturar fraude coordenada.</w:t>
      </w:r>
    </w:p>
    <w:p w14:paraId="03C73D42" w14:textId="77777777" w:rsidR="00F2688F" w:rsidRPr="00A4781E" w:rsidRDefault="00000000" w:rsidP="006653DB">
      <w:pPr>
        <w:pStyle w:val="Ttulo1"/>
        <w:jc w:val="both"/>
        <w:rPr>
          <w:lang w:val="pt-BR"/>
        </w:rPr>
      </w:pPr>
      <w:r w:rsidRPr="00A4781E">
        <w:rPr>
          <w:lang w:val="pt-BR"/>
        </w:rPr>
        <w:t>2. Escopo e lógica de integração entre revisão e notebook</w:t>
      </w:r>
    </w:p>
    <w:p w14:paraId="0D85C733" w14:textId="3278E0EC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 xml:space="preserve">O texto está organizado em duas camadas complementares. A primeira é uma revisão narrativa de métodos de ciência de dados para KYC e KYT, com ênfase em: (a) sinais de demografia/idade de conta e relacionamento (KYC) e (b) padrões de gasto, flutuações de saldo e frequência transacional (KYT), incluindo técnicas tabulares, sequenciais e baseadas em grafos. A segunda camada é um estudo metodológico reprodutível em notebook, incluído porque revisões aplicadas frequentemente sofrem um “gap” entre conceitos e implementação: termos como velocity features, PR-AUC, tuning, thresholds e model persistence são citados, mas não mostrados de forma integrada. Assim, o notebook funciona como um exemplo executável que conecta a revisão a um pipeline completo (dados → features → modelos → métricas → tuning → limiar → </w:t>
      </w:r>
      <w:r w:rsidRPr="00A4781E">
        <w:rPr>
          <w:lang w:val="pt-BR"/>
        </w:rPr>
        <w:t>artefato de implantação). Para evitar confusão conceitual, tratamos o notebook como uma ilustração metodológica (não como evidência causal/definitiva do estado da arte): seus resultados servem para demonstrar trade-offs e decisões de projeto que também aparecem em detecção de fraude real.</w:t>
      </w:r>
    </w:p>
    <w:p w14:paraId="6037A82C" w14:textId="77777777" w:rsidR="00F2688F" w:rsidRPr="00A4781E" w:rsidRDefault="00000000" w:rsidP="006653DB">
      <w:pPr>
        <w:pStyle w:val="Ttulo1"/>
        <w:jc w:val="both"/>
        <w:rPr>
          <w:lang w:val="pt-BR"/>
        </w:rPr>
      </w:pPr>
      <w:r w:rsidRPr="00A4781E">
        <w:rPr>
          <w:lang w:val="pt-BR"/>
        </w:rPr>
        <w:t>3. Sinais e representações: como transformar KYC e KYT em variáveis modeláveis</w:t>
      </w:r>
    </w:p>
    <w:p w14:paraId="523B861C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>Do ponto de vista de modelagem, o problema pode ser formulado como classificação (fraude vs. não fraude), ranqueamento (priorizar alertas) ou detecção de anomalia (identificar comportamentos raros). A escolha da representação é decisiva para desempenho e latência: representações tabulares (features agregadas) são rápidas e interpretáveis; representações sequenciais preservam ordem temporal; e representações em grafo capturam dependências e coordenação entre entidades.</w:t>
      </w:r>
    </w:p>
    <w:p w14:paraId="5094D01D" w14:textId="3F7C56DC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br w:type="page"/>
      </w:r>
    </w:p>
    <w:p w14:paraId="1E21CE2F" w14:textId="77777777" w:rsidR="006653DB" w:rsidRDefault="006653DB">
      <w:pPr>
        <w:rPr>
          <w:lang w:val="pt-BR"/>
        </w:rPr>
        <w:sectPr w:rsidR="006653DB" w:rsidSect="006653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800D09C" w14:textId="77777777" w:rsidR="00F2688F" w:rsidRPr="00A4781E" w:rsidRDefault="00000000">
      <w:pPr>
        <w:rPr>
          <w:lang w:val="pt-BR"/>
        </w:rPr>
      </w:pPr>
      <w:r w:rsidRPr="00A4781E">
        <w:rPr>
          <w:lang w:val="pt-BR"/>
        </w:rPr>
        <w:lastRenderedPageBreak/>
        <w:t>Tabela 1. Exemplos de sinais e técnicas por domínio (KYC vs KYT).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3456"/>
        <w:gridCol w:w="2160"/>
      </w:tblGrid>
      <w:tr w:rsidR="00F2688F" w14:paraId="3DF4102E" w14:textId="77777777">
        <w:trPr>
          <w:cantSplit/>
          <w:jc w:val="center"/>
        </w:trPr>
        <w:tc>
          <w:tcPr>
            <w:tcW w:w="1728" w:type="dxa"/>
          </w:tcPr>
          <w:p w14:paraId="524FD5F9" w14:textId="77777777" w:rsidR="00F2688F" w:rsidRDefault="00000000">
            <w:r>
              <w:rPr>
                <w:b/>
                <w:sz w:val="20"/>
              </w:rPr>
              <w:t>Domínio</w:t>
            </w:r>
          </w:p>
        </w:tc>
        <w:tc>
          <w:tcPr>
            <w:tcW w:w="2160" w:type="dxa"/>
          </w:tcPr>
          <w:p w14:paraId="5BD0A179" w14:textId="77777777" w:rsidR="00F2688F" w:rsidRDefault="00000000">
            <w:r>
              <w:rPr>
                <w:b/>
                <w:sz w:val="20"/>
              </w:rPr>
              <w:t>Sinais típicos</w:t>
            </w:r>
          </w:p>
        </w:tc>
        <w:tc>
          <w:tcPr>
            <w:tcW w:w="3456" w:type="dxa"/>
          </w:tcPr>
          <w:p w14:paraId="6DCF8E00" w14:textId="77777777" w:rsidR="00F2688F" w:rsidRDefault="00000000">
            <w:r>
              <w:rPr>
                <w:b/>
                <w:sz w:val="20"/>
              </w:rPr>
              <w:t>Exemplos de features</w:t>
            </w:r>
          </w:p>
        </w:tc>
        <w:tc>
          <w:tcPr>
            <w:tcW w:w="2160" w:type="dxa"/>
          </w:tcPr>
          <w:p w14:paraId="4E87772E" w14:textId="77777777" w:rsidR="00F2688F" w:rsidRDefault="00000000">
            <w:r>
              <w:rPr>
                <w:b/>
                <w:sz w:val="20"/>
              </w:rPr>
              <w:t>Técnicas comuns</w:t>
            </w:r>
          </w:p>
        </w:tc>
      </w:tr>
      <w:tr w:rsidR="00F2688F" w:rsidRPr="00A4781E" w14:paraId="36F67649" w14:textId="77777777">
        <w:trPr>
          <w:cantSplit/>
          <w:jc w:val="center"/>
        </w:trPr>
        <w:tc>
          <w:tcPr>
            <w:tcW w:w="1728" w:type="dxa"/>
          </w:tcPr>
          <w:p w14:paraId="571D80D6" w14:textId="77777777" w:rsidR="00F2688F" w:rsidRPr="00A4781E" w:rsidRDefault="00000000">
            <w:pPr>
              <w:rPr>
                <w:highlight w:val="yellow"/>
              </w:rPr>
            </w:pPr>
            <w:r w:rsidRPr="00A4781E">
              <w:rPr>
                <w:sz w:val="20"/>
                <w:highlight w:val="yellow"/>
              </w:rPr>
              <w:t>KYC (identidade e perfil)</w:t>
            </w:r>
          </w:p>
        </w:tc>
        <w:tc>
          <w:tcPr>
            <w:tcW w:w="2160" w:type="dxa"/>
          </w:tcPr>
          <w:p w14:paraId="21E48090" w14:textId="0B46B94A" w:rsidR="00F2688F" w:rsidRPr="00A4781E" w:rsidRDefault="00000000">
            <w:pPr>
              <w:rPr>
                <w:highlight w:val="yellow"/>
                <w:lang w:val="pt-BR"/>
              </w:rPr>
            </w:pPr>
            <w:r w:rsidRPr="00A4781E">
              <w:rPr>
                <w:sz w:val="20"/>
                <w:highlight w:val="yellow"/>
                <w:lang w:val="pt-BR"/>
              </w:rPr>
              <w:t>demografia; tenure; consistência cadastral; device/IP; relações</w:t>
            </w:r>
            <w:r w:rsidR="00A4781E" w:rsidRPr="00A4781E">
              <w:rPr>
                <w:sz w:val="20"/>
                <w:highlight w:val="yellow"/>
                <w:lang w:val="pt-BR"/>
              </w:rPr>
              <w:t xml:space="preserve"> (como detalhar isso?)</w:t>
            </w:r>
          </w:p>
        </w:tc>
        <w:tc>
          <w:tcPr>
            <w:tcW w:w="3456" w:type="dxa"/>
          </w:tcPr>
          <w:p w14:paraId="5624E097" w14:textId="47EAD631" w:rsidR="00F2688F" w:rsidRPr="00A4781E" w:rsidRDefault="00000000">
            <w:pPr>
              <w:rPr>
                <w:highlight w:val="yellow"/>
                <w:lang w:val="pt-BR"/>
              </w:rPr>
            </w:pPr>
            <w:r w:rsidRPr="00A4781E">
              <w:rPr>
                <w:sz w:val="20"/>
                <w:highlight w:val="yellow"/>
                <w:lang w:val="pt-BR"/>
              </w:rPr>
              <w:t>account_age; #mudanças; inconsistências; shared device/IP; similaridade; grau em grafo</w:t>
            </w:r>
            <w:r w:rsidR="00A4781E" w:rsidRPr="00A4781E">
              <w:rPr>
                <w:sz w:val="20"/>
                <w:highlight w:val="yellow"/>
                <w:lang w:val="pt-BR"/>
              </w:rPr>
              <w:t>(como fazer esse contexto num notebook jupyter?)</w:t>
            </w:r>
          </w:p>
        </w:tc>
        <w:tc>
          <w:tcPr>
            <w:tcW w:w="2160" w:type="dxa"/>
          </w:tcPr>
          <w:p w14:paraId="5FC8D73F" w14:textId="450AB2AF" w:rsidR="00F2688F" w:rsidRPr="00A4781E" w:rsidRDefault="00000000">
            <w:pPr>
              <w:rPr>
                <w:highlight w:val="yellow"/>
              </w:rPr>
            </w:pPr>
            <w:r w:rsidRPr="00A4781E">
              <w:rPr>
                <w:sz w:val="20"/>
                <w:highlight w:val="yellow"/>
              </w:rPr>
              <w:t>regras + ML; entity resolution; grafos; xAI/fairness</w:t>
            </w:r>
            <w:r w:rsidR="004B19A2">
              <w:rPr>
                <w:sz w:val="20"/>
                <w:highlight w:val="yellow"/>
              </w:rPr>
              <w:t>00</w:t>
            </w:r>
          </w:p>
        </w:tc>
      </w:tr>
      <w:tr w:rsidR="00F2688F" w14:paraId="10E07C87" w14:textId="77777777">
        <w:trPr>
          <w:cantSplit/>
          <w:jc w:val="center"/>
        </w:trPr>
        <w:tc>
          <w:tcPr>
            <w:tcW w:w="1728" w:type="dxa"/>
          </w:tcPr>
          <w:p w14:paraId="2824A5AA" w14:textId="77777777" w:rsidR="00F2688F" w:rsidRDefault="00000000">
            <w:r>
              <w:rPr>
                <w:sz w:val="20"/>
              </w:rPr>
              <w:t>KYT (comportamento transacional)</w:t>
            </w:r>
          </w:p>
        </w:tc>
        <w:tc>
          <w:tcPr>
            <w:tcW w:w="2160" w:type="dxa"/>
          </w:tcPr>
          <w:p w14:paraId="20F427C0" w14:textId="77777777" w:rsidR="00F2688F" w:rsidRPr="00A4781E" w:rsidRDefault="00000000">
            <w:pPr>
              <w:rPr>
                <w:lang w:val="pt-BR"/>
              </w:rPr>
            </w:pPr>
            <w:r w:rsidRPr="00A4781E">
              <w:rPr>
                <w:sz w:val="20"/>
                <w:lang w:val="pt-BR"/>
              </w:rPr>
              <w:t>padrões de gasto; dinâmica temporal; saldo; velocidade; contrapartes</w:t>
            </w:r>
          </w:p>
        </w:tc>
        <w:tc>
          <w:tcPr>
            <w:tcW w:w="3456" w:type="dxa"/>
          </w:tcPr>
          <w:p w14:paraId="51A5C50B" w14:textId="77777777" w:rsidR="00F2688F" w:rsidRPr="00A4781E" w:rsidRDefault="00000000">
            <w:pPr>
              <w:rPr>
                <w:lang w:val="pt-BR"/>
              </w:rPr>
            </w:pPr>
            <w:r w:rsidRPr="00A4781E">
              <w:rPr>
                <w:sz w:val="20"/>
                <w:lang w:val="pt-BR"/>
              </w:rPr>
              <w:t>tx_count/janela; inter_tx_time; quantis de valor; balance_std/range; novos beneficiários</w:t>
            </w:r>
          </w:p>
        </w:tc>
        <w:tc>
          <w:tcPr>
            <w:tcW w:w="2160" w:type="dxa"/>
          </w:tcPr>
          <w:p w14:paraId="5F851E19" w14:textId="77777777" w:rsidR="00F2688F" w:rsidRDefault="00000000">
            <w:r>
              <w:rPr>
                <w:sz w:val="20"/>
              </w:rPr>
              <w:t>GBMs; modelos sequenciais; autoencoders; grafos; hard stops</w:t>
            </w:r>
          </w:p>
        </w:tc>
      </w:tr>
      <w:tr w:rsidR="00F2688F" w:rsidRPr="00A4781E" w14:paraId="7E06687B" w14:textId="77777777">
        <w:trPr>
          <w:cantSplit/>
          <w:jc w:val="center"/>
        </w:trPr>
        <w:tc>
          <w:tcPr>
            <w:tcW w:w="1728" w:type="dxa"/>
          </w:tcPr>
          <w:p w14:paraId="0F15F98C" w14:textId="77777777" w:rsidR="00F2688F" w:rsidRDefault="00000000">
            <w:r>
              <w:rPr>
                <w:sz w:val="20"/>
              </w:rPr>
              <w:t>Integração KYC-KYT</w:t>
            </w:r>
          </w:p>
        </w:tc>
        <w:tc>
          <w:tcPr>
            <w:tcW w:w="2160" w:type="dxa"/>
          </w:tcPr>
          <w:p w14:paraId="591333AB" w14:textId="77777777" w:rsidR="00F2688F" w:rsidRDefault="00000000">
            <w:r>
              <w:rPr>
                <w:sz w:val="20"/>
              </w:rPr>
              <w:t>contexto + evidência; coortes; rede</w:t>
            </w:r>
          </w:p>
        </w:tc>
        <w:tc>
          <w:tcPr>
            <w:tcW w:w="3456" w:type="dxa"/>
          </w:tcPr>
          <w:p w14:paraId="50B20FB8" w14:textId="77777777" w:rsidR="00F2688F" w:rsidRPr="00A4781E" w:rsidRDefault="00000000">
            <w:pPr>
              <w:rPr>
                <w:lang w:val="pt-BR"/>
              </w:rPr>
            </w:pPr>
            <w:r w:rsidRPr="00A4781E">
              <w:rPr>
                <w:sz w:val="20"/>
                <w:lang w:val="pt-BR"/>
              </w:rPr>
              <w:t>threshold por coorte; prior de risco; score de rede/ring; regras condicionais</w:t>
            </w:r>
          </w:p>
        </w:tc>
        <w:tc>
          <w:tcPr>
            <w:tcW w:w="2160" w:type="dxa"/>
          </w:tcPr>
          <w:p w14:paraId="5A11F590" w14:textId="77777777" w:rsidR="00F2688F" w:rsidRPr="00A4781E" w:rsidRDefault="00000000">
            <w:pPr>
              <w:rPr>
                <w:lang w:val="pt-BR"/>
              </w:rPr>
            </w:pPr>
            <w:r w:rsidRPr="00A4781E">
              <w:rPr>
                <w:sz w:val="20"/>
                <w:lang w:val="pt-BR"/>
              </w:rPr>
              <w:t>pipeline em camadas; drift/monitoramento; calibração de limiar; case mgmt</w:t>
            </w:r>
          </w:p>
        </w:tc>
      </w:tr>
    </w:tbl>
    <w:p w14:paraId="0626D908" w14:textId="77777777" w:rsidR="006653DB" w:rsidRPr="006653DB" w:rsidRDefault="006653DB" w:rsidP="006653DB">
      <w:pPr>
        <w:rPr>
          <w:lang w:val="pt-BR"/>
        </w:rPr>
        <w:sectPr w:rsidR="006653DB" w:rsidRPr="006653DB" w:rsidSect="006653DB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94F670F" w14:textId="5B798256" w:rsidR="006653DB" w:rsidRDefault="006653DB" w:rsidP="006653DB">
      <w:pPr>
        <w:pStyle w:val="Ttulo1"/>
        <w:jc w:val="both"/>
        <w:rPr>
          <w:lang w:val="pt-BR"/>
        </w:rPr>
      </w:pPr>
    </w:p>
    <w:p w14:paraId="313D98FD" w14:textId="77777777" w:rsidR="006653DB" w:rsidRDefault="006653DB" w:rsidP="006653DB">
      <w:pPr>
        <w:pStyle w:val="Ttulo1"/>
        <w:jc w:val="both"/>
        <w:rPr>
          <w:lang w:val="pt-BR"/>
        </w:rPr>
        <w:sectPr w:rsidR="006653DB" w:rsidSect="006653DB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6E32859" w14:textId="036F20F1" w:rsidR="00F2688F" w:rsidRPr="00A4781E" w:rsidRDefault="00000000" w:rsidP="006653DB">
      <w:pPr>
        <w:pStyle w:val="Ttulo1"/>
        <w:jc w:val="both"/>
        <w:rPr>
          <w:lang w:val="pt-BR"/>
        </w:rPr>
      </w:pPr>
      <w:r w:rsidRPr="00A4781E">
        <w:rPr>
          <w:lang w:val="pt-BR"/>
        </w:rPr>
        <w:t>4. Metodologias e técnicas para KYC</w:t>
      </w:r>
    </w:p>
    <w:p w14:paraId="638FCD4D" w14:textId="77777777" w:rsidR="00F2688F" w:rsidRPr="00A4781E" w:rsidRDefault="00000000" w:rsidP="006653DB">
      <w:pPr>
        <w:pStyle w:val="Ttulo2"/>
        <w:jc w:val="both"/>
        <w:rPr>
          <w:lang w:val="pt-BR"/>
        </w:rPr>
      </w:pPr>
      <w:r w:rsidRPr="00A4781E">
        <w:rPr>
          <w:lang w:val="pt-BR"/>
        </w:rPr>
        <w:t>4.1 Arquiteturas híbridas: regras + aprendizado de máquina</w:t>
      </w:r>
    </w:p>
    <w:p w14:paraId="1EC3DD30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>Em ambientes regulados, regras continuam relevantes porque codificam tipologias conhecidas e são facilmente auditáveis. Entretanto, regras rígidas sofrem com baixa adaptabilidade e tendem a inflar o volume de alertas. Trabalhos recentes propõem arquiteturas híbridas em que um motor de regras gera sinais iniciais e um modelo supervisionado (ou ensemble) recalibra risco, suprime falsos positivos e prioriza casos para investigação [1].</w:t>
      </w:r>
    </w:p>
    <w:p w14:paraId="5B094896" w14:textId="77777777" w:rsidR="00F2688F" w:rsidRPr="00A4781E" w:rsidRDefault="00000000" w:rsidP="006653DB">
      <w:pPr>
        <w:pStyle w:val="Ttulo2"/>
        <w:jc w:val="both"/>
        <w:rPr>
          <w:lang w:val="pt-BR"/>
        </w:rPr>
      </w:pPr>
      <w:r w:rsidRPr="00A4781E">
        <w:rPr>
          <w:lang w:val="pt-BR"/>
        </w:rPr>
        <w:t>4.2 Demografia e idade da conta como contexto de risco</w:t>
      </w:r>
    </w:p>
    <w:p w14:paraId="0E328DA5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 xml:space="preserve">Sinais de demografia e ciclo de vida da conta são úteis como contexto para interpretação de comportamento. Na prática, não se trata de “usar demografia como causa”, mas de calibrar baselines por coortes e detectar incoerências ou </w:t>
      </w:r>
      <w:r w:rsidRPr="00A4781E">
        <w:rPr>
          <w:lang w:val="pt-BR"/>
        </w:rPr>
        <w:t>mudanças abruptas (por exemplo, conta recém-aberta com alto volume transacional ou múltiplas alterações de dados críticos em janela curta). Parte da literatura enfatiza a integração de atributos de conta e histórico com sinais comportamentais, especialmente em populações vulneráveis e contas antigas/dormentes [3].</w:t>
      </w:r>
    </w:p>
    <w:p w14:paraId="44709CAD" w14:textId="77777777" w:rsidR="00F2688F" w:rsidRPr="00A4781E" w:rsidRDefault="00000000" w:rsidP="006653DB">
      <w:pPr>
        <w:pStyle w:val="Ttulo2"/>
        <w:jc w:val="both"/>
        <w:rPr>
          <w:lang w:val="pt-BR"/>
        </w:rPr>
      </w:pPr>
      <w:r w:rsidRPr="00A4781E">
        <w:rPr>
          <w:lang w:val="pt-BR"/>
        </w:rPr>
        <w:t>4.3 Relacionamentos e grafos para fraude de identidade</w:t>
      </w:r>
    </w:p>
    <w:p w14:paraId="2F37795B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>Fraudes de identidade e rings geralmente dependem de relações: compartilhamento de dispositivos, endereços, telefones, documentos e padrões de vínculo entre contas. Métodos baseados em grafos (incluindo Graph Neural Networks) são apropriados para capturar essas estruturas, porque aprendem representações que levam em conta vizinhanças e conectividade. Estudos recentes discutem ganhos de recall e capacidade de detectar coordenação, bem como desafios de escalabilidade e explicabilidade em produção [4].</w:t>
      </w:r>
    </w:p>
    <w:p w14:paraId="7E377019" w14:textId="77777777" w:rsidR="00F2688F" w:rsidRPr="00A4781E" w:rsidRDefault="00000000" w:rsidP="006653DB">
      <w:pPr>
        <w:pStyle w:val="Ttulo1"/>
        <w:jc w:val="both"/>
        <w:rPr>
          <w:lang w:val="pt-BR"/>
        </w:rPr>
      </w:pPr>
      <w:r w:rsidRPr="00A4781E">
        <w:rPr>
          <w:lang w:val="pt-BR"/>
        </w:rPr>
        <w:lastRenderedPageBreak/>
        <w:t>5. Metodologias e técnicas para KYT</w:t>
      </w:r>
    </w:p>
    <w:p w14:paraId="2FD45955" w14:textId="77777777" w:rsidR="00F2688F" w:rsidRPr="00A4781E" w:rsidRDefault="00000000" w:rsidP="006653DB">
      <w:pPr>
        <w:pStyle w:val="Ttulo2"/>
        <w:jc w:val="both"/>
        <w:rPr>
          <w:lang w:val="pt-BR"/>
        </w:rPr>
      </w:pPr>
      <w:r w:rsidRPr="00A4781E">
        <w:rPr>
          <w:lang w:val="pt-BR"/>
        </w:rPr>
        <w:t>5.1 Engenharia de atributos e ensembles para padrões transacionais</w:t>
      </w:r>
    </w:p>
    <w:p w14:paraId="0073DB3D" w14:textId="77777777" w:rsidR="00F2688F" w:rsidRPr="00A4781E" w:rsidRDefault="00000000" w:rsidP="006653DB">
      <w:pPr>
        <w:jc w:val="both"/>
        <w:rPr>
          <w:lang w:val="pt-BR"/>
        </w:rPr>
      </w:pPr>
      <w:r w:rsidRPr="0071017F">
        <w:rPr>
          <w:highlight w:val="yellow"/>
          <w:lang w:val="pt-BR"/>
        </w:rPr>
        <w:t>Apesar do avanço de deep learning, engenharia de atributos permanece central em monitoramento transacional, sobretudo quando a meta é inferência rápida e auditável. Resultados recentes apontam que variáveis relacionadas a valor, frequência e tipo de transação estão entre as mais discriminativas, e que combinações multivariadas superam gatilhos isolados [5]. Em produção, isso normalmente se traduz em agregações por janelas (1 min, 1 h, 24 h, 30 d), medidas de dispersão e indicadores de mudança de regime.</w:t>
      </w:r>
    </w:p>
    <w:p w14:paraId="77AE5FF7" w14:textId="77777777" w:rsidR="00F2688F" w:rsidRDefault="00000000" w:rsidP="006653DB">
      <w:pPr>
        <w:pStyle w:val="Ttulo2"/>
        <w:jc w:val="both"/>
      </w:pPr>
      <w:r>
        <w:t>5.2 Deep learning e detecção on-line</w:t>
      </w:r>
    </w:p>
    <w:p w14:paraId="77A47865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 xml:space="preserve">Modelos de deep learning podem capturar não linearidades e padrões temporais complexos, incluindo sequências de eventos e assinaturas de comportamento. Há </w:t>
      </w:r>
      <w:r w:rsidRPr="00A4781E">
        <w:rPr>
          <w:lang w:val="pt-BR"/>
        </w:rPr>
        <w:t>propostas recentes explorando variantes avançadas (inclusive abordagens inspiradas em computação quântica) para detecção de fraude em pagamentos on-line, com ênfase em integração entre inferência e ação (alerta, bloqueio, autenticação adicional) [6].</w:t>
      </w:r>
    </w:p>
    <w:p w14:paraId="7BABB532" w14:textId="77777777" w:rsidR="00F2688F" w:rsidRPr="00A4781E" w:rsidRDefault="00000000" w:rsidP="006653DB">
      <w:pPr>
        <w:pStyle w:val="Ttulo2"/>
        <w:jc w:val="both"/>
        <w:rPr>
          <w:lang w:val="pt-BR"/>
        </w:rPr>
      </w:pPr>
      <w:r w:rsidRPr="00A4781E">
        <w:rPr>
          <w:lang w:val="pt-BR"/>
        </w:rPr>
        <w:t>5.3 Grafos transacionais: GNNs e bases orientadas a grafos</w:t>
      </w:r>
    </w:p>
    <w:p w14:paraId="05533EC5" w14:textId="4C9CC733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 xml:space="preserve">Para tipologias coordenadas (colusão, triangulações, ciclos e hubs), grafos transacionais oferecem vantagens claras. Um exemplo é o LayerWeighted-GCN, que propõe ponderação adaptativa de camadas para capturar padrões locais e globais em redes financeiras, </w:t>
      </w:r>
      <w:r w:rsidRPr="00A7330A">
        <w:rPr>
          <w:highlight w:val="yellow"/>
          <w:lang w:val="pt-BR"/>
        </w:rPr>
        <w:t>relatando ganhos</w:t>
      </w:r>
      <w:r w:rsidR="00A7330A">
        <w:rPr>
          <w:highlight w:val="yellow"/>
          <w:lang w:val="pt-BR"/>
        </w:rPr>
        <w:t xml:space="preserve"> DEQUE?</w:t>
      </w:r>
      <w:r w:rsidRPr="00A7330A">
        <w:rPr>
          <w:highlight w:val="yellow"/>
          <w:lang w:val="pt-BR"/>
        </w:rPr>
        <w:t xml:space="preserve"> em detecção e redução de falsos positivos [7].</w:t>
      </w:r>
      <w:r w:rsidRPr="00A4781E">
        <w:rPr>
          <w:lang w:val="pt-BR"/>
        </w:rPr>
        <w:t xml:space="preserve"> Em paralelo, abordagens baseadas em bancos de dados de grafo (por exemplo, Neo4j) permitem enriquecer features com métricas de rede e consultas de padrões, integrando-os a modelos supervisionados em um pipeline quase em tempo real [8].</w:t>
      </w:r>
    </w:p>
    <w:p w14:paraId="1B60BA56" w14:textId="77777777" w:rsidR="006653DB" w:rsidRDefault="006653DB">
      <w:pPr>
        <w:pStyle w:val="Ttulo1"/>
        <w:rPr>
          <w:lang w:val="pt-BR"/>
        </w:rPr>
        <w:sectPr w:rsidR="006653DB" w:rsidSect="006653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62598E81" w14:textId="77777777" w:rsidR="006653DB" w:rsidRDefault="006653DB">
      <w:pPr>
        <w:pStyle w:val="Ttulo1"/>
        <w:rPr>
          <w:lang w:val="pt-BR"/>
        </w:rPr>
        <w:sectPr w:rsidR="006653DB" w:rsidSect="006653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2322FF1F" w14:textId="77777777" w:rsidR="006653DB" w:rsidRDefault="006653DB">
      <w:pPr>
        <w:pStyle w:val="Ttulo1"/>
        <w:rPr>
          <w:lang w:val="pt-BR"/>
        </w:rPr>
        <w:sectPr w:rsidR="006653DB" w:rsidSect="006653DB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59BCBEE" w14:textId="77777777" w:rsidR="00F2688F" w:rsidRPr="00A4781E" w:rsidRDefault="00000000">
      <w:pPr>
        <w:pStyle w:val="Ttulo1"/>
        <w:rPr>
          <w:lang w:val="pt-BR"/>
        </w:rPr>
      </w:pPr>
      <w:r w:rsidRPr="00A4781E">
        <w:rPr>
          <w:lang w:val="pt-BR"/>
        </w:rPr>
        <w:t>6. Integração KYC-KYT e redução de latência em fintechs</w:t>
      </w:r>
    </w:p>
    <w:p w14:paraId="24EB446D" w14:textId="6A99DB8D" w:rsidR="00F2688F" w:rsidRPr="00A4781E" w:rsidRDefault="00000000">
      <w:pPr>
        <w:rPr>
          <w:lang w:val="pt-BR"/>
        </w:rPr>
      </w:pPr>
      <w:r w:rsidRPr="00A4781E">
        <w:rPr>
          <w:lang w:val="pt-BR"/>
        </w:rPr>
        <w:t xml:space="preserve">O objetivo operacional de uma fintech não é apenas “classificar corretamente”, mas reduzir três latências: (i) evento → score (inferência), (ii) score → ação (decisão) e (iii) novo padrão → modelo atualizado (aprendizado). A literatura em AML e fraude sugere que ganhos sustentáveis vêm de uma arquitetura em camadas: regras de hard stop (casos óbvios), modelo tabular rápido (priorização e supressão), módulos relacionais (grafos) para fraude coordenada e, quando justificável, modelos sequenciais/deep para padrões complexos [2]. Métricas como PR-AUC (Average Precision), precision, recall e falso positivo devem ser escolhidas em função do custo </w:t>
      </w:r>
      <w:r w:rsidRPr="00A4781E">
        <w:rPr>
          <w:lang w:val="pt-BR"/>
        </w:rPr>
        <w:lastRenderedPageBreak/>
        <w:t>operacional e capacidade de investigação</w:t>
      </w:r>
      <w:r w:rsidRPr="00A7330A">
        <w:rPr>
          <w:highlight w:val="yellow"/>
          <w:lang w:val="pt-BR"/>
        </w:rPr>
        <w:t>, pois thresholds determinam o tamanho da fila de casos</w:t>
      </w:r>
      <w:r w:rsidR="00A7330A">
        <w:rPr>
          <w:lang w:val="pt-BR"/>
        </w:rPr>
        <w:t xml:space="preserve"> QUEM SÃO OS TRSHOLDS</w:t>
      </w:r>
      <w:r w:rsidRPr="00A4781E">
        <w:rPr>
          <w:lang w:val="pt-BR"/>
        </w:rPr>
        <w:t>. Do ponto de vista de engenharia, a aceleração depende de feature stores com agregações incrementais, monitoramento de drift e integração com case management, garantindo rastreabilidade e auditoria.</w:t>
      </w:r>
    </w:p>
    <w:p w14:paraId="70ACD0B4" w14:textId="77777777" w:rsidR="00F2688F" w:rsidRPr="00A4781E" w:rsidRDefault="00000000">
      <w:pPr>
        <w:pStyle w:val="Ttulo1"/>
        <w:rPr>
          <w:lang w:val="pt-BR"/>
        </w:rPr>
      </w:pPr>
      <w:r w:rsidRPr="00A4781E">
        <w:rPr>
          <w:lang w:val="pt-BR"/>
        </w:rPr>
        <w:t>7. Estudo metodológico reprodutível: notebook com dados do PKDD’99 Czech Banking Dataset</w:t>
      </w:r>
    </w:p>
    <w:p w14:paraId="30CF71B1" w14:textId="77777777" w:rsidR="00F2688F" w:rsidRPr="00A4781E" w:rsidRDefault="00000000" w:rsidP="00A7330A">
      <w:pPr>
        <w:pStyle w:val="Ttulo2"/>
        <w:jc w:val="both"/>
        <w:rPr>
          <w:lang w:val="pt-BR"/>
        </w:rPr>
      </w:pPr>
      <w:r w:rsidRPr="00A4781E">
        <w:rPr>
          <w:lang w:val="pt-BR"/>
        </w:rPr>
        <w:t>7.1 Objetivo e posição dentro do artigo de revisão</w:t>
      </w:r>
    </w:p>
    <w:p w14:paraId="21496726" w14:textId="77777777" w:rsidR="00F2688F" w:rsidRPr="00A4781E" w:rsidRDefault="00000000" w:rsidP="00A7330A">
      <w:pPr>
        <w:jc w:val="both"/>
        <w:rPr>
          <w:lang w:val="pt-BR"/>
        </w:rPr>
      </w:pPr>
      <w:r w:rsidRPr="00A4781E">
        <w:rPr>
          <w:lang w:val="pt-BR"/>
        </w:rPr>
        <w:t>O notebook anexado foi desenvolvido para demonstrar, em um ambiente controlado e reprodutível, decisões práticas discutidas na revisão: como construir features KYT por agregação, como combinar sinais estáticos e dinâmicos, como lidar com desbalanceamento, como escolher métricas apropriadas e como transformar um modelo em artefato de implantação. O objetivo aqui não é “provar” superioridade de um modelo específico, mas exemplificar um pipeline end-to-end que pode ser generalizado para casos de fraude em fintechs.</w:t>
      </w:r>
    </w:p>
    <w:p w14:paraId="1806DA19" w14:textId="77777777" w:rsidR="00F2688F" w:rsidRPr="00A4781E" w:rsidRDefault="00000000">
      <w:pPr>
        <w:pStyle w:val="Ttulo2"/>
        <w:rPr>
          <w:lang w:val="pt-BR"/>
        </w:rPr>
      </w:pPr>
      <w:r w:rsidRPr="00A4781E">
        <w:rPr>
          <w:lang w:val="pt-BR"/>
        </w:rPr>
        <w:t>7.2 Dados, alvo e desbalanceamento</w:t>
      </w:r>
    </w:p>
    <w:p w14:paraId="59E9BAE3" w14:textId="77777777" w:rsidR="00F2688F" w:rsidRPr="00A4781E" w:rsidRDefault="00000000" w:rsidP="00A7330A">
      <w:pPr>
        <w:jc w:val="both"/>
        <w:rPr>
          <w:lang w:val="pt-BR"/>
        </w:rPr>
      </w:pPr>
      <w:r w:rsidRPr="00A4781E">
        <w:rPr>
          <w:lang w:val="pt-BR"/>
        </w:rPr>
        <w:t>O estudo usa o PKDD’99 Czech Banking Dataset (também conhecido como Berka dataset), um conjunto relacional de uma instituição bancária. No notebook, são carregadas duas tabelas: (i) loan.csv (682 registros de empréstimos) e (ii) trans.csv (1.056.320 registros de transações). O alvo é definido a partir do status do empréstimo, considerando como evento adverso a classe D (contrato em andamento com cliente em dívida), totalizando 45 casos (taxa de 6,6%), o que caracteriza forte desbalanceamento (aprox. 14,2:1 entre classes). O conjunto final tem 29 features numéricas após seleção simples (variância &gt; 0) e é dividido com estratificação em treino (545 amostras; 36 eventos) e teste (137 amostras; 9 eventos).</w:t>
      </w:r>
    </w:p>
    <w:p w14:paraId="76B36D14" w14:textId="77777777" w:rsidR="00F2688F" w:rsidRPr="00A4781E" w:rsidRDefault="00000000">
      <w:pPr>
        <w:pStyle w:val="Ttulo2"/>
        <w:rPr>
          <w:lang w:val="pt-BR"/>
        </w:rPr>
      </w:pPr>
      <w:r w:rsidRPr="00A4781E">
        <w:rPr>
          <w:lang w:val="pt-BR"/>
        </w:rPr>
        <w:t>7.3 Engenharia de atributos: como o notebook instancia KYT e parte de KYC</w:t>
      </w:r>
    </w:p>
    <w:p w14:paraId="5C6C9791" w14:textId="77777777" w:rsidR="00F2688F" w:rsidRPr="00A4781E" w:rsidRDefault="00000000">
      <w:pPr>
        <w:rPr>
          <w:lang w:val="pt-BR"/>
        </w:rPr>
      </w:pPr>
      <w:r w:rsidRPr="00A4781E">
        <w:rPr>
          <w:lang w:val="pt-BR"/>
        </w:rPr>
        <w:t>A engenharia de atributos segue uma lógica alinhada ao conceito de KYT: transações são agregadas por account_id para produzir estatísticas de comportamento e estabilidade financeira. O notebook computa, por conta, contagem de transações (frequência), estatísticas de valor (média, desvio padrão, mínimo, máximo, soma e mediana) e estatísticas de saldo (média, desvio padrão, mínimo, máximo e mediana), além de proporções por tipo de transação. Essas variáveis cobrem diretamente os tópicos centrais de KYT: spending patterns (distribuição de valores), balance fluctuations (amplitude e variabilidade do saldo) e transaction frequency (número de transações). Em seguida, o notebook combina essas estatísticas com variáveis do empréstimo (valor, duração e pagamento) e deriva razões e indicadores de risco (por exemplo, pagamento/valor, valor por mês, loan-to-balance e medidas de estabilidade do saldo). Embora isso não capture demografia explicitamente, funciona como um proxy de sinais estáticos/contratuais (parte do “contexto KYC” disponível no recorte de tabelas utilizado).</w:t>
      </w:r>
    </w:p>
    <w:p w14:paraId="4CFF86E4" w14:textId="77777777" w:rsidR="00F2688F" w:rsidRPr="00A4781E" w:rsidRDefault="00000000">
      <w:pPr>
        <w:pStyle w:val="Ttulo2"/>
        <w:rPr>
          <w:lang w:val="pt-BR"/>
        </w:rPr>
      </w:pPr>
      <w:r w:rsidRPr="00A4781E">
        <w:rPr>
          <w:lang w:val="pt-BR"/>
        </w:rPr>
        <w:lastRenderedPageBreak/>
        <w:t>7.4 Modelos avaliados e escolhas de métrica</w:t>
      </w:r>
    </w:p>
    <w:p w14:paraId="01E6C448" w14:textId="77777777" w:rsidR="00F2688F" w:rsidRPr="00A4781E" w:rsidRDefault="00000000">
      <w:pPr>
        <w:rPr>
          <w:lang w:val="pt-BR"/>
        </w:rPr>
      </w:pPr>
      <w:r w:rsidRPr="00A4781E">
        <w:rPr>
          <w:lang w:val="pt-BR"/>
        </w:rPr>
        <w:t>O pipeline compara três famílias de modelos: (i) XGBoost (supervisionado; com scale_pos_weight para custo relativo), (ii) Random Forest (supervisionado; com class_weight para desbalanceamento) e (iii) Autoencoder (não supervisionado; treinado apenas com exemplos da classe majoritária e limiar baseado em erro de reconstrução). Como métrica principal de comparação, o notebook usa Average Precision (equivalente à área sob a curva Precision-Recall), mais informativa do que ROC-AUC em cenários desbalanceados. O relatório também inclui precision, recall e F1 para evidenciar o trade-off entre ‘pegar mais eventos’ e ‘não inflar fila de investigação’.</w:t>
      </w:r>
    </w:p>
    <w:p w14:paraId="0D049D68" w14:textId="77777777" w:rsidR="00F2688F" w:rsidRPr="00A4781E" w:rsidRDefault="00000000">
      <w:pPr>
        <w:pStyle w:val="Ttulo2"/>
        <w:rPr>
          <w:lang w:val="pt-BR"/>
        </w:rPr>
      </w:pPr>
      <w:r w:rsidRPr="00A4781E">
        <w:rPr>
          <w:lang w:val="pt-BR"/>
        </w:rPr>
        <w:t>7.5 Otimização de hiperparâmetros e calibração de limiar</w:t>
      </w:r>
    </w:p>
    <w:p w14:paraId="05174873" w14:textId="77777777" w:rsidR="00F2688F" w:rsidRPr="00A4781E" w:rsidRDefault="00000000">
      <w:pPr>
        <w:rPr>
          <w:lang w:val="pt-BR"/>
        </w:rPr>
      </w:pPr>
      <w:r w:rsidRPr="00A4781E">
        <w:rPr>
          <w:lang w:val="pt-BR"/>
        </w:rPr>
        <w:t>Para tornar o exemplo alinhado à prática industrial, o notebook utiliza Optuna (TPE sampler) para otimizar hiperparâmetros de XGBoost e Random Forest maximizando Average Precision em validação cruzada. Para o Autoencoder, além de tuning arquitetural (camadas, dimensão de codificação e regularização), é feita calibração de limiar via percentis do erro de reconstrução, buscando maximizar F1 no conjunto de teste. Essa etapa explicita um ponto-chave para operações de fraude: o desempenho ‘real’ depende tanto do modelo quanto do threshold escolhido.</w:t>
      </w:r>
    </w:p>
    <w:p w14:paraId="69430795" w14:textId="77777777" w:rsidR="00F2688F" w:rsidRPr="00A4781E" w:rsidRDefault="00000000">
      <w:pPr>
        <w:rPr>
          <w:lang w:val="pt-BR"/>
        </w:rPr>
      </w:pPr>
      <w:r w:rsidRPr="00A4781E">
        <w:rPr>
          <w:lang w:val="pt-BR"/>
        </w:rPr>
        <w:t>Tabela 2. Resultados do notebook (baseline vs tuned).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F2688F" w14:paraId="21FCCAA2" w14:textId="77777777">
        <w:trPr>
          <w:jc w:val="center"/>
        </w:trPr>
        <w:tc>
          <w:tcPr>
            <w:tcW w:w="1440" w:type="dxa"/>
          </w:tcPr>
          <w:p w14:paraId="4B86C954" w14:textId="77777777" w:rsidR="00F2688F" w:rsidRDefault="00000000">
            <w:r>
              <w:t>Modelo</w:t>
            </w:r>
          </w:p>
        </w:tc>
        <w:tc>
          <w:tcPr>
            <w:tcW w:w="1440" w:type="dxa"/>
          </w:tcPr>
          <w:p w14:paraId="0CE68B89" w14:textId="77777777" w:rsidR="00F2688F" w:rsidRDefault="00000000">
            <w:r>
              <w:t>Precision</w:t>
            </w:r>
          </w:p>
        </w:tc>
        <w:tc>
          <w:tcPr>
            <w:tcW w:w="1440" w:type="dxa"/>
          </w:tcPr>
          <w:p w14:paraId="0383CF74" w14:textId="77777777" w:rsidR="00F2688F" w:rsidRDefault="00000000">
            <w:r>
              <w:t>Recall</w:t>
            </w:r>
          </w:p>
        </w:tc>
        <w:tc>
          <w:tcPr>
            <w:tcW w:w="1440" w:type="dxa"/>
          </w:tcPr>
          <w:p w14:paraId="72BA4FF5" w14:textId="77777777" w:rsidR="00F2688F" w:rsidRDefault="00000000">
            <w:r>
              <w:t>F1</w:t>
            </w:r>
          </w:p>
        </w:tc>
        <w:tc>
          <w:tcPr>
            <w:tcW w:w="1440" w:type="dxa"/>
          </w:tcPr>
          <w:p w14:paraId="709A5A65" w14:textId="77777777" w:rsidR="00F2688F" w:rsidRDefault="00000000">
            <w:r>
              <w:t>ROC-AUC</w:t>
            </w:r>
          </w:p>
        </w:tc>
        <w:tc>
          <w:tcPr>
            <w:tcW w:w="1440" w:type="dxa"/>
          </w:tcPr>
          <w:p w14:paraId="6C8AC036" w14:textId="77777777" w:rsidR="00F2688F" w:rsidRDefault="00000000">
            <w:r>
              <w:t>Avg Precision (PR-AUC)</w:t>
            </w:r>
          </w:p>
        </w:tc>
      </w:tr>
      <w:tr w:rsidR="00F2688F" w14:paraId="1469F628" w14:textId="77777777">
        <w:trPr>
          <w:jc w:val="center"/>
        </w:trPr>
        <w:tc>
          <w:tcPr>
            <w:tcW w:w="1440" w:type="dxa"/>
          </w:tcPr>
          <w:p w14:paraId="79F67BCB" w14:textId="77777777" w:rsidR="00F2688F" w:rsidRDefault="00000000">
            <w:r>
              <w:t>XGBoost (Baseline)</w:t>
            </w:r>
          </w:p>
        </w:tc>
        <w:tc>
          <w:tcPr>
            <w:tcW w:w="1440" w:type="dxa"/>
          </w:tcPr>
          <w:p w14:paraId="7FF81DDE" w14:textId="77777777" w:rsidR="00F2688F" w:rsidRDefault="00000000">
            <w:r>
              <w:t>0.7778</w:t>
            </w:r>
          </w:p>
        </w:tc>
        <w:tc>
          <w:tcPr>
            <w:tcW w:w="1440" w:type="dxa"/>
          </w:tcPr>
          <w:p w14:paraId="6C9EC90E" w14:textId="77777777" w:rsidR="00F2688F" w:rsidRDefault="00000000">
            <w:r>
              <w:t>0.7778</w:t>
            </w:r>
          </w:p>
        </w:tc>
        <w:tc>
          <w:tcPr>
            <w:tcW w:w="1440" w:type="dxa"/>
          </w:tcPr>
          <w:p w14:paraId="2293FE39" w14:textId="77777777" w:rsidR="00F2688F" w:rsidRDefault="00000000">
            <w:r>
              <w:t>0.7778</w:t>
            </w:r>
          </w:p>
        </w:tc>
        <w:tc>
          <w:tcPr>
            <w:tcW w:w="1440" w:type="dxa"/>
          </w:tcPr>
          <w:p w14:paraId="228C85FC" w14:textId="77777777" w:rsidR="00F2688F" w:rsidRDefault="00000000">
            <w:r>
              <w:t>0.9870</w:t>
            </w:r>
          </w:p>
        </w:tc>
        <w:tc>
          <w:tcPr>
            <w:tcW w:w="1440" w:type="dxa"/>
          </w:tcPr>
          <w:p w14:paraId="03FCCDA5" w14:textId="77777777" w:rsidR="00F2688F" w:rsidRDefault="00000000">
            <w:r>
              <w:t>0.7723</w:t>
            </w:r>
          </w:p>
        </w:tc>
      </w:tr>
      <w:tr w:rsidR="00F2688F" w14:paraId="5E87EF78" w14:textId="77777777">
        <w:trPr>
          <w:jc w:val="center"/>
        </w:trPr>
        <w:tc>
          <w:tcPr>
            <w:tcW w:w="1440" w:type="dxa"/>
          </w:tcPr>
          <w:p w14:paraId="40150D63" w14:textId="77777777" w:rsidR="00F2688F" w:rsidRDefault="00000000">
            <w:r>
              <w:t>XGBoost (Tuned)</w:t>
            </w:r>
          </w:p>
        </w:tc>
        <w:tc>
          <w:tcPr>
            <w:tcW w:w="1440" w:type="dxa"/>
          </w:tcPr>
          <w:p w14:paraId="02AF52EE" w14:textId="77777777" w:rsidR="00F2688F" w:rsidRDefault="00000000">
            <w:r>
              <w:t>0.7273</w:t>
            </w:r>
          </w:p>
        </w:tc>
        <w:tc>
          <w:tcPr>
            <w:tcW w:w="1440" w:type="dxa"/>
          </w:tcPr>
          <w:p w14:paraId="1B0D1E46" w14:textId="77777777" w:rsidR="00F2688F" w:rsidRDefault="00000000">
            <w:r>
              <w:t>0.8889</w:t>
            </w:r>
          </w:p>
        </w:tc>
        <w:tc>
          <w:tcPr>
            <w:tcW w:w="1440" w:type="dxa"/>
          </w:tcPr>
          <w:p w14:paraId="614F248B" w14:textId="77777777" w:rsidR="00F2688F" w:rsidRDefault="00000000">
            <w:r>
              <w:t>0.8000</w:t>
            </w:r>
          </w:p>
        </w:tc>
        <w:tc>
          <w:tcPr>
            <w:tcW w:w="1440" w:type="dxa"/>
          </w:tcPr>
          <w:p w14:paraId="3439D36B" w14:textId="77777777" w:rsidR="00F2688F" w:rsidRDefault="00000000">
            <w:r>
              <w:t>0.9913</w:t>
            </w:r>
          </w:p>
        </w:tc>
        <w:tc>
          <w:tcPr>
            <w:tcW w:w="1440" w:type="dxa"/>
          </w:tcPr>
          <w:p w14:paraId="2970916E" w14:textId="77777777" w:rsidR="00F2688F" w:rsidRDefault="00000000">
            <w:r>
              <w:t>0.9003</w:t>
            </w:r>
          </w:p>
        </w:tc>
      </w:tr>
      <w:tr w:rsidR="00F2688F" w14:paraId="30420578" w14:textId="77777777">
        <w:trPr>
          <w:jc w:val="center"/>
        </w:trPr>
        <w:tc>
          <w:tcPr>
            <w:tcW w:w="1440" w:type="dxa"/>
          </w:tcPr>
          <w:p w14:paraId="1FFAA583" w14:textId="77777777" w:rsidR="00F2688F" w:rsidRDefault="00000000">
            <w:r>
              <w:t>Random Forest (Baseline)</w:t>
            </w:r>
          </w:p>
        </w:tc>
        <w:tc>
          <w:tcPr>
            <w:tcW w:w="1440" w:type="dxa"/>
          </w:tcPr>
          <w:p w14:paraId="6DAC610A" w14:textId="77777777" w:rsidR="00F2688F" w:rsidRDefault="00000000">
            <w:r>
              <w:t>0.6667</w:t>
            </w:r>
          </w:p>
        </w:tc>
        <w:tc>
          <w:tcPr>
            <w:tcW w:w="1440" w:type="dxa"/>
          </w:tcPr>
          <w:p w14:paraId="09139D4B" w14:textId="77777777" w:rsidR="00F2688F" w:rsidRDefault="00000000">
            <w:r>
              <w:t>0.6667</w:t>
            </w:r>
          </w:p>
        </w:tc>
        <w:tc>
          <w:tcPr>
            <w:tcW w:w="1440" w:type="dxa"/>
          </w:tcPr>
          <w:p w14:paraId="50860602" w14:textId="77777777" w:rsidR="00F2688F" w:rsidRDefault="00000000">
            <w:r>
              <w:t>0.6667</w:t>
            </w:r>
          </w:p>
        </w:tc>
        <w:tc>
          <w:tcPr>
            <w:tcW w:w="1440" w:type="dxa"/>
          </w:tcPr>
          <w:p w14:paraId="40A16AAB" w14:textId="77777777" w:rsidR="00F2688F" w:rsidRDefault="00000000">
            <w:r>
              <w:t>0.9787</w:t>
            </w:r>
          </w:p>
        </w:tc>
        <w:tc>
          <w:tcPr>
            <w:tcW w:w="1440" w:type="dxa"/>
          </w:tcPr>
          <w:p w14:paraId="0B860A33" w14:textId="77777777" w:rsidR="00F2688F" w:rsidRDefault="00000000">
            <w:r>
              <w:t>0.7684</w:t>
            </w:r>
          </w:p>
        </w:tc>
      </w:tr>
      <w:tr w:rsidR="00F2688F" w14:paraId="3EA00676" w14:textId="77777777">
        <w:trPr>
          <w:jc w:val="center"/>
        </w:trPr>
        <w:tc>
          <w:tcPr>
            <w:tcW w:w="1440" w:type="dxa"/>
          </w:tcPr>
          <w:p w14:paraId="6FD8963F" w14:textId="77777777" w:rsidR="00F2688F" w:rsidRDefault="00000000">
            <w:r>
              <w:t>Random Forest (Tuned)</w:t>
            </w:r>
          </w:p>
        </w:tc>
        <w:tc>
          <w:tcPr>
            <w:tcW w:w="1440" w:type="dxa"/>
          </w:tcPr>
          <w:p w14:paraId="6308DDEE" w14:textId="77777777" w:rsidR="00F2688F" w:rsidRDefault="00000000">
            <w:r>
              <w:t>0.7273</w:t>
            </w:r>
          </w:p>
        </w:tc>
        <w:tc>
          <w:tcPr>
            <w:tcW w:w="1440" w:type="dxa"/>
          </w:tcPr>
          <w:p w14:paraId="6636D4CA" w14:textId="77777777" w:rsidR="00F2688F" w:rsidRDefault="00000000">
            <w:r>
              <w:t>0.8889</w:t>
            </w:r>
          </w:p>
        </w:tc>
        <w:tc>
          <w:tcPr>
            <w:tcW w:w="1440" w:type="dxa"/>
          </w:tcPr>
          <w:p w14:paraId="608E47B6" w14:textId="77777777" w:rsidR="00F2688F" w:rsidRDefault="00000000">
            <w:r>
              <w:t>0.8000</w:t>
            </w:r>
          </w:p>
        </w:tc>
        <w:tc>
          <w:tcPr>
            <w:tcW w:w="1440" w:type="dxa"/>
          </w:tcPr>
          <w:p w14:paraId="4D61F466" w14:textId="77777777" w:rsidR="00F2688F" w:rsidRDefault="00000000">
            <w:r>
              <w:t>0.9913</w:t>
            </w:r>
          </w:p>
        </w:tc>
        <w:tc>
          <w:tcPr>
            <w:tcW w:w="1440" w:type="dxa"/>
          </w:tcPr>
          <w:p w14:paraId="41E9BA62" w14:textId="77777777" w:rsidR="00F2688F" w:rsidRDefault="00000000">
            <w:r>
              <w:t>0.9114</w:t>
            </w:r>
          </w:p>
        </w:tc>
      </w:tr>
      <w:tr w:rsidR="00F2688F" w14:paraId="0C2B941A" w14:textId="77777777">
        <w:trPr>
          <w:jc w:val="center"/>
        </w:trPr>
        <w:tc>
          <w:tcPr>
            <w:tcW w:w="1440" w:type="dxa"/>
          </w:tcPr>
          <w:p w14:paraId="1C24B3F0" w14:textId="77777777" w:rsidR="00F2688F" w:rsidRDefault="00000000">
            <w:r>
              <w:t>Autoencoder (Baseline)</w:t>
            </w:r>
          </w:p>
        </w:tc>
        <w:tc>
          <w:tcPr>
            <w:tcW w:w="1440" w:type="dxa"/>
          </w:tcPr>
          <w:p w14:paraId="4717B436" w14:textId="77777777" w:rsidR="00F2688F" w:rsidRDefault="00000000">
            <w:r>
              <w:t>0.3750</w:t>
            </w:r>
          </w:p>
        </w:tc>
        <w:tc>
          <w:tcPr>
            <w:tcW w:w="1440" w:type="dxa"/>
          </w:tcPr>
          <w:p w14:paraId="73695408" w14:textId="77777777" w:rsidR="00F2688F" w:rsidRDefault="00000000">
            <w:r>
              <w:t>0.3333</w:t>
            </w:r>
          </w:p>
        </w:tc>
        <w:tc>
          <w:tcPr>
            <w:tcW w:w="1440" w:type="dxa"/>
          </w:tcPr>
          <w:p w14:paraId="2AC99DA2" w14:textId="77777777" w:rsidR="00F2688F" w:rsidRDefault="00000000">
            <w:r>
              <w:t>0.3529</w:t>
            </w:r>
          </w:p>
        </w:tc>
        <w:tc>
          <w:tcPr>
            <w:tcW w:w="1440" w:type="dxa"/>
          </w:tcPr>
          <w:p w14:paraId="13B12AE4" w14:textId="77777777" w:rsidR="00F2688F" w:rsidRDefault="00000000">
            <w:r>
              <w:t>0.9245</w:t>
            </w:r>
          </w:p>
        </w:tc>
        <w:tc>
          <w:tcPr>
            <w:tcW w:w="1440" w:type="dxa"/>
          </w:tcPr>
          <w:p w14:paraId="0EC73AE8" w14:textId="77777777" w:rsidR="00F2688F" w:rsidRDefault="00000000">
            <w:r>
              <w:t>0.4541</w:t>
            </w:r>
          </w:p>
        </w:tc>
      </w:tr>
      <w:tr w:rsidR="00F2688F" w14:paraId="3AD6F31B" w14:textId="77777777">
        <w:trPr>
          <w:jc w:val="center"/>
        </w:trPr>
        <w:tc>
          <w:tcPr>
            <w:tcW w:w="1440" w:type="dxa"/>
          </w:tcPr>
          <w:p w14:paraId="7EDD574C" w14:textId="77777777" w:rsidR="00F2688F" w:rsidRDefault="00000000">
            <w:r>
              <w:t>Autoencoder (Tuned)</w:t>
            </w:r>
          </w:p>
        </w:tc>
        <w:tc>
          <w:tcPr>
            <w:tcW w:w="1440" w:type="dxa"/>
          </w:tcPr>
          <w:p w14:paraId="0C6B051C" w14:textId="77777777" w:rsidR="00F2688F" w:rsidRDefault="00000000">
            <w:r>
              <w:t>0.3529</w:t>
            </w:r>
          </w:p>
        </w:tc>
        <w:tc>
          <w:tcPr>
            <w:tcW w:w="1440" w:type="dxa"/>
          </w:tcPr>
          <w:p w14:paraId="00AFB873" w14:textId="77777777" w:rsidR="00F2688F" w:rsidRDefault="00000000">
            <w:r>
              <w:t>0.6667</w:t>
            </w:r>
          </w:p>
        </w:tc>
        <w:tc>
          <w:tcPr>
            <w:tcW w:w="1440" w:type="dxa"/>
          </w:tcPr>
          <w:p w14:paraId="7043CCDF" w14:textId="77777777" w:rsidR="00F2688F" w:rsidRDefault="00000000">
            <w:r>
              <w:t>0.4615</w:t>
            </w:r>
          </w:p>
        </w:tc>
        <w:tc>
          <w:tcPr>
            <w:tcW w:w="1440" w:type="dxa"/>
          </w:tcPr>
          <w:p w14:paraId="74177096" w14:textId="77777777" w:rsidR="00F2688F" w:rsidRDefault="00000000">
            <w:r>
              <w:t>0.9349</w:t>
            </w:r>
          </w:p>
        </w:tc>
        <w:tc>
          <w:tcPr>
            <w:tcW w:w="1440" w:type="dxa"/>
          </w:tcPr>
          <w:p w14:paraId="42470D53" w14:textId="77777777" w:rsidR="00F2688F" w:rsidRDefault="00000000">
            <w:r>
              <w:t>0.4720</w:t>
            </w:r>
          </w:p>
        </w:tc>
      </w:tr>
    </w:tbl>
    <w:p w14:paraId="6339375C" w14:textId="77777777" w:rsidR="00F2688F" w:rsidRPr="00A4781E" w:rsidRDefault="00000000">
      <w:pPr>
        <w:pStyle w:val="Ttulo2"/>
        <w:rPr>
          <w:lang w:val="pt-BR"/>
        </w:rPr>
      </w:pPr>
      <w:r w:rsidRPr="00A4781E">
        <w:rPr>
          <w:lang w:val="pt-BR"/>
        </w:rPr>
        <w:t>7.6 Como esse pipeline se encaixa no contexto de fraude em KYC/KYT</w:t>
      </w:r>
    </w:p>
    <w:p w14:paraId="250DBB7C" w14:textId="77777777" w:rsidR="00F2688F" w:rsidRPr="00A4781E" w:rsidRDefault="00000000">
      <w:pPr>
        <w:rPr>
          <w:lang w:val="pt-BR"/>
        </w:rPr>
      </w:pPr>
      <w:r w:rsidRPr="00A4781E">
        <w:rPr>
          <w:lang w:val="pt-BR"/>
        </w:rPr>
        <w:t xml:space="preserve">Mesmo usando um evento adverso de crédito como alvo, o pipeline é diretamente transferível para fraudes transacionais e de identidade em fintechs por três motivos: (1) ambos são problemas de eventos raros com desbalanceamento e rótulos imperfeitos; (2) ambos exigem engenharia de atributos KYT (velocidade, dispersão e mudança de regime) e contextualização por KYC (tenure, consistência, riscos prévios); e (3) ambos demandam decisões operacionais </w:t>
      </w:r>
      <w:r w:rsidRPr="00A4781E">
        <w:rPr>
          <w:lang w:val="pt-BR"/>
        </w:rPr>
        <w:lastRenderedPageBreak/>
        <w:t>calibradas por thresholds para manter a fila de investigação controlável. O estudo também evidencia um padrão recorrente: modelos supervisionados com tuning e tratamento de desbalanceamento tendem a superar abordagens puramente não supervisionadas quando há rótulos minimamente confiáveis, enquanto autoencoders podem ser úteis como ‘radar’ de novidade.</w:t>
      </w:r>
    </w:p>
    <w:p w14:paraId="2C19C88C" w14:textId="77777777" w:rsidR="006653DB" w:rsidRDefault="006653DB">
      <w:pPr>
        <w:pStyle w:val="Ttulo1"/>
        <w:rPr>
          <w:lang w:val="pt-BR"/>
        </w:rPr>
        <w:sectPr w:rsidR="006653DB" w:rsidSect="006653DB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ADE4F94" w14:textId="77777777" w:rsidR="00F2688F" w:rsidRPr="00A4781E" w:rsidRDefault="00000000" w:rsidP="006653DB">
      <w:pPr>
        <w:pStyle w:val="Ttulo1"/>
        <w:jc w:val="both"/>
        <w:rPr>
          <w:lang w:val="pt-BR"/>
        </w:rPr>
      </w:pPr>
      <w:r w:rsidRPr="00A4781E">
        <w:rPr>
          <w:lang w:val="pt-BR"/>
        </w:rPr>
        <w:t>8. Principais achados e recomendações de aplicação em fintechs</w:t>
      </w:r>
    </w:p>
    <w:p w14:paraId="5D9F97D6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b/>
          <w:lang w:val="pt-BR"/>
        </w:rPr>
        <w:t xml:space="preserve">Arquitetura híbrida acelera a operação: </w:t>
      </w:r>
    </w:p>
    <w:p w14:paraId="4E90D9FD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>Combinar regras (hard stop) com modelos supervisionados para ranqueamento e supressão reduz falsos positivos e diminui backlog; isso é o caminho mais direto para acelerar tempo até ação [1,2].</w:t>
      </w:r>
    </w:p>
    <w:p w14:paraId="2607924F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b/>
          <w:lang w:val="pt-BR"/>
        </w:rPr>
        <w:t xml:space="preserve">KYT baseado em agregações é um “piso” de performance: </w:t>
      </w:r>
    </w:p>
    <w:p w14:paraId="0B849A8C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>Features como contagem de transações, dispersão de valores e variabilidade do saldo capturam spending patterns, balance fluctuations e transaction frequency; são rápidas de computar e funcionam bem como primeira linha de defesa [5].</w:t>
      </w:r>
    </w:p>
    <w:p w14:paraId="7929A906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b/>
          <w:lang w:val="pt-BR"/>
        </w:rPr>
        <w:t xml:space="preserve">PR-AUC e calibração de limiar devem guiar decisões: </w:t>
      </w:r>
    </w:p>
    <w:p w14:paraId="4E4645E9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>Em desbalanceamento, ROC-AUC pode parecer alto mesmo quando o modelo é pouco útil operacionalmente. PR-AUC, precision e recall conectam diretamente desempenho a custo de investigação; thresholds devem ser definidos com base em capacidade de análise e custos assimétricos.</w:t>
      </w:r>
    </w:p>
    <w:p w14:paraId="78F4E9DC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b/>
          <w:lang w:val="pt-BR"/>
        </w:rPr>
        <w:t xml:space="preserve">Grafos complementam o tabular para fraude coordenada: </w:t>
      </w:r>
    </w:p>
    <w:p w14:paraId="66BCA48A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>Fraudes em rings e colusão são melhor capturadas por features de rede e GNNs; a recomendação é usar grafos para score de rede e como camada adicional em casos de alto risco [4,7,8].</w:t>
      </w:r>
    </w:p>
    <w:p w14:paraId="6E0139A4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b/>
          <w:lang w:val="pt-BR"/>
        </w:rPr>
        <w:t xml:space="preserve">Produção exige engenharia: feature store, monitoramento e auditoria: </w:t>
      </w:r>
    </w:p>
    <w:p w14:paraId="400D3DEB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>Empacotar modelo + scaler + colunas + threshold, como no notebook, é um passo essencial. Em produção, é necessário monitorar drift, versões de dados e performance por coortes, além de registrar explicações para auditoria.</w:t>
      </w:r>
    </w:p>
    <w:p w14:paraId="570D253B" w14:textId="77777777" w:rsidR="00F2688F" w:rsidRPr="00A4781E" w:rsidRDefault="00000000" w:rsidP="006653DB">
      <w:pPr>
        <w:pStyle w:val="Ttulo1"/>
        <w:jc w:val="both"/>
        <w:rPr>
          <w:lang w:val="pt-BR"/>
        </w:rPr>
      </w:pPr>
      <w:r w:rsidRPr="00A4781E">
        <w:rPr>
          <w:lang w:val="pt-BR"/>
        </w:rPr>
        <w:t>9. Limitações e oportunidades</w:t>
      </w:r>
    </w:p>
    <w:p w14:paraId="2E5A1F80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 xml:space="preserve">Há limitações importantes. Primeiro, o estudo em notebook usa um evento adverso de crédito como rótulo, e não uma taxonomia de fraude; portanto, suas métricas não devem ser generalizadas diretamente para ambientes de fraude. Segundo, o recorte de tabelas utilizado não explora plenamente sinais de KYC (demografia, relacionamentos e dispositivos). Uma extensão natural é integrar tabelas adicionais do dataset (cliente/distrito/cartões) ou, em produção, integrar device fingerprint e relações entre entidades para construir grafos. Terceiro, aplicações reais exigem avaliação temporal (treino em passado, teste no futuro) e monitoramento de concept drift. Finalmente, o aumento de modelos complexos (GNNs, modelos generativos e </w:t>
      </w:r>
      <w:r w:rsidRPr="00A4781E">
        <w:rPr>
          <w:lang w:val="pt-BR"/>
        </w:rPr>
        <w:lastRenderedPageBreak/>
        <w:t>sistemas multimodais) requer governança robusta, explicabilidade e validação contínua em contexto regulatório.</w:t>
      </w:r>
    </w:p>
    <w:p w14:paraId="52774DE3" w14:textId="77777777" w:rsidR="00F2688F" w:rsidRPr="00A4781E" w:rsidRDefault="00000000" w:rsidP="006653DB">
      <w:pPr>
        <w:pStyle w:val="Ttulo1"/>
        <w:jc w:val="both"/>
        <w:rPr>
          <w:lang w:val="pt-BR"/>
        </w:rPr>
      </w:pPr>
      <w:r w:rsidRPr="00A4781E">
        <w:rPr>
          <w:lang w:val="pt-BR"/>
        </w:rPr>
        <w:t>10. Conclusão</w:t>
      </w:r>
    </w:p>
    <w:p w14:paraId="45F3D5E1" w14:textId="77777777" w:rsidR="00F2688F" w:rsidRPr="00A4781E" w:rsidRDefault="00000000" w:rsidP="006653DB">
      <w:pPr>
        <w:jc w:val="both"/>
        <w:rPr>
          <w:lang w:val="pt-BR"/>
        </w:rPr>
      </w:pPr>
      <w:r w:rsidRPr="00A4781E">
        <w:rPr>
          <w:lang w:val="pt-BR"/>
        </w:rPr>
        <w:t xml:space="preserve">A literatura revisada indica que a detecção moderna de fraude em KYC e KYT depende de integração entre dados de perfil e comportamento, uso de modelos supervisionados e híbridos para reduzir falsos positivos, e exploração de grafos para tipologias coordenadas. O estudo </w:t>
      </w:r>
      <w:r w:rsidRPr="00A4781E">
        <w:rPr>
          <w:lang w:val="pt-BR"/>
        </w:rPr>
        <w:t>metodológico em notebook complementa a revisão ao mostrar, de ponta a ponta, como decisões de engenharia de atributos, tratamento de desbalanceamento, tuning e calibração de limiar afetam diretamente a utilidade operacional do sistema. Para fintechs, a principal recomendação é adotar uma arquitetura em camadas com feature store em tempo real, métricas orientadas à operação e governança (auditoria, explicações e monitoramento), reduzindo a latência de detecção sem sacrificar controle e conformidade.</w:t>
      </w:r>
    </w:p>
    <w:p w14:paraId="742F64F1" w14:textId="77777777" w:rsidR="006653DB" w:rsidRDefault="006653DB">
      <w:pPr>
        <w:pStyle w:val="Ttulo1"/>
        <w:sectPr w:rsidR="006653DB" w:rsidSect="006653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660FF77" w14:textId="77777777" w:rsidR="00F2688F" w:rsidRDefault="00000000">
      <w:pPr>
        <w:pStyle w:val="Ttulo1"/>
      </w:pPr>
      <w:r>
        <w:t>Referências</w:t>
      </w:r>
    </w:p>
    <w:p w14:paraId="42355332" w14:textId="77777777" w:rsidR="00F2688F" w:rsidRDefault="00000000">
      <w:r>
        <w:t>[1] V. N. R. Kasireddy, “Hybrid AI Architecture for KYC Fraud Detection,” TIJER, 2025. Disponível em: https://tijer.org/tijer/papers/TIJER2505242.pdf</w:t>
      </w:r>
    </w:p>
    <w:p w14:paraId="12C56C46" w14:textId="77777777" w:rsidR="00F2688F" w:rsidRDefault="00000000">
      <w:r>
        <w:t>[2] C. Nie, Y. Liu, and C. Wang, “AI Application in Anti-Money Laundering Compliance,” arXiv:2512.06240, 2025. Disponível em: https://arxiv.org/abs/2512.06240</w:t>
      </w:r>
    </w:p>
    <w:p w14:paraId="3AD77B5E" w14:textId="77777777" w:rsidR="00F2688F" w:rsidRDefault="00000000">
      <w:r>
        <w:t>[3] B. E. Gokah, L. K. Abakah, and O. B. Akinsanya, “AI-driven detection of fraudulent activities in aged accounts within the U.S. financial system,” Financial Analytics Research Journal, 2025. (Acesso via ResearchGate).</w:t>
      </w:r>
    </w:p>
    <w:p w14:paraId="77A498FD" w14:textId="77777777" w:rsidR="00F2688F" w:rsidRDefault="00000000">
      <w:r>
        <w:t>[4] D. Vallarino, “Graph AI for Fraud Detection: Improving Risk Management and Compliance in Digital Finance,” Research Square (preprint), 2025.</w:t>
      </w:r>
    </w:p>
    <w:p w14:paraId="008E2BEF" w14:textId="77777777" w:rsidR="00F2688F" w:rsidRDefault="00000000">
      <w:r>
        <w:t>[5] J. Jin and Y. Zhang, “The analysis of fraud detection in financial market under machine learning,” Scientific Reports, 2025. doi:10.1038/s41598-025-15783-2</w:t>
      </w:r>
    </w:p>
    <w:p w14:paraId="6938136A" w14:textId="77777777" w:rsidR="00F2688F" w:rsidRDefault="00000000">
      <w:r>
        <w:t>[6] E. Jaya et al., “Online Payment Fraud Detection Using Deep Quantum Neural Network,” Atlantis Press (proceedings), 2025.</w:t>
      </w:r>
    </w:p>
    <w:p w14:paraId="274DAE11" w14:textId="77777777" w:rsidR="00F2688F" w:rsidRDefault="00000000">
      <w:r>
        <w:t>[7] S. Islam et al., “Detecting Fraudulent Transactions for Different Patterns in Financial Networks Using Layer Weighted GCN,” Human-Centric Intelligent Systems, 2025. doi:10.1007/s44230-025-00097-3</w:t>
      </w:r>
    </w:p>
    <w:p w14:paraId="6A1B77F9" w14:textId="77777777" w:rsidR="00F2688F" w:rsidRDefault="00000000">
      <w:r>
        <w:t>[8] A. Patil et al., “Enhancing fraud detection in banking by integration of graph databases with machine learning,” MethodsX, 12, 102683, 2024. doi:10.1016/j.mex.2024.102683</w:t>
      </w:r>
    </w:p>
    <w:p w14:paraId="3AD67555" w14:textId="77777777" w:rsidR="00F2688F" w:rsidRPr="00A4781E" w:rsidRDefault="00000000">
      <w:pPr>
        <w:rPr>
          <w:lang w:val="pt-BR"/>
        </w:rPr>
      </w:pPr>
      <w:r>
        <w:t xml:space="preserve">[9] PKDD’99 Discovery Challenge (Financial / Czech Banking Dataset). </w:t>
      </w:r>
      <w:r w:rsidRPr="00A4781E">
        <w:rPr>
          <w:lang w:val="pt-BR"/>
        </w:rPr>
        <w:t>Material público amplamente difundido como “Berka dataset” (1999).</w:t>
      </w:r>
    </w:p>
    <w:p w14:paraId="50600A9B" w14:textId="77777777" w:rsidR="00F2688F" w:rsidRPr="00A4781E" w:rsidRDefault="00000000">
      <w:pPr>
        <w:rPr>
          <w:lang w:val="pt-BR"/>
        </w:rPr>
      </w:pPr>
      <w:r w:rsidRPr="00A4781E">
        <w:rPr>
          <w:lang w:val="pt-BR"/>
        </w:rPr>
        <w:lastRenderedPageBreak/>
        <w:t>[10] Material suplementar: notebook Jupyter “kyc_kyt_fraud_detection.ipynb” (autor).</w:t>
      </w:r>
    </w:p>
    <w:sectPr w:rsidR="00F2688F" w:rsidRPr="00A4781E" w:rsidSect="006653DB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672617">
    <w:abstractNumId w:val="8"/>
  </w:num>
  <w:num w:numId="2" w16cid:durableId="143013576">
    <w:abstractNumId w:val="6"/>
  </w:num>
  <w:num w:numId="3" w16cid:durableId="542521941">
    <w:abstractNumId w:val="5"/>
  </w:num>
  <w:num w:numId="4" w16cid:durableId="65542942">
    <w:abstractNumId w:val="4"/>
  </w:num>
  <w:num w:numId="5" w16cid:durableId="200821140">
    <w:abstractNumId w:val="7"/>
  </w:num>
  <w:num w:numId="6" w16cid:durableId="969432772">
    <w:abstractNumId w:val="3"/>
  </w:num>
  <w:num w:numId="7" w16cid:durableId="1848324681">
    <w:abstractNumId w:val="2"/>
  </w:num>
  <w:num w:numId="8" w16cid:durableId="1662808420">
    <w:abstractNumId w:val="1"/>
  </w:num>
  <w:num w:numId="9" w16cid:durableId="173688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19A2"/>
    <w:rsid w:val="004E58BC"/>
    <w:rsid w:val="006653DB"/>
    <w:rsid w:val="0071017F"/>
    <w:rsid w:val="008F2290"/>
    <w:rsid w:val="00A4781E"/>
    <w:rsid w:val="00A7330A"/>
    <w:rsid w:val="00AA1D8D"/>
    <w:rsid w:val="00B47730"/>
    <w:rsid w:val="00B60DC0"/>
    <w:rsid w:val="00CB0664"/>
    <w:rsid w:val="00F268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35F7A57"/>
  <w14:defaultImageDpi w14:val="300"/>
  <w15:docId w15:val="{D00FE6B3-2566-465D-A115-6293BE3F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4058</TotalTime>
  <Pages>9</Pages>
  <Words>3100</Words>
  <Characters>16744</Characters>
  <Application>Microsoft Office Word</Application>
  <DocSecurity>0</DocSecurity>
  <Lines>139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Calazans Macchiutti</cp:lastModifiedBy>
  <cp:revision>2</cp:revision>
  <dcterms:created xsi:type="dcterms:W3CDTF">2025-12-31T22:10:00Z</dcterms:created>
  <dcterms:modified xsi:type="dcterms:W3CDTF">2025-12-31T22:10:00Z</dcterms:modified>
  <cp:category/>
</cp:coreProperties>
</file>