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r>
        <w:rPr>
          <w:rFonts w:ascii="Consolas" w:hAnsi="Consolas"/>
          <w:b/>
          <w:color w:val="788884"/>
          <w:sz w:val="16"/>
        </w:rPr>
        <w:t>TECHNICAL QUESTIONNAIRE   ·   VERSION 1.0   ·   10 SEPTEMBER 2026</w:t>
      </w:r>
    </w:p>
    <w:p>
      <w:pPr>
        <w:spacing w:after="120"/>
      </w:pPr>
      <w:r>
        <w:rPr>
          <w:rFonts w:ascii="Calibri" w:hAnsi="Calibri"/>
          <w:b/>
          <w:color w:val="131C1B"/>
          <w:sz w:val="52"/>
        </w:rPr>
        <w:t>MintABear: decisions we need from you</w:t>
      </w:r>
    </w:p>
    <w:p>
      <w:pPr>
        <w:spacing w:after="280"/>
        <w:pBdr>
          <w:bottom w:val="single" w:sz="12" w:space="6" w:color="131C1B"/>
        </w:pBdr>
      </w:pPr>
      <w:r>
        <w:rPr>
          <w:rFonts w:ascii="Georgia" w:hAnsi="Georgia"/>
          <w:i w:val="0"/>
          <w:color w:val="4B5A57"/>
          <w:sz w:val="24"/>
        </w:rPr>
        <w:t>Twenty-four decisions and seven pieces of information required before smart contract development can begin. Four items are blocking: nothing can be built until they are answered.</w:t>
      </w:r>
    </w:p>
    <w:tbl>
      <w:tblPr>
        <w:tblW w:type="auto" w:w="0"/>
        <w:tblLayout w:type="autofit"/>
        <w:tblLook w:firstColumn="1" w:firstRow="1" w:lastColumn="0" w:lastRow="0" w:noHBand="0" w:noVBand="1" w:val="04A0"/>
      </w:tblPr>
      <w:tblGrid>
        <w:gridCol w:w="2324"/>
        <w:gridCol w:w="2324"/>
        <w:gridCol w:w="2324"/>
        <w:gridCol w:w="2324"/>
      </w:tblGrid>
      <w:tr>
        <w:tc>
          <w:tcPr>
            <w:tcW w:type="dxa" w:w="2324"/>
          </w:tcPr>
          <w:p>
            <w:pPr>
              <w:spacing w:after="20"/>
            </w:pPr>
            <w:r>
              <w:rPr>
                <w:rFonts w:ascii="Calibri" w:hAnsi="Calibri"/>
                <w:b/>
                <w:color w:val="788884"/>
                <w:sz w:val="14"/>
              </w:rPr>
              <w:t>PREPARED FOR</w:t>
            </w:r>
          </w:p>
        </w:tc>
        <w:tc>
          <w:tcPr>
            <w:tcW w:type="dxa" w:w="2324"/>
          </w:tcPr>
          <w:p>
            <w:pPr>
              <w:spacing w:after="20"/>
            </w:pPr>
            <w:r>
              <w:rPr>
                <w:rFonts w:ascii="Calibri" w:hAnsi="Calibri"/>
                <w:b/>
                <w:color w:val="788884"/>
                <w:sz w:val="14"/>
              </w:rPr>
              <w:t>PREPARED BY</w:t>
            </w:r>
          </w:p>
        </w:tc>
        <w:tc>
          <w:tcPr>
            <w:tcW w:type="dxa" w:w="2324"/>
          </w:tcPr>
          <w:p>
            <w:pPr>
              <w:spacing w:after="20"/>
            </w:pPr>
            <w:r>
              <w:rPr>
                <w:rFonts w:ascii="Calibri" w:hAnsi="Calibri"/>
                <w:b/>
                <w:color w:val="788884"/>
                <w:sz w:val="14"/>
              </w:rPr>
              <w:t>RESPONSE REQUESTED BY</w:t>
            </w:r>
          </w:p>
        </w:tc>
        <w:tc>
          <w:tcPr>
            <w:tcW w:type="dxa" w:w="2324"/>
          </w:tcPr>
          <w:p>
            <w:pPr>
              <w:spacing w:after="20"/>
            </w:pPr>
            <w:r>
              <w:rPr>
                <w:rFonts w:ascii="Calibri" w:hAnsi="Calibri"/>
                <w:b/>
                <w:color w:val="788884"/>
                <w:sz w:val="14"/>
              </w:rPr>
              <w:t>TARGET CHAIN</w:t>
            </w:r>
          </w:p>
        </w:tc>
      </w:tr>
      <w:tr>
        <w:tc>
          <w:tcPr>
            <w:tcW w:type="dxa" w:w="2324"/>
          </w:tcPr>
          <w:p>
            <w:pPr>
              <w:spacing w:after="0"/>
            </w:pPr>
            <w:r>
              <w:rPr>
                <w:rFonts w:ascii="Georgia" w:hAnsi="Georgia"/>
                <w:color w:val="131C1B"/>
                <w:sz w:val="19"/>
              </w:rPr>
              <w:t>……………………</w:t>
            </w:r>
          </w:p>
        </w:tc>
        <w:tc>
          <w:tcPr>
            <w:tcW w:type="dxa" w:w="2324"/>
          </w:tcPr>
          <w:p>
            <w:pPr>
              <w:spacing w:after="0"/>
            </w:pPr>
            <w:r>
              <w:rPr>
                <w:rFonts w:ascii="Georgia" w:hAnsi="Georgia"/>
                <w:color w:val="131C1B"/>
                <w:sz w:val="19"/>
              </w:rPr>
              <w:t>Calea Digital</w:t>
            </w:r>
          </w:p>
        </w:tc>
        <w:tc>
          <w:tcPr>
            <w:tcW w:type="dxa" w:w="2324"/>
          </w:tcPr>
          <w:p>
            <w:pPr>
              <w:spacing w:after="0"/>
            </w:pPr>
            <w:r>
              <w:rPr>
                <w:rFonts w:ascii="Georgia" w:hAnsi="Georgia"/>
                <w:color w:val="131C1B"/>
                <w:sz w:val="19"/>
              </w:rPr>
              <w:t>……………………</w:t>
            </w:r>
          </w:p>
        </w:tc>
        <w:tc>
          <w:tcPr>
            <w:tcW w:type="dxa" w:w="2324"/>
          </w:tcPr>
          <w:p>
            <w:pPr>
              <w:spacing w:after="0"/>
            </w:pPr>
            <w:r>
              <w:rPr>
                <w:rFonts w:ascii="Georgia" w:hAnsi="Georgia"/>
                <w:color w:val="131C1B"/>
                <w:sz w:val="19"/>
              </w:rPr>
              <w:t>Robinhood Chain · 4663</w:t>
            </w:r>
          </w:p>
        </w:tc>
      </w:tr>
    </w:tbl>
    <w:p>
      <w:pPr>
        <w:spacing w:after="200"/>
      </w:pPr>
    </w:p>
    <w:p>
      <w:pPr>
        <w:spacing w:after="60" w:before="0"/>
      </w:pPr>
      <w:r>
        <w:rPr>
          <w:rFonts w:ascii="Calibri" w:hAnsi="Calibri"/>
          <w:b/>
          <w:caps/>
          <w:color w:val="0E5A4F"/>
          <w:sz w:val="17"/>
          <w:spacing w:val="24"/>
        </w:rPr>
        <w:t>BEFORE YOU START</w:t>
      </w:r>
    </w:p>
    <w:p>
      <w:pPr>
        <w:spacing w:after="140"/>
      </w:pPr>
      <w:r>
        <w:rPr>
          <w:rFonts w:ascii="Georgia" w:hAnsi="Georgia"/>
          <w:i w:val="0"/>
          <w:color w:val="131C1B"/>
          <w:sz w:val="20"/>
        </w:rPr>
        <w:t xml:space="preserve">We have reviewed your brief and your technical specification sheet (“MINTaBear NFTs”, 77 requirement rows). The specification is unusually thorough on the NFT itself, its metadata, activation and the token-bound wallets. Four areas are not covered by it at all: </w:t>
      </w:r>
      <w:r>
        <w:rPr>
          <w:rFonts w:ascii="Georgia" w:hAnsi="Georgia"/>
          <w:b/>
          <w:i w:val="0"/>
          <w:color w:val="131C1B"/>
          <w:sz w:val="20"/>
        </w:rPr>
        <w:t>the daily reward pool, the mint and allowlist design, royalties, and the artwork pipeline.</w:t>
      </w:r>
    </w:p>
    <w:p>
      <w:pPr>
        <w:spacing w:after="140"/>
      </w:pPr>
      <w:r>
        <w:rPr>
          <w:rFonts w:ascii="Georgia" w:hAnsi="Georgia"/>
          <w:i w:val="0"/>
          <w:color w:val="131C1B"/>
          <w:sz w:val="20"/>
        </w:rPr>
        <w:t>Every question below is a decision that belongs to you, not to us. Each one carries our recommendation and the reasoning behind it, so that “recommendation accepted” is a complete and sufficient answer wherever you agree.</w:t>
      </w:r>
    </w:p>
    <w:p>
      <w:pPr>
        <w:spacing w:after="140"/>
      </w:pPr>
      <w:r>
        <w:rPr>
          <w:rFonts w:ascii="Georgia" w:hAnsi="Georgia"/>
          <w:b/>
          <w:i w:val="0"/>
          <w:color w:val="131C1B"/>
          <w:sz w:val="20"/>
        </w:rPr>
        <w:t>How to use this document in the meeting:</w:t>
      </w:r>
      <w:r>
        <w:rPr>
          <w:rFonts w:ascii="Georgia" w:hAnsi="Georgia"/>
          <w:i w:val="0"/>
          <w:color w:val="131C1B"/>
          <w:sz w:val="20"/>
        </w:rPr>
        <w:t xml:space="preserve"> tick an option box, or write in the answer field. Where you accept a recommendation, saying so is enough. Three items need someone outside the room: </w:t>
      </w:r>
      <w:r>
        <w:rPr>
          <w:rFonts w:ascii="Georgia" w:hAnsi="Georgia"/>
          <w:b/>
          <w:i w:val="0"/>
          <w:color w:val="131C1B"/>
          <w:sz w:val="20"/>
        </w:rPr>
        <w:t>Q21</w:t>
      </w:r>
      <w:r>
        <w:rPr>
          <w:rFonts w:ascii="Georgia" w:hAnsi="Georgia"/>
          <w:i w:val="0"/>
          <w:color w:val="131C1B"/>
          <w:sz w:val="20"/>
        </w:rPr>
        <w:t xml:space="preserve"> needs compliance sign-off, </w:t>
      </w:r>
      <w:r>
        <w:rPr>
          <w:rFonts w:ascii="Georgia" w:hAnsi="Georgia"/>
          <w:b/>
          <w:i w:val="0"/>
          <w:color w:val="131C1B"/>
          <w:sz w:val="20"/>
        </w:rPr>
        <w:t>A5</w:t>
      </w:r>
      <w:r>
        <w:rPr>
          <w:rFonts w:ascii="Georgia" w:hAnsi="Georgia"/>
          <w:i w:val="0"/>
          <w:color w:val="131C1B"/>
          <w:sz w:val="20"/>
        </w:rPr>
        <w:t xml:space="preserve"> and </w:t>
      </w:r>
      <w:r>
        <w:rPr>
          <w:rFonts w:ascii="Georgia" w:hAnsi="Georgia"/>
          <w:b/>
          <w:i w:val="0"/>
          <w:color w:val="131C1B"/>
          <w:sz w:val="20"/>
        </w:rPr>
        <w:t>A7</w:t>
      </w:r>
      <w:r>
        <w:rPr>
          <w:rFonts w:ascii="Georgia" w:hAnsi="Georgia"/>
          <w:i w:val="0"/>
          <w:color w:val="131C1B"/>
          <w:sz w:val="20"/>
        </w:rPr>
        <w:t xml:space="preserve"> need whoever owns budget and keys. Please route those rather than guessing — they are the answers that are expensive to change later.</w:t>
      </w:r>
    </w:p>
    <w:p>
      <w:pPr>
        <w:spacing w:after="60" w:before="0"/>
      </w:pPr>
      <w:r>
        <w:rPr>
          <w:rFonts w:ascii="Calibri" w:hAnsi="Calibri"/>
          <w:b/>
          <w:caps/>
          <w:color w:val="0E5A4F"/>
          <w:sz w:val="17"/>
          <w:spacing w:val="24"/>
        </w:rPr>
        <w:t>CONTENTS</w:t>
      </w:r>
    </w:p>
    <w:p>
      <w:pPr>
        <w:spacing w:after="40"/>
        <w:ind w:left="113"/>
      </w:pPr>
      <w:r>
        <w:rPr>
          <w:rFonts w:ascii="Calibri" w:hAnsi="Calibri"/>
          <w:color w:val="131C1B"/>
          <w:sz w:val="20"/>
        </w:rPr>
        <w:t>A · Information we need</w:t>
      </w:r>
      <w:r>
        <w:rPr>
          <w:rFonts w:ascii="Consolas" w:hAnsi="Consolas"/>
          <w:color w:val="788884"/>
          <w:sz w:val="17"/>
        </w:rPr>
        <w:t xml:space="preserve">   7 items</w:t>
      </w:r>
    </w:p>
    <w:p>
      <w:pPr>
        <w:spacing w:after="40"/>
        <w:ind w:left="113"/>
      </w:pPr>
      <w:r>
        <w:rPr>
          <w:rFonts w:ascii="Calibri" w:hAnsi="Calibri"/>
          <w:color w:val="131C1B"/>
          <w:sz w:val="20"/>
        </w:rPr>
        <w:t>1 · Rewards and economics</w:t>
      </w:r>
      <w:r>
        <w:rPr>
          <w:rFonts w:ascii="Consolas" w:hAnsi="Consolas"/>
          <w:color w:val="788884"/>
          <w:sz w:val="17"/>
        </w:rPr>
        <w:t xml:space="preserve">   Q1–Q6</w:t>
      </w:r>
    </w:p>
    <w:p>
      <w:pPr>
        <w:spacing w:after="40"/>
        <w:ind w:left="113"/>
      </w:pPr>
      <w:r>
        <w:rPr>
          <w:rFonts w:ascii="Calibri" w:hAnsi="Calibri"/>
          <w:color w:val="131C1B"/>
          <w:sz w:val="20"/>
        </w:rPr>
        <w:t>2 · The mint</w:t>
      </w:r>
      <w:r>
        <w:rPr>
          <w:rFonts w:ascii="Consolas" w:hAnsi="Consolas"/>
          <w:color w:val="788884"/>
          <w:sz w:val="17"/>
        </w:rPr>
        <w:t xml:space="preserve">   Q7–Q9</w:t>
      </w:r>
    </w:p>
    <w:p>
      <w:pPr>
        <w:spacing w:after="40"/>
        <w:ind w:left="113"/>
      </w:pPr>
      <w:r>
        <w:rPr>
          <w:rFonts w:ascii="Calibri" w:hAnsi="Calibri"/>
          <w:color w:val="131C1B"/>
          <w:sz w:val="20"/>
        </w:rPr>
        <w:t>3 · Artwork and metadata</w:t>
      </w:r>
      <w:r>
        <w:rPr>
          <w:rFonts w:ascii="Consolas" w:hAnsi="Consolas"/>
          <w:color w:val="788884"/>
          <w:sz w:val="17"/>
        </w:rPr>
        <w:t xml:space="preserve">   Q10–Q13</w:t>
      </w:r>
    </w:p>
    <w:p>
      <w:pPr>
        <w:spacing w:after="40"/>
        <w:ind w:left="113"/>
      </w:pPr>
      <w:r>
        <w:rPr>
          <w:rFonts w:ascii="Calibri" w:hAnsi="Calibri"/>
          <w:color w:val="131C1B"/>
          <w:sz w:val="20"/>
        </w:rPr>
        <w:t>4 · Bear wallets</w:t>
      </w:r>
      <w:r>
        <w:rPr>
          <w:rFonts w:ascii="Consolas" w:hAnsi="Consolas"/>
          <w:color w:val="788884"/>
          <w:sz w:val="17"/>
        </w:rPr>
        <w:t xml:space="preserve">   Q14–Q18</w:t>
      </w:r>
    </w:p>
    <w:p>
      <w:pPr>
        <w:spacing w:after="40"/>
        <w:ind w:left="113"/>
      </w:pPr>
      <w:r>
        <w:rPr>
          <w:rFonts w:ascii="Calibri" w:hAnsi="Calibri"/>
          <w:color w:val="131C1B"/>
          <w:sz w:val="20"/>
        </w:rPr>
        <w:t>5 · Security and compliance</w:t>
      </w:r>
      <w:r>
        <w:rPr>
          <w:rFonts w:ascii="Consolas" w:hAnsi="Consolas"/>
          <w:color w:val="788884"/>
          <w:sz w:val="17"/>
        </w:rPr>
        <w:t xml:space="preserve">   Q19–Q22</w:t>
      </w:r>
    </w:p>
    <w:p>
      <w:pPr>
        <w:spacing w:after="40"/>
        <w:ind w:left="113"/>
      </w:pPr>
      <w:r>
        <w:rPr>
          <w:rFonts w:ascii="Calibri" w:hAnsi="Calibri"/>
          <w:color w:val="131C1B"/>
          <w:sz w:val="20"/>
        </w:rPr>
        <w:t>6 · Delivery and assurance</w:t>
      </w:r>
      <w:r>
        <w:rPr>
          <w:rFonts w:ascii="Consolas" w:hAnsi="Consolas"/>
          <w:color w:val="788884"/>
          <w:sz w:val="17"/>
        </w:rPr>
        <w:t xml:space="preserve">   Q23–Q24</w:t>
      </w:r>
    </w:p>
    <w:p>
      <w:r>
        <w:br w:type="page"/>
      </w:r>
    </w:p>
    <w:p>
      <w:pPr>
        <w:spacing w:after="60" w:before="0"/>
      </w:pPr>
      <w:r>
        <w:rPr>
          <w:rFonts w:ascii="Calibri" w:hAnsi="Calibri"/>
          <w:b/>
          <w:caps/>
          <w:color w:val="9C3B2C"/>
          <w:sz w:val="17"/>
          <w:spacing w:val="24"/>
        </w:rPr>
        <w:t>THREE CONFLICTS TO RESOLVE</w:t>
      </w:r>
    </w:p>
    <w:p>
      <w:pPr>
        <w:keepNext/>
        <w:keepLines/>
        <w:spacing w:after="40" w:before="160"/>
      </w:pPr>
      <w:r>
        <w:rPr>
          <w:rFonts w:ascii="Consolas" w:hAnsi="Consolas"/>
          <w:b/>
          <w:color w:val="9C3B2C"/>
          <w:sz w:val="18"/>
        </w:rPr>
        <w:t xml:space="preserve">01   </w:t>
      </w:r>
      <w:r>
        <w:rPr>
          <w:rFonts w:ascii="Calibri" w:hAnsi="Calibri"/>
          <w:b/>
          <w:color w:val="131C1B"/>
          <w:sz w:val="22"/>
        </w:rPr>
        <w:t>The daily pool is absent from the specification</w:t>
      </w:r>
    </w:p>
    <w:p>
      <w:pPr>
        <w:spacing w:after="140"/>
        <w:ind w:left="425"/>
      </w:pPr>
      <w:r>
        <w:rPr>
          <w:rFonts w:ascii="Georgia" w:hAnsi="Georgia"/>
          <w:i w:val="0"/>
          <w:color w:val="131C1B"/>
          <w:sz w:val="20"/>
        </w:rPr>
        <w:t xml:space="preserve">Your brief makes a daily pool funded from house edge the centre of the product. The specification sheet never mentions pool funding, daily periods, weights or claims — it refers to a “rewards contract” only as something that reads the activation level. These are two different projects, one roughly twice the size of the other. </w:t>
      </w:r>
      <w:r>
        <w:rPr>
          <w:rFonts w:ascii="Georgia" w:hAnsi="Georgia"/>
          <w:b/>
          <w:i w:val="0"/>
          <w:color w:val="131C1B"/>
          <w:sz w:val="20"/>
        </w:rPr>
        <w:t>Resolved by Q1.</w:t>
      </w:r>
    </w:p>
    <w:p>
      <w:pPr>
        <w:keepNext/>
        <w:keepLines/>
        <w:spacing w:after="40" w:before="160"/>
      </w:pPr>
      <w:r>
        <w:rPr>
          <w:rFonts w:ascii="Consolas" w:hAnsi="Consolas"/>
          <w:b/>
          <w:color w:val="9C3B2C"/>
          <w:sz w:val="18"/>
        </w:rPr>
        <w:t xml:space="preserve">02   </w:t>
      </w:r>
      <w:r>
        <w:rPr>
          <w:rFonts w:ascii="Calibri" w:hAnsi="Calibri"/>
          <w:b/>
          <w:color w:val="131C1B"/>
          <w:sz w:val="22"/>
        </w:rPr>
        <w:t>One boost figure, or two</w:t>
      </w:r>
    </w:p>
    <w:p>
      <w:pPr>
        <w:spacing w:after="140"/>
        <w:ind w:left="425"/>
      </w:pPr>
      <w:r>
        <w:rPr>
          <w:rFonts w:ascii="Georgia" w:hAnsi="Georgia"/>
          <w:i w:val="0"/>
          <w:color w:val="131C1B"/>
          <w:sz w:val="20"/>
        </w:rPr>
        <w:t xml:space="preserve">The specification stores a single “Boost Basis Points” value per level. Your brief has two independent figures per tier: a weight in the daily pool (100 to 350) and a Status multiplier (+2% to +10%). </w:t>
      </w:r>
      <w:r>
        <w:rPr>
          <w:rFonts w:ascii="Georgia" w:hAnsi="Georgia"/>
          <w:b/>
          <w:i w:val="0"/>
          <w:color w:val="131C1B"/>
          <w:sz w:val="20"/>
        </w:rPr>
        <w:t>Resolved by Q2.</w:t>
      </w:r>
    </w:p>
    <w:p>
      <w:pPr>
        <w:keepNext/>
        <w:keepLines/>
        <w:spacing w:after="40" w:before="160"/>
      </w:pPr>
      <w:r>
        <w:rPr>
          <w:rFonts w:ascii="Consolas" w:hAnsi="Consolas"/>
          <w:b/>
          <w:color w:val="9C3B2C"/>
          <w:sz w:val="18"/>
        </w:rPr>
        <w:t xml:space="preserve">03   </w:t>
      </w:r>
      <w:r>
        <w:rPr>
          <w:rFonts w:ascii="Calibri" w:hAnsi="Calibri"/>
          <w:b/>
          <w:color w:val="131C1B"/>
          <w:sz w:val="22"/>
        </w:rPr>
        <w:t>Fully on-chain images versus live asset flags</w:t>
      </w:r>
    </w:p>
    <w:p>
      <w:pPr>
        <w:spacing w:after="140"/>
        <w:ind w:left="425"/>
      </w:pPr>
      <w:r>
        <w:rPr>
          <w:rFonts w:ascii="Georgia" w:hAnsi="Georgia"/>
          <w:i w:val="0"/>
          <w:color w:val="131C1B"/>
          <w:sz w:val="20"/>
        </w:rPr>
        <w:t xml:space="preserve">The specification requires the bear image to be stored or rendered entirely on-chain, and also requires two traits that report what the bear’s wallet is currently holding. A self-contained on-chain metadata response cannot know what arbitrary assets a wallet holds. </w:t>
      </w:r>
      <w:r>
        <w:rPr>
          <w:rFonts w:ascii="Georgia" w:hAnsi="Georgia"/>
          <w:b/>
          <w:i w:val="0"/>
          <w:color w:val="131C1B"/>
          <w:sz w:val="20"/>
        </w:rPr>
        <w:t>Resolved by Q10 and Q11.</w:t>
      </w:r>
    </w:p>
    <w:p>
      <w:pPr>
        <w:spacing w:after="60" w:before="0"/>
      </w:pPr>
      <w:r>
        <w:rPr>
          <w:rFonts w:ascii="Calibri" w:hAnsi="Calibri"/>
          <w:b/>
          <w:caps/>
          <w:color w:val="0E5A4F"/>
          <w:sz w:val="17"/>
          <w:spacing w:val="24"/>
        </w:rPr>
        <w:t>WHAT WE VERIFIED ABOUT THE CHAIN</w:t>
      </w:r>
    </w:p>
    <w:p>
      <w:pPr>
        <w:spacing w:after="160"/>
      </w:pPr>
      <w:r>
        <w:rPr>
          <w:rFonts w:ascii="Consolas" w:hAnsi="Consolas"/>
          <w:b/>
          <w:color w:val="0E5A4F"/>
          <w:sz w:val="15"/>
        </w:rPr>
        <w:t>MEASURED ON-CHAIN, 10 SEPTEMBER 2026</w:t>
      </w:r>
    </w:p>
    <w:p>
      <w:pPr>
        <w:spacing w:after="120"/>
        <w:ind w:left="340" w:hanging="340"/>
      </w:pPr>
      <w:r>
        <w:rPr>
          <w:rFonts w:ascii="Consolas" w:hAnsi="Consolas"/>
          <w:color w:val="0E5A4F"/>
          <w:sz w:val="18"/>
        </w:rPr>
        <w:t xml:space="preserve">—   </w:t>
      </w:r>
      <w:r>
        <w:rPr>
          <w:rFonts w:ascii="Georgia" w:hAnsi="Georgia"/>
          <w:b/>
          <w:i w:val="0"/>
          <w:color w:val="131C1B"/>
          <w:sz w:val="20"/>
        </w:rPr>
        <w:t>The ERC-6551 registry is already live on Robinhood Chain</w:t>
      </w:r>
      <w:r>
        <w:rPr>
          <w:rFonts w:ascii="Georgia" w:hAnsi="Georgia"/>
          <w:i w:val="0"/>
          <w:color w:val="131C1B"/>
          <w:sz w:val="20"/>
        </w:rPr>
        <w:t xml:space="preserve"> at the standard address, byte-for-byte identical to Ethereum. We deploy no registry, and the specification’s “verify the address before launch” requirement is satisfied.</w:t>
      </w:r>
    </w:p>
    <w:p>
      <w:pPr>
        <w:spacing w:after="120"/>
        <w:ind w:left="340" w:hanging="340"/>
      </w:pPr>
      <w:r>
        <w:rPr>
          <w:rFonts w:ascii="Consolas" w:hAnsi="Consolas"/>
          <w:color w:val="0E5A4F"/>
          <w:sz w:val="18"/>
        </w:rPr>
        <w:t xml:space="preserve">—   </w:t>
      </w:r>
      <w:r>
        <w:rPr>
          <w:rFonts w:ascii="Georgia" w:hAnsi="Georgia"/>
          <w:b/>
          <w:i w:val="0"/>
          <w:color w:val="131C1B"/>
          <w:sz w:val="20"/>
        </w:rPr>
        <w:t>There is no usable source of randomness.</w:t>
      </w:r>
      <w:r>
        <w:rPr>
          <w:rFonts w:ascii="Georgia" w:hAnsi="Georgia"/>
          <w:i w:val="0"/>
          <w:color w:val="131C1B"/>
          <w:sz w:val="20"/>
        </w:rPr>
        <w:t xml:space="preserve"> The chain’s on-chain random value is a constant, and Chainlink VRF is not available here (price feeds and cross-chain messaging are). This constrains Q12.</w:t>
      </w:r>
    </w:p>
    <w:p>
      <w:pPr>
        <w:spacing w:after="120"/>
        <w:ind w:left="340" w:hanging="340"/>
      </w:pPr>
      <w:r>
        <w:rPr>
          <w:rFonts w:ascii="Consolas" w:hAnsi="Consolas"/>
          <w:color w:val="0E5A4F"/>
          <w:sz w:val="18"/>
        </w:rPr>
        <w:t xml:space="preserve">—   </w:t>
      </w:r>
      <w:r>
        <w:rPr>
          <w:rFonts w:ascii="Georgia" w:hAnsi="Georgia"/>
          <w:b/>
          <w:i w:val="0"/>
          <w:color w:val="131C1B"/>
          <w:sz w:val="20"/>
        </w:rPr>
        <w:t>Contracts can be four times larger than on Ethereum</w:t>
      </w:r>
      <w:r>
        <w:rPr>
          <w:rFonts w:ascii="Georgia" w:hAnsi="Georgia"/>
          <w:i w:val="0"/>
          <w:color w:val="131C1B"/>
          <w:sz w:val="20"/>
        </w:rPr>
        <w:t xml:space="preserve"> — a 96 KB limit, which we confirmed by test deployment. Fully on-chain artwork is realistic here in a way it often is not elsewhere.</w:t>
      </w:r>
    </w:p>
    <w:p>
      <w:pPr>
        <w:spacing w:after="120"/>
        <w:ind w:left="340" w:hanging="340"/>
      </w:pPr>
      <w:r>
        <w:rPr>
          <w:rFonts w:ascii="Consolas" w:hAnsi="Consolas"/>
          <w:color w:val="0E5A4F"/>
          <w:sz w:val="18"/>
        </w:rPr>
        <w:t xml:space="preserve">—   </w:t>
      </w:r>
      <w:r>
        <w:rPr>
          <w:rFonts w:ascii="Georgia" w:hAnsi="Georgia"/>
          <w:b/>
          <w:i w:val="0"/>
          <w:color w:val="131C1B"/>
          <w:sz w:val="20"/>
        </w:rPr>
        <w:t>Transactions are screened at the sequencer.</w:t>
      </w:r>
      <w:r>
        <w:rPr>
          <w:rFonts w:ascii="Georgia" w:hAnsi="Georgia"/>
          <w:i w:val="0"/>
          <w:color w:val="131C1B"/>
          <w:sz w:val="20"/>
        </w:rPr>
        <w:t xml:space="preserve"> Robinhood operates active compliance filtering, and the count of filtered transactions was still rising as of 1 September 2026. A blocked transaction cannot be forced through. This shapes Q21 and means no part of the system may depend on a specific holder being able to transact.</w:t>
      </w:r>
    </w:p>
    <w:p>
      <w:pPr>
        <w:spacing w:after="120"/>
        <w:ind w:left="340" w:hanging="340"/>
      </w:pPr>
      <w:r>
        <w:rPr>
          <w:rFonts w:ascii="Consolas" w:hAnsi="Consolas"/>
          <w:color w:val="0E5A4F"/>
          <w:sz w:val="18"/>
        </w:rPr>
        <w:t xml:space="preserve">—   </w:t>
      </w:r>
      <w:r>
        <w:rPr>
          <w:rFonts w:ascii="Georgia" w:hAnsi="Georgia"/>
          <w:b/>
          <w:i w:val="0"/>
          <w:color w:val="131C1B"/>
          <w:sz w:val="20"/>
        </w:rPr>
        <w:t>Gas is close to free and account abstraction is fully supported.</w:t>
      </w:r>
      <w:r>
        <w:rPr>
          <w:rFonts w:ascii="Georgia" w:hAnsi="Georgia"/>
          <w:i w:val="0"/>
          <w:color w:val="131C1B"/>
          <w:sz w:val="20"/>
        </w:rPr>
        <w:t xml:space="preserve"> A mint costs roughly half a cent, and all three current versions of the ERC-4337 entry point are deployed with commercial paymasters available. Sponsoring your customers’ mint gas is cheap and practical (Q9).</w:t>
      </w:r>
    </w:p>
    <w:p>
      <w:pPr>
        <w:spacing w:after="120"/>
        <w:ind w:left="340" w:hanging="340"/>
      </w:pPr>
      <w:r>
        <w:rPr>
          <w:rFonts w:ascii="Consolas" w:hAnsi="Consolas"/>
          <w:color w:val="0E5A4F"/>
          <w:sz w:val="18"/>
        </w:rPr>
        <w:t xml:space="preserve">—   </w:t>
      </w:r>
      <w:r>
        <w:rPr>
          <w:rFonts w:ascii="Georgia" w:hAnsi="Georgia"/>
          <w:b/>
          <w:i w:val="0"/>
          <w:color w:val="131C1B"/>
          <w:sz w:val="20"/>
        </w:rPr>
        <w:t>The mainnet block explorer’s verification interface is behind bot protection</w:t>
      </w:r>
      <w:r>
        <w:rPr>
          <w:rFonts w:ascii="Georgia" w:hAnsi="Georgia"/>
          <w:i w:val="0"/>
          <w:color w:val="131C1B"/>
          <w:sz w:val="20"/>
        </w:rPr>
        <w:t xml:space="preserve"> that rejected every automated request we made. We will publish verified source through Sourcify instead (Q23).</w:t>
      </w:r>
    </w:p>
    <w:p>
      <w:r>
        <w:br w:type="page"/>
      </w:r>
    </w:p>
    <w:p>
      <w:pPr>
        <w:keepNext/>
        <w:keepLines/>
        <w:spacing w:after="40"/>
      </w:pPr>
      <w:r>
        <w:rPr>
          <w:rFonts w:ascii="Calibri" w:hAnsi="Calibri"/>
          <w:b/>
          <w:color w:val="0E5A4F"/>
          <w:sz w:val="34"/>
        </w:rPr>
        <w:t>A · Information we need</w:t>
      </w:r>
    </w:p>
    <w:p>
      <w:pPr>
        <w:spacing w:after="320"/>
        <w:keepNext/>
        <w:keepLines/>
        <w:pBdr>
          <w:bottom w:val="single" w:sz="6" w:space="6" w:color="D6DEDB"/>
        </w:pBdr>
      </w:pPr>
      <w:r>
        <w:rPr>
          <w:rFonts w:ascii="Consolas" w:hAnsi="Consolas"/>
          <w:color w:val="788884"/>
          <w:sz w:val="16"/>
        </w:rPr>
        <w:t>7 items · no decisions required</w:t>
      </w:r>
    </w:p>
    <w:p>
      <w:pPr>
        <w:keepNext/>
        <w:keepLines/>
        <w:spacing w:before="300" w:after="40"/>
      </w:pPr>
      <w:r>
        <w:rPr>
          <w:rFonts w:ascii="Consolas" w:hAnsi="Consolas"/>
          <w:b/>
          <w:color w:val="7E5C0E"/>
          <w:sz w:val="18"/>
        </w:rPr>
        <w:t>A1</w:t>
      </w:r>
      <w:r>
        <w:rPr>
          <w:rFonts w:ascii="Calibri" w:hAnsi="Calibri"/>
          <w:b/>
          <w:color w:val="7E5C0E"/>
          <w:sz w:val="15"/>
          <w:spacing w:val="26"/>
        </w:rPr>
        <w:t xml:space="preserve">   INFORMATION</w:t>
      </w:r>
    </w:p>
    <w:p>
      <w:pPr>
        <w:keepNext/>
        <w:keepLines/>
        <w:spacing w:after="140"/>
      </w:pPr>
      <w:r>
        <w:rPr>
          <w:rFonts w:ascii="Calibri" w:hAnsi="Calibri"/>
          <w:b/>
          <w:color w:val="131C1B"/>
          <w:sz w:val="26"/>
        </w:rPr>
        <w:t>The $MNTD token</w:t>
      </w:r>
    </w:p>
    <w:p>
      <w:pPr>
        <w:spacing w:after="140"/>
      </w:pPr>
      <w:r>
        <w:rPr>
          <w:rFonts w:ascii="Georgia" w:hAnsi="Georgia"/>
          <w:i w:val="0"/>
          <w:color w:val="131C1B"/>
          <w:sz w:val="20"/>
        </w:rPr>
        <w:t xml:space="preserve">We need its deployed address on Robinhood Chain, its decimals, and specifically </w:t>
      </w:r>
      <w:r>
        <w:rPr>
          <w:rFonts w:ascii="Georgia" w:hAnsi="Georgia"/>
          <w:b/>
          <w:i w:val="0"/>
          <w:color w:val="131C1B"/>
          <w:sz w:val="20"/>
        </w:rPr>
        <w:t>which burn function it exposes</w:t>
      </w:r>
      <w:r>
        <w:rPr>
          <w:rFonts w:ascii="Georgia" w:hAnsi="Georgia"/>
          <w:i w:val="0"/>
          <w:color w:val="131C1B"/>
          <w:sz w:val="20"/>
        </w:rPr>
        <w:t>: one the holder calls on their own balance, one that lets an approved contract burn on their behalf, or none. Also: who can create new supply, and is the total fixed?</w:t>
      </w:r>
    </w:p>
    <w:p>
      <w:pPr>
        <w:spacing w:after="140"/>
      </w:pPr>
      <w:r>
        <w:rPr>
          <w:rFonts w:ascii="Georgia" w:hAnsi="Georgia"/>
          <w:i w:val="0"/>
          <w:color w:val="4B5A57"/>
          <w:sz w:val="19"/>
        </w:rPr>
        <w:t>Why it matters: your specification requires activation to permanently remove tokens from supply. If the token only allows holders to burn their own balance, activation becomes a two-transaction process for the customer instead of one. This changes the user experience, so we need it settled before we design the flow.</w:t>
      </w:r>
    </w:p>
    <w:p>
      <w:pPr>
        <w:spacing w:after="60" w:before="0"/>
      </w:pPr>
      <w:r>
        <w:rPr>
          <w:rFonts w:ascii="Calibri" w:hAnsi="Calibri"/>
          <w:b/>
          <w:caps/>
          <w:color w:val="788884"/>
          <w:sz w:val="14"/>
          <w:spacing w:val="24"/>
        </w:rPr>
        <w:t>YOUR ANSWER</w:t>
      </w:r>
    </w:p>
    <w:tbl>
      <w:tblPr>
        <w:tblW w:type="auto" w:w="0"/>
        <w:jc w:val="left"/>
        <w:tblLayout w:type="fixed"/>
        <w:tblLook w:firstColumn="1" w:firstRow="1" w:lastColumn="0" w:lastRow="0" w:noHBand="0" w:noVBand="1" w:val="04A0"/>
        <w:tblBorders>
          <w:top w:val="single" w:sz="6" w:space="0" w:color="B9C5C1"/>
          <w:left w:val="single" w:sz="6" w:space="0" w:color="B9C5C1"/>
          <w:bottom w:val="single" w:sz="6" w:space="0" w:color="B9C5C1"/>
          <w:right w:val="single" w:sz="6" w:space="0" w:color="B9C5C1"/>
        </w:tblBorders>
      </w:tblPr>
      <w:tblGrid>
        <w:gridCol w:w="9298"/>
      </w:tblGrid>
      <w:tr>
        <w:tc>
          <w:tcPr>
            <w:tcW w:type="dxa" w:w="9298"/>
            <w:shd w:val="clear" w:fill="FBFCFC"/>
          </w:tcPr>
          <w:p>
            <w:pPr>
              <w:spacing w:after="0"/>
            </w:pPr>
          </w:p>
          <w:p>
            <w:pPr>
              <w:spacing w:after="0"/>
            </w:pPr>
          </w:p>
        </w:tc>
      </w:tr>
    </w:tbl>
    <w:p>
      <w:pPr>
        <w:spacing w:after="80"/>
      </w:pPr>
    </w:p>
    <w:p>
      <w:pPr>
        <w:keepNext/>
        <w:keepLines/>
        <w:spacing w:before="300" w:after="40"/>
      </w:pPr>
      <w:r>
        <w:rPr>
          <w:rFonts w:ascii="Consolas" w:hAnsi="Consolas"/>
          <w:b/>
          <w:color w:val="7E5C0E"/>
          <w:sz w:val="18"/>
        </w:rPr>
        <w:t>A2</w:t>
      </w:r>
      <w:r>
        <w:rPr>
          <w:rFonts w:ascii="Calibri" w:hAnsi="Calibri"/>
          <w:b/>
          <w:color w:val="7E5C0E"/>
          <w:sz w:val="15"/>
          <w:spacing w:val="26"/>
        </w:rPr>
        <w:t xml:space="preserve">   INFORMATION</w:t>
      </w:r>
    </w:p>
    <w:p>
      <w:pPr>
        <w:keepNext/>
        <w:keepLines/>
        <w:spacing w:after="140"/>
      </w:pPr>
      <w:r>
        <w:rPr>
          <w:rFonts w:ascii="Calibri" w:hAnsi="Calibri"/>
          <w:b/>
          <w:color w:val="131C1B"/>
          <w:sz w:val="26"/>
        </w:rPr>
        <w:t>MINT Status</w:t>
      </w:r>
    </w:p>
    <w:p>
      <w:pPr>
        <w:spacing w:after="140"/>
      </w:pPr>
      <w:r>
        <w:rPr>
          <w:rFonts w:ascii="Georgia" w:hAnsi="Georgia"/>
          <w:i w:val="0"/>
          <w:color w:val="131C1B"/>
          <w:sz w:val="20"/>
        </w:rPr>
        <w:t>Is MINT Status represented on-chain? If so, the contract address and the function that returns a customer’s current tier. If not, please confirm that the Status boost is applied entirely inside your platform and that the contracts only need to publish the bear’s activation level for your backend to read.</w:t>
      </w:r>
    </w:p>
    <w:p>
      <w:pPr>
        <w:spacing w:after="60" w:before="0"/>
      </w:pPr>
      <w:r>
        <w:rPr>
          <w:rFonts w:ascii="Calibri" w:hAnsi="Calibri"/>
          <w:b/>
          <w:caps/>
          <w:color w:val="788884"/>
          <w:sz w:val="14"/>
          <w:spacing w:val="24"/>
        </w:rPr>
        <w:t>YOUR ANSWER</w:t>
      </w:r>
    </w:p>
    <w:tbl>
      <w:tblPr>
        <w:tblW w:type="auto" w:w="0"/>
        <w:jc w:val="left"/>
        <w:tblLayout w:type="fixed"/>
        <w:tblLook w:firstColumn="1" w:firstRow="1" w:lastColumn="0" w:lastRow="0" w:noHBand="0" w:noVBand="1" w:val="04A0"/>
        <w:tblBorders>
          <w:top w:val="single" w:sz="6" w:space="0" w:color="B9C5C1"/>
          <w:left w:val="single" w:sz="6" w:space="0" w:color="B9C5C1"/>
          <w:bottom w:val="single" w:sz="6" w:space="0" w:color="B9C5C1"/>
          <w:right w:val="single" w:sz="6" w:space="0" w:color="B9C5C1"/>
        </w:tblBorders>
      </w:tblPr>
      <w:tblGrid>
        <w:gridCol w:w="9298"/>
      </w:tblGrid>
      <w:tr>
        <w:tc>
          <w:tcPr>
            <w:tcW w:type="dxa" w:w="9298"/>
            <w:shd w:val="clear" w:fill="FBFCFC"/>
          </w:tcPr>
          <w:p>
            <w:pPr>
              <w:spacing w:after="0"/>
            </w:pPr>
          </w:p>
          <w:p>
            <w:pPr>
              <w:spacing w:after="0"/>
            </w:pPr>
          </w:p>
        </w:tc>
      </w:tr>
    </w:tbl>
    <w:p>
      <w:pPr>
        <w:spacing w:after="80"/>
      </w:pPr>
    </w:p>
    <w:p>
      <w:pPr>
        <w:keepNext/>
        <w:keepLines/>
        <w:spacing w:before="300" w:after="40"/>
      </w:pPr>
      <w:r>
        <w:rPr>
          <w:rFonts w:ascii="Consolas" w:hAnsi="Consolas"/>
          <w:b/>
          <w:color w:val="7E5C0E"/>
          <w:sz w:val="18"/>
        </w:rPr>
        <w:t>A3</w:t>
      </w:r>
      <w:r>
        <w:rPr>
          <w:rFonts w:ascii="Calibri" w:hAnsi="Calibri"/>
          <w:b/>
          <w:color w:val="7E5C0E"/>
          <w:sz w:val="15"/>
          <w:spacing w:val="26"/>
        </w:rPr>
        <w:t xml:space="preserve">   INFORMATION</w:t>
      </w:r>
    </w:p>
    <w:p>
      <w:pPr>
        <w:keepNext/>
        <w:keepLines/>
        <w:spacing w:after="140"/>
      </w:pPr>
      <w:r>
        <w:rPr>
          <w:rFonts w:ascii="Calibri" w:hAnsi="Calibri"/>
          <w:b/>
          <w:color w:val="131C1B"/>
          <w:sz w:val="26"/>
        </w:rPr>
        <w:t>Confirm the tier table</w:t>
      </w:r>
    </w:p>
    <w:p>
      <w:pPr>
        <w:spacing w:after="140"/>
      </w:pPr>
      <w:r>
        <w:rPr>
          <w:rFonts w:ascii="Georgia" w:hAnsi="Georgia"/>
          <w:i w:val="0"/>
          <w:color w:val="131C1B"/>
          <w:sz w:val="20"/>
        </w:rPr>
        <w:t>Please confirm the five cumulative burn thresholds (5,000 / 15,000 / 40,000 / 100,000 / 250,000 $MNTD), the five weights (100 / 120 / 175 / 240 / 350) and the five Status multipliers (+2% / +4% / +6% / +8% / +10%). We will store the cumulative figures only and derive each step cost from them, so the two columns can never disagree.</w:t>
      </w:r>
    </w:p>
    <w:p>
      <w:pPr>
        <w:spacing w:after="140"/>
      </w:pPr>
      <w:r>
        <w:rPr>
          <w:rFonts w:ascii="Georgia" w:hAnsi="Georgia"/>
          <w:i w:val="0"/>
          <w:color w:val="4B5A57"/>
          <w:sz w:val="19"/>
        </w:rPr>
        <w:t>We read your illustrative rewards (approximately $4.19 rising to $14.68, a 3.5× spread) as confirming that 100 to 350 are raw share units rather than percentage multipliers. Please confirm.</w:t>
      </w:r>
    </w:p>
    <w:p>
      <w:pPr>
        <w:spacing w:after="60" w:before="0"/>
      </w:pPr>
      <w:r>
        <w:rPr>
          <w:rFonts w:ascii="Calibri" w:hAnsi="Calibri"/>
          <w:b/>
          <w:caps/>
          <w:color w:val="788884"/>
          <w:sz w:val="14"/>
          <w:spacing w:val="24"/>
        </w:rPr>
        <w:t>YOUR ANSWER</w:t>
      </w:r>
    </w:p>
    <w:tbl>
      <w:tblPr>
        <w:tblW w:type="auto" w:w="0"/>
        <w:jc w:val="left"/>
        <w:tblLayout w:type="fixed"/>
        <w:tblLook w:firstColumn="1" w:firstRow="1" w:lastColumn="0" w:lastRow="0" w:noHBand="0" w:noVBand="1" w:val="04A0"/>
        <w:tblBorders>
          <w:top w:val="single" w:sz="6" w:space="0" w:color="B9C5C1"/>
          <w:left w:val="single" w:sz="6" w:space="0" w:color="B9C5C1"/>
          <w:bottom w:val="single" w:sz="6" w:space="0" w:color="B9C5C1"/>
          <w:right w:val="single" w:sz="6" w:space="0" w:color="B9C5C1"/>
        </w:tblBorders>
      </w:tblPr>
      <w:tblGrid>
        <w:gridCol w:w="9298"/>
      </w:tblGrid>
      <w:tr>
        <w:tc>
          <w:tcPr>
            <w:tcW w:type="dxa" w:w="9298"/>
            <w:shd w:val="clear" w:fill="FBFCFC"/>
          </w:tcPr>
          <w:p>
            <w:pPr>
              <w:spacing w:after="0"/>
            </w:pPr>
          </w:p>
          <w:p>
            <w:pPr>
              <w:spacing w:after="0"/>
            </w:pPr>
          </w:p>
        </w:tc>
      </w:tr>
    </w:tbl>
    <w:p>
      <w:pPr>
        <w:spacing w:after="80"/>
      </w:pPr>
    </w:p>
    <w:p>
      <w:pPr>
        <w:keepNext/>
        <w:keepLines/>
        <w:spacing w:before="300" w:after="40"/>
      </w:pPr>
      <w:r>
        <w:rPr>
          <w:rFonts w:ascii="Consolas" w:hAnsi="Consolas"/>
          <w:b/>
          <w:color w:val="7E5C0E"/>
          <w:sz w:val="18"/>
        </w:rPr>
        <w:t>A4</w:t>
      </w:r>
      <w:r>
        <w:rPr>
          <w:rFonts w:ascii="Calibri" w:hAnsi="Calibri"/>
          <w:b/>
          <w:color w:val="7E5C0E"/>
          <w:sz w:val="15"/>
          <w:spacing w:val="26"/>
        </w:rPr>
        <w:t xml:space="preserve">   INFORMATION</w:t>
      </w:r>
    </w:p>
    <w:p>
      <w:pPr>
        <w:keepNext/>
        <w:keepLines/>
        <w:spacing w:after="140"/>
      </w:pPr>
      <w:r>
        <w:rPr>
          <w:rFonts w:ascii="Calibri" w:hAnsi="Calibri"/>
          <w:b/>
          <w:color w:val="131C1B"/>
          <w:sz w:val="26"/>
        </w:rPr>
        <w:t>Exact names and text</w:t>
      </w:r>
    </w:p>
    <w:p>
      <w:pPr>
        <w:spacing w:after="140"/>
      </w:pPr>
      <w:r>
        <w:rPr>
          <w:rFonts w:ascii="Georgia" w:hAnsi="Georgia"/>
          <w:i w:val="0"/>
          <w:color w:val="131C1B"/>
          <w:sz w:val="20"/>
        </w:rPr>
        <w:t>Three variants appear across your documents: “MintABear” in the brief, “MINTaBear NFTs” as the specification’s title, and “MINT Bear #1234” / “MINT Bears” in the requirement rows. These strings are permanent once deployed, so we need the final versions: collection name, collection symbol, the per-token name format, the collection description, and the external link for the utility page.</w:t>
      </w:r>
    </w:p>
    <w:p>
      <w:pPr>
        <w:spacing w:after="60" w:before="0"/>
      </w:pPr>
      <w:r>
        <w:rPr>
          <w:rFonts w:ascii="Calibri" w:hAnsi="Calibri"/>
          <w:b/>
          <w:caps/>
          <w:color w:val="788884"/>
          <w:sz w:val="14"/>
          <w:spacing w:val="24"/>
        </w:rPr>
        <w:t>YOUR ANSWER</w:t>
      </w:r>
    </w:p>
    <w:tbl>
      <w:tblPr>
        <w:tblW w:type="auto" w:w="0"/>
        <w:jc w:val="left"/>
        <w:tblLayout w:type="fixed"/>
        <w:tblLook w:firstColumn="1" w:firstRow="1" w:lastColumn="0" w:lastRow="0" w:noHBand="0" w:noVBand="1" w:val="04A0"/>
        <w:tblBorders>
          <w:top w:val="single" w:sz="6" w:space="0" w:color="B9C5C1"/>
          <w:left w:val="single" w:sz="6" w:space="0" w:color="B9C5C1"/>
          <w:bottom w:val="single" w:sz="6" w:space="0" w:color="B9C5C1"/>
          <w:right w:val="single" w:sz="6" w:space="0" w:color="B9C5C1"/>
        </w:tblBorders>
      </w:tblPr>
      <w:tblGrid>
        <w:gridCol w:w="9298"/>
      </w:tblGrid>
      <w:tr>
        <w:tc>
          <w:tcPr>
            <w:tcW w:type="dxa" w:w="9298"/>
            <w:shd w:val="clear" w:fill="FBFCFC"/>
          </w:tcPr>
          <w:p>
            <w:pPr>
              <w:spacing w:after="0"/>
            </w:pPr>
          </w:p>
          <w:p>
            <w:pPr>
              <w:spacing w:after="0"/>
            </w:pPr>
          </w:p>
        </w:tc>
      </w:tr>
    </w:tbl>
    <w:p>
      <w:pPr>
        <w:spacing w:after="80"/>
      </w:pPr>
    </w:p>
    <w:p>
      <w:pPr>
        <w:keepNext/>
        <w:keepLines/>
        <w:spacing w:before="300" w:after="40"/>
      </w:pPr>
      <w:r>
        <w:rPr>
          <w:rFonts w:ascii="Consolas" w:hAnsi="Consolas"/>
          <w:b/>
          <w:color w:val="7E5C0E"/>
          <w:sz w:val="18"/>
        </w:rPr>
        <w:t>A5</w:t>
      </w:r>
      <w:r>
        <w:rPr>
          <w:rFonts w:ascii="Calibri" w:hAnsi="Calibri"/>
          <w:b/>
          <w:color w:val="7E5C0E"/>
          <w:sz w:val="15"/>
          <w:spacing w:val="26"/>
        </w:rPr>
        <w:t xml:space="preserve">   INFORMATION</w:t>
      </w:r>
    </w:p>
    <w:p>
      <w:pPr>
        <w:keepNext/>
        <w:keepLines/>
        <w:spacing w:after="140"/>
      </w:pPr>
      <w:r>
        <w:rPr>
          <w:rFonts w:ascii="Calibri" w:hAnsi="Calibri"/>
          <w:b/>
          <w:color w:val="131C1B"/>
          <w:sz w:val="26"/>
        </w:rPr>
        <w:t>Who controls the contracts</w:t>
      </w:r>
    </w:p>
    <w:p>
      <w:pPr>
        <w:spacing w:after="140"/>
      </w:pPr>
      <w:r>
        <w:rPr>
          <w:rFonts w:ascii="Georgia" w:hAnsi="Georgia"/>
          <w:i w:val="0"/>
          <w:color w:val="131C1B"/>
          <w:sz w:val="20"/>
        </w:rPr>
        <w:t>The address that will own the deployed contracts, and if it is a multisig, its signing threshold. We strongly recommend a multisig rather than a single key.</w:t>
      </w:r>
    </w:p>
    <w:p>
      <w:pPr>
        <w:spacing w:after="140"/>
      </w:pPr>
      <w:r>
        <w:rPr>
          <w:rFonts w:ascii="Georgia" w:hAnsi="Georgia"/>
          <w:i w:val="0"/>
          <w:color w:val="4B5A57"/>
          <w:sz w:val="19"/>
        </w:rPr>
        <w:t>One caution: the Safe multisig contracts are deployed on Robinhood Chain, but we could not confirm that Safe’s web interface supports this chain. If your team expects to approve transactions through that interface, please verify it before we hand over ownership — recovering from a multisig you cannot operate is painful.</w:t>
      </w:r>
    </w:p>
    <w:p>
      <w:pPr>
        <w:spacing w:after="60" w:before="0"/>
      </w:pPr>
      <w:r>
        <w:rPr>
          <w:rFonts w:ascii="Calibri" w:hAnsi="Calibri"/>
          <w:b/>
          <w:caps/>
          <w:color w:val="788884"/>
          <w:sz w:val="14"/>
          <w:spacing w:val="24"/>
        </w:rPr>
        <w:t>YOUR ANSWER</w:t>
      </w:r>
    </w:p>
    <w:tbl>
      <w:tblPr>
        <w:tblW w:type="auto" w:w="0"/>
        <w:jc w:val="left"/>
        <w:tblLayout w:type="fixed"/>
        <w:tblLook w:firstColumn="1" w:firstRow="1" w:lastColumn="0" w:lastRow="0" w:noHBand="0" w:noVBand="1" w:val="04A0"/>
        <w:tblBorders>
          <w:top w:val="single" w:sz="6" w:space="0" w:color="B9C5C1"/>
          <w:left w:val="single" w:sz="6" w:space="0" w:color="B9C5C1"/>
          <w:bottom w:val="single" w:sz="6" w:space="0" w:color="B9C5C1"/>
          <w:right w:val="single" w:sz="6" w:space="0" w:color="B9C5C1"/>
        </w:tblBorders>
      </w:tblPr>
      <w:tblGrid>
        <w:gridCol w:w="9298"/>
      </w:tblGrid>
      <w:tr>
        <w:tc>
          <w:tcPr>
            <w:tcW w:type="dxa" w:w="9298"/>
            <w:shd w:val="clear" w:fill="FBFCFC"/>
          </w:tcPr>
          <w:p>
            <w:pPr>
              <w:spacing w:after="0"/>
            </w:pPr>
          </w:p>
          <w:p>
            <w:pPr>
              <w:spacing w:after="0"/>
            </w:pPr>
          </w:p>
        </w:tc>
      </w:tr>
    </w:tbl>
    <w:p>
      <w:pPr>
        <w:spacing w:after="80"/>
      </w:pPr>
    </w:p>
    <w:p>
      <w:pPr>
        <w:keepNext/>
        <w:keepLines/>
        <w:spacing w:before="300" w:after="40"/>
      </w:pPr>
      <w:r>
        <w:rPr>
          <w:rFonts w:ascii="Consolas" w:hAnsi="Consolas"/>
          <w:b/>
          <w:color w:val="7E5C0E"/>
          <w:sz w:val="18"/>
        </w:rPr>
        <w:t>A6</w:t>
      </w:r>
      <w:r>
        <w:rPr>
          <w:rFonts w:ascii="Calibri" w:hAnsi="Calibri"/>
          <w:b/>
          <w:color w:val="7E5C0E"/>
          <w:sz w:val="15"/>
          <w:spacing w:val="26"/>
        </w:rPr>
        <w:t xml:space="preserve">   INFORMATION</w:t>
      </w:r>
    </w:p>
    <w:p>
      <w:pPr>
        <w:keepNext/>
        <w:keepLines/>
        <w:spacing w:after="140"/>
      </w:pPr>
      <w:r>
        <w:rPr>
          <w:rFonts w:ascii="Calibri" w:hAnsi="Calibri"/>
          <w:b/>
          <w:color w:val="131C1B"/>
          <w:sz w:val="26"/>
        </w:rPr>
        <w:t>How the artwork will be delivered</w:t>
      </w:r>
    </w:p>
    <w:p>
      <w:pPr>
        <w:spacing w:after="140"/>
      </w:pPr>
      <w:r>
        <w:rPr>
          <w:rFonts w:ascii="Georgia" w:hAnsi="Georgia"/>
          <w:i w:val="0"/>
          <w:color w:val="131C1B"/>
          <w:sz w:val="20"/>
        </w:rPr>
        <w:t>For 4,444 bears across eleven visual traits, we need to know the delivery format — layered vector files per trait, flat raster images, or trait assignments only — who owns rarity assignment, and whether the layer set is final. If the images are to be stored on-chain (Q10), clean layered vectors are effectively a requirement.</w:t>
      </w:r>
    </w:p>
    <w:p>
      <w:pPr>
        <w:spacing w:after="140"/>
      </w:pPr>
      <w:r>
        <w:rPr>
          <w:rFonts w:ascii="Georgia" w:hAnsi="Georgia"/>
          <w:i w:val="0"/>
          <w:color w:val="4B5A57"/>
          <w:sz w:val="19"/>
        </w:rPr>
        <w:t>This is the single largest work item in the project and the one most likely to move the timeline. It cannot start without the assets.</w:t>
      </w:r>
    </w:p>
    <w:p>
      <w:pPr>
        <w:spacing w:after="60" w:before="0"/>
      </w:pPr>
      <w:r>
        <w:rPr>
          <w:rFonts w:ascii="Calibri" w:hAnsi="Calibri"/>
          <w:b/>
          <w:caps/>
          <w:color w:val="788884"/>
          <w:sz w:val="14"/>
          <w:spacing w:val="24"/>
        </w:rPr>
        <w:t>YOUR ANSWER</w:t>
      </w:r>
    </w:p>
    <w:tbl>
      <w:tblPr>
        <w:tblW w:type="auto" w:w="0"/>
        <w:jc w:val="left"/>
        <w:tblLayout w:type="fixed"/>
        <w:tblLook w:firstColumn="1" w:firstRow="1" w:lastColumn="0" w:lastRow="0" w:noHBand="0" w:noVBand="1" w:val="04A0"/>
        <w:tblBorders>
          <w:top w:val="single" w:sz="6" w:space="0" w:color="B9C5C1"/>
          <w:left w:val="single" w:sz="6" w:space="0" w:color="B9C5C1"/>
          <w:bottom w:val="single" w:sz="6" w:space="0" w:color="B9C5C1"/>
          <w:right w:val="single" w:sz="6" w:space="0" w:color="B9C5C1"/>
        </w:tblBorders>
      </w:tblPr>
      <w:tblGrid>
        <w:gridCol w:w="9298"/>
      </w:tblGrid>
      <w:tr>
        <w:tc>
          <w:tcPr>
            <w:tcW w:type="dxa" w:w="9298"/>
            <w:shd w:val="clear" w:fill="FBFCFC"/>
          </w:tcPr>
          <w:p>
            <w:pPr>
              <w:spacing w:after="0"/>
            </w:pPr>
          </w:p>
          <w:p>
            <w:pPr>
              <w:spacing w:after="0"/>
            </w:pPr>
          </w:p>
        </w:tc>
      </w:tr>
    </w:tbl>
    <w:p>
      <w:pPr>
        <w:spacing w:after="80"/>
      </w:pPr>
    </w:p>
    <w:p>
      <w:pPr>
        <w:keepNext/>
        <w:keepLines/>
        <w:spacing w:before="300" w:after="40"/>
      </w:pPr>
      <w:r>
        <w:rPr>
          <w:rFonts w:ascii="Consolas" w:hAnsi="Consolas"/>
          <w:b/>
          <w:color w:val="7E5C0E"/>
          <w:sz w:val="18"/>
        </w:rPr>
        <w:t>A7</w:t>
      </w:r>
      <w:r>
        <w:rPr>
          <w:rFonts w:ascii="Calibri" w:hAnsi="Calibri"/>
          <w:b/>
          <w:color w:val="7E5C0E"/>
          <w:sz w:val="15"/>
          <w:spacing w:val="26"/>
        </w:rPr>
        <w:t xml:space="preserve">   INFORMATION</w:t>
      </w:r>
    </w:p>
    <w:p>
      <w:pPr>
        <w:keepNext/>
        <w:keepLines/>
        <w:spacing w:after="140"/>
      </w:pPr>
      <w:r>
        <w:rPr>
          <w:rFonts w:ascii="Calibri" w:hAnsi="Calibri"/>
          <w:b/>
          <w:color w:val="131C1B"/>
          <w:sz w:val="26"/>
        </w:rPr>
        <w:t>Timeline, audit and compiler</w:t>
      </w:r>
    </w:p>
    <w:p>
      <w:pPr>
        <w:spacing w:after="140"/>
      </w:pPr>
      <w:r>
        <w:rPr>
          <w:rFonts w:ascii="Georgia" w:hAnsi="Georgia"/>
          <w:i w:val="0"/>
          <w:color w:val="131C1B"/>
          <w:sz w:val="20"/>
        </w:rPr>
        <w:t>Target mint date; whether an external audit is budgeted and whether a firm has been chosen; and whether that firm requires a specific compiler version. We will pin the compiler version at the start of development so that what the auditor reviews is exactly what gets deployed, which means we need this early rather than late.</w:t>
      </w:r>
    </w:p>
    <w:p>
      <w:pPr>
        <w:spacing w:after="60" w:before="0"/>
      </w:pPr>
      <w:r>
        <w:rPr>
          <w:rFonts w:ascii="Calibri" w:hAnsi="Calibri"/>
          <w:b/>
          <w:caps/>
          <w:color w:val="788884"/>
          <w:sz w:val="14"/>
          <w:spacing w:val="24"/>
        </w:rPr>
        <w:t>YOUR ANSWER</w:t>
      </w:r>
    </w:p>
    <w:tbl>
      <w:tblPr>
        <w:tblW w:type="auto" w:w="0"/>
        <w:jc w:val="left"/>
        <w:tblLayout w:type="fixed"/>
        <w:tblLook w:firstColumn="1" w:firstRow="1" w:lastColumn="0" w:lastRow="0" w:noHBand="0" w:noVBand="1" w:val="04A0"/>
        <w:tblBorders>
          <w:top w:val="single" w:sz="6" w:space="0" w:color="B9C5C1"/>
          <w:left w:val="single" w:sz="6" w:space="0" w:color="B9C5C1"/>
          <w:bottom w:val="single" w:sz="6" w:space="0" w:color="B9C5C1"/>
          <w:right w:val="single" w:sz="6" w:space="0" w:color="B9C5C1"/>
        </w:tblBorders>
      </w:tblPr>
      <w:tblGrid>
        <w:gridCol w:w="9298"/>
      </w:tblGrid>
      <w:tr>
        <w:tc>
          <w:tcPr>
            <w:tcW w:type="dxa" w:w="9298"/>
            <w:shd w:val="clear" w:fill="FBFCFC"/>
          </w:tcPr>
          <w:p>
            <w:pPr>
              <w:spacing w:after="0"/>
            </w:pPr>
          </w:p>
          <w:p>
            <w:pPr>
              <w:spacing w:after="0"/>
            </w:pPr>
          </w:p>
        </w:tc>
      </w:tr>
    </w:tbl>
    <w:p>
      <w:pPr>
        <w:spacing w:after="80"/>
      </w:pPr>
    </w:p>
    <w:p>
      <w:r>
        <w:br w:type="page"/>
      </w:r>
    </w:p>
    <w:p>
      <w:pPr>
        <w:keepNext/>
        <w:keepLines/>
        <w:spacing w:after="40"/>
      </w:pPr>
      <w:r>
        <w:rPr>
          <w:rFonts w:ascii="Calibri" w:hAnsi="Calibri"/>
          <w:b/>
          <w:color w:val="0E5A4F"/>
          <w:sz w:val="34"/>
        </w:rPr>
        <w:t>1 · Rewards and economics</w:t>
      </w:r>
    </w:p>
    <w:p>
      <w:pPr>
        <w:spacing w:after="320"/>
        <w:keepNext/>
        <w:keepLines/>
        <w:pBdr>
          <w:bottom w:val="single" w:sz="6" w:space="6" w:color="D6DEDB"/>
        </w:pBdr>
      </w:pPr>
      <w:r>
        <w:rPr>
          <w:rFonts w:ascii="Consolas" w:hAnsi="Consolas"/>
          <w:color w:val="788884"/>
          <w:sz w:val="16"/>
        </w:rPr>
        <w:t>Q1–Q6</w:t>
      </w:r>
    </w:p>
    <w:p>
      <w:pPr>
        <w:keepNext/>
        <w:keepLines/>
        <w:spacing w:before="300" w:after="40"/>
      </w:pPr>
      <w:r>
        <w:rPr>
          <w:rFonts w:ascii="Consolas" w:hAnsi="Consolas"/>
          <w:b/>
          <w:color w:val="9C3B2C"/>
          <w:sz w:val="18"/>
        </w:rPr>
        <w:t>Q1</w:t>
      </w:r>
      <w:r>
        <w:rPr>
          <w:rFonts w:ascii="Calibri" w:hAnsi="Calibri"/>
          <w:b/>
          <w:color w:val="9C3B2C"/>
          <w:sz w:val="15"/>
          <w:spacing w:val="26"/>
        </w:rPr>
        <w:t xml:space="preserve">   BLOCKING</w:t>
      </w:r>
    </w:p>
    <w:p>
      <w:pPr>
        <w:keepNext/>
        <w:keepLines/>
        <w:spacing w:after="140"/>
      </w:pPr>
      <w:r>
        <w:rPr>
          <w:rFonts w:ascii="Calibri" w:hAnsi="Calibri"/>
          <w:b/>
          <w:color w:val="131C1B"/>
          <w:sz w:val="26"/>
        </w:rPr>
        <w:t>Does the daily reward pool run on-chain?</w:t>
      </w:r>
    </w:p>
    <w:p>
      <w:pPr>
        <w:spacing w:after="140"/>
      </w:pPr>
      <w:r>
        <w:rPr>
          <w:rFonts w:ascii="Georgia" w:hAnsi="Georgia"/>
          <w:i w:val="0"/>
          <w:color w:val="131C1B"/>
          <w:sz w:val="20"/>
        </w:rPr>
        <w:t>This is the largest single decision in the project, and most other answers depend on it. Your brief describes a daily pool funded from house edge and paid in $MNTD; your specification sheet does not describe it at all.</w:t>
      </w:r>
    </w:p>
    <w:p>
      <w:pPr>
        <w:keepLines/>
        <w:spacing w:before="40" w:after="40"/>
        <w:ind w:left="283"/>
        <w:shd w:val="clear" w:fill="F2F5F4"/>
      </w:pPr>
      <w:r>
        <w:rPr>
          <w:rFonts w:ascii="Consolas" w:hAnsi="Consolas"/>
          <w:b/>
          <w:color w:val="0E5A4F"/>
          <w:sz w:val="19"/>
        </w:rPr>
        <w:t xml:space="preserve">[   ]  a   </w:t>
      </w:r>
      <w:r>
        <w:rPr>
          <w:rFonts w:ascii="Georgia" w:hAnsi="Georgia"/>
          <w:b/>
          <w:i w:val="0"/>
          <w:color w:val="131C1B"/>
          <w:sz w:val="20"/>
        </w:rPr>
        <w:t>Fully on-chain.</w:t>
      </w:r>
      <w:r>
        <w:rPr>
          <w:rFonts w:ascii="Georgia" w:hAnsi="Georgia"/>
          <w:i w:val="0"/>
          <w:color w:val="131C1B"/>
          <w:sz w:val="20"/>
        </w:rPr>
        <w:t xml:space="preserve"> House edge is paid into a contract each day, the contract calculates each bear’s share from its weight, and holders claim their own rewards.</w:t>
      </w:r>
    </w:p>
    <w:p>
      <w:pPr>
        <w:keepLines/>
        <w:spacing w:before="40" w:after="40"/>
        <w:ind w:left="283"/>
        <w:shd w:val="clear" w:fill="F2F5F4"/>
      </w:pPr>
      <w:r>
        <w:rPr>
          <w:rFonts w:ascii="Consolas" w:hAnsi="Consolas"/>
          <w:b/>
          <w:color w:val="0E5A4F"/>
          <w:sz w:val="19"/>
        </w:rPr>
        <w:t xml:space="preserve">[   ]  b   </w:t>
      </w:r>
      <w:r>
        <w:rPr>
          <w:rFonts w:ascii="Georgia" w:hAnsi="Georgia"/>
          <w:b/>
          <w:i w:val="0"/>
          <w:color w:val="131C1B"/>
          <w:sz w:val="20"/>
        </w:rPr>
        <w:t>Calculated by you, claimed on-chain.</w:t>
      </w:r>
      <w:r>
        <w:rPr>
          <w:rFonts w:ascii="Georgia" w:hAnsi="Georgia"/>
          <w:i w:val="0"/>
          <w:color w:val="131C1B"/>
          <w:sz w:val="20"/>
        </w:rPr>
        <w:t xml:space="preserve"> Your systems compute each day’s payouts and publish a daily summary on-chain; holders claim against it.</w:t>
      </w:r>
    </w:p>
    <w:p>
      <w:pPr>
        <w:keepLines/>
        <w:spacing w:before="40" w:after="40"/>
        <w:ind w:left="283"/>
        <w:shd w:val="clear" w:fill="F2F5F4"/>
      </w:pPr>
      <w:r>
        <w:rPr>
          <w:rFonts w:ascii="Consolas" w:hAnsi="Consolas"/>
          <w:b/>
          <w:color w:val="0E5A4F"/>
          <w:sz w:val="19"/>
        </w:rPr>
        <w:t xml:space="preserve">[   ]  c   </w:t>
      </w:r>
      <w:r>
        <w:rPr>
          <w:rFonts w:ascii="Georgia" w:hAnsi="Georgia"/>
          <w:b/>
          <w:i w:val="0"/>
          <w:color w:val="131C1B"/>
          <w:sz w:val="20"/>
        </w:rPr>
        <w:t>Entirely within your platform.</w:t>
      </w:r>
      <w:r>
        <w:rPr>
          <w:rFonts w:ascii="Georgia" w:hAnsi="Georgia"/>
          <w:i w:val="0"/>
          <w:color w:val="131C1B"/>
          <w:sz w:val="20"/>
        </w:rPr>
        <w:t xml:space="preserve"> The contracts publish each bear’s activation level and weight; your platform reads them and credits $MNTD to customer balances in its own ledger.</w:t>
      </w:r>
    </w:p>
    <w:p>
      <w:pPr>
        <w:spacing w:after="60" w:before="0"/>
        <w:ind w:left="57"/>
      </w:pPr>
      <w:r>
        <w:rPr>
          <w:rFonts w:ascii="Calibri" w:hAnsi="Calibri"/>
          <w:b/>
          <w:caps/>
          <w:color w:val="0E5A4F"/>
          <w:sz w:val="15"/>
          <w:spacing w:val="24"/>
        </w:rPr>
        <w:t>OUR RECOMMENDATION</w:t>
      </w:r>
    </w:p>
    <w:p>
      <w:pPr>
        <w:spacing w:after="100"/>
        <w:ind w:left="142"/>
        <w:shd w:val="clear" w:fill="EEF5F2"/>
        <w:pBdr>
          <w:left w:val="single" w:sz="18" w:space="8" w:color="0E5A4F"/>
        </w:pBdr>
      </w:pPr>
      <w:r>
        <w:rPr>
          <w:rFonts w:ascii="Georgia" w:hAnsi="Georgia"/>
          <w:i w:val="0"/>
          <w:color w:val="131C1B"/>
          <w:sz w:val="20"/>
        </w:rPr>
        <w:t>Option (c) for launch, built so that (a) can be added later without changing the NFT contract.</w:t>
      </w:r>
    </w:p>
    <w:p>
      <w:pPr>
        <w:spacing w:after="100"/>
        <w:ind w:left="142"/>
        <w:shd w:val="clear" w:fill="EEF5F2"/>
        <w:pBdr>
          <w:left w:val="single" w:sz="18" w:space="8" w:color="0E5A4F"/>
        </w:pBdr>
      </w:pPr>
      <w:r>
        <w:rPr>
          <w:rFonts w:ascii="Georgia" w:hAnsi="Georgia"/>
          <w:i w:val="0"/>
          <w:color w:val="131C1B"/>
          <w:sz w:val="20"/>
        </w:rPr>
        <w:t>Three reasons. It is what your specification actually describes, so choosing it means the specification and the build agree. It roughly halves the contract surface and therefore the audit cost and the schedule. And it keeps the product a loyalty mechanic: an on-chain contract that accepts house revenue and pays a proportional daily return to token holders reads very differently to a regulator than a points multiplier does, which is a question worth putting to your counsel before choosing (a).</w:t>
      </w:r>
    </w:p>
    <w:p>
      <w:pPr>
        <w:spacing w:after="160"/>
        <w:ind w:left="142"/>
        <w:shd w:val="clear" w:fill="EEF5F2"/>
        <w:pBdr>
          <w:left w:val="single" w:sz="18" w:space="8" w:color="0E5A4F"/>
        </w:pBdr>
      </w:pPr>
      <w:r>
        <w:rPr>
          <w:rFonts w:ascii="Georgia" w:hAnsi="Georgia"/>
          <w:i w:val="0"/>
          <w:color w:val="131C1B"/>
          <w:sz w:val="20"/>
        </w:rPr>
        <w:t>If you choose (a) or (b), we will need a short follow-up round on how a day is defined, what happens to rewards nobody claims, and who owns rewards that have accrued when a bear is sold mid-day.</w:t>
      </w:r>
    </w:p>
    <w:p>
      <w:pPr>
        <w:spacing w:after="60" w:before="0"/>
      </w:pPr>
      <w:r>
        <w:rPr>
          <w:rFonts w:ascii="Calibri" w:hAnsi="Calibri"/>
          <w:b/>
          <w:caps/>
          <w:color w:val="788884"/>
          <w:sz w:val="14"/>
          <w:spacing w:val="24"/>
        </w:rPr>
        <w:t>YOUR ANSWER</w:t>
      </w:r>
    </w:p>
    <w:tbl>
      <w:tblPr>
        <w:tblW w:type="auto" w:w="0"/>
        <w:jc w:val="left"/>
        <w:tblLayout w:type="fixed"/>
        <w:tblLook w:firstColumn="1" w:firstRow="1" w:lastColumn="0" w:lastRow="0" w:noHBand="0" w:noVBand="1" w:val="04A0"/>
        <w:tblBorders>
          <w:top w:val="single" w:sz="6" w:space="0" w:color="B9C5C1"/>
          <w:left w:val="single" w:sz="6" w:space="0" w:color="B9C5C1"/>
          <w:bottom w:val="single" w:sz="6" w:space="0" w:color="B9C5C1"/>
          <w:right w:val="single" w:sz="6" w:space="0" w:color="B9C5C1"/>
        </w:tblBorders>
      </w:tblPr>
      <w:tblGrid>
        <w:gridCol w:w="9298"/>
      </w:tblGrid>
      <w:tr>
        <w:tc>
          <w:tcPr>
            <w:tcW w:type="dxa" w:w="9298"/>
            <w:shd w:val="clear" w:fill="FBFCFC"/>
          </w:tcPr>
          <w:p>
            <w:pPr>
              <w:spacing w:after="0"/>
            </w:pPr>
          </w:p>
          <w:p>
            <w:pPr>
              <w:spacing w:after="0"/>
            </w:pPr>
          </w:p>
        </w:tc>
      </w:tr>
    </w:tbl>
    <w:p>
      <w:pPr>
        <w:spacing w:after="80"/>
      </w:pPr>
    </w:p>
    <w:p>
      <w:pPr>
        <w:keepNext/>
        <w:keepLines/>
        <w:spacing w:before="300" w:after="40"/>
      </w:pPr>
      <w:r>
        <w:rPr>
          <w:rFonts w:ascii="Consolas" w:hAnsi="Consolas"/>
          <w:b/>
          <w:color w:val="0E5A4F"/>
          <w:sz w:val="18"/>
        </w:rPr>
        <w:t>Q2</w:t>
      </w:r>
      <w:r>
        <w:rPr>
          <w:rFonts w:ascii="Calibri" w:hAnsi="Calibri"/>
          <w:b/>
          <w:color w:val="0E5A4F"/>
          <w:sz w:val="15"/>
          <w:spacing w:val="26"/>
        </w:rPr>
        <w:t xml:space="preserve">   DECISION</w:t>
      </w:r>
    </w:p>
    <w:p>
      <w:pPr>
        <w:keepNext/>
        <w:keepLines/>
        <w:spacing w:after="140"/>
      </w:pPr>
      <w:r>
        <w:rPr>
          <w:rFonts w:ascii="Calibri" w:hAnsi="Calibri"/>
          <w:b/>
          <w:color w:val="131C1B"/>
          <w:sz w:val="26"/>
        </w:rPr>
        <w:t>One boost figure per level, or two?</w:t>
      </w:r>
    </w:p>
    <w:p>
      <w:pPr>
        <w:keepLines/>
        <w:spacing w:before="40" w:after="40"/>
        <w:ind w:left="283"/>
        <w:shd w:val="clear" w:fill="F2F5F4"/>
      </w:pPr>
      <w:r>
        <w:rPr>
          <w:rFonts w:ascii="Consolas" w:hAnsi="Consolas"/>
          <w:b/>
          <w:color w:val="0E5A4F"/>
          <w:sz w:val="19"/>
        </w:rPr>
        <w:t xml:space="preserve">[   ]  a   </w:t>
      </w:r>
      <w:r>
        <w:rPr>
          <w:rFonts w:ascii="Georgia" w:hAnsi="Georgia"/>
          <w:i w:val="0"/>
          <w:color w:val="131C1B"/>
          <w:sz w:val="20"/>
        </w:rPr>
        <w:t>Store both figures on-chain: the pool weight and the Status multiplier.</w:t>
      </w:r>
    </w:p>
    <w:p>
      <w:pPr>
        <w:keepLines/>
        <w:spacing w:before="40" w:after="40"/>
        <w:ind w:left="283"/>
        <w:shd w:val="clear" w:fill="F2F5F4"/>
      </w:pPr>
      <w:r>
        <w:rPr>
          <w:rFonts w:ascii="Consolas" w:hAnsi="Consolas"/>
          <w:b/>
          <w:color w:val="0E5A4F"/>
          <w:sz w:val="19"/>
        </w:rPr>
        <w:t xml:space="preserve">[   ]  b   </w:t>
      </w:r>
      <w:r>
        <w:rPr>
          <w:rFonts w:ascii="Georgia" w:hAnsi="Georgia"/>
          <w:i w:val="0"/>
          <w:color w:val="131C1B"/>
          <w:sz w:val="20"/>
        </w:rPr>
        <w:t>Store the Status multiplier only; your platform derives the weight from the level.</w:t>
      </w:r>
    </w:p>
    <w:p>
      <w:pPr>
        <w:keepLines/>
        <w:spacing w:before="40" w:after="40"/>
        <w:ind w:left="283"/>
        <w:shd w:val="clear" w:fill="F2F5F4"/>
      </w:pPr>
      <w:r>
        <w:rPr>
          <w:rFonts w:ascii="Consolas" w:hAnsi="Consolas"/>
          <w:b/>
          <w:color w:val="0E5A4F"/>
          <w:sz w:val="19"/>
        </w:rPr>
        <w:t xml:space="preserve">[   ]  c   </w:t>
      </w:r>
      <w:r>
        <w:rPr>
          <w:rFonts w:ascii="Georgia" w:hAnsi="Georgia"/>
          <w:i w:val="0"/>
          <w:color w:val="131C1B"/>
          <w:sz w:val="20"/>
        </w:rPr>
        <w:t>Drop the weight concept from the contracts entirely.</w:t>
      </w:r>
    </w:p>
    <w:p>
      <w:pPr>
        <w:spacing w:after="60" w:before="0"/>
        <w:ind w:left="57"/>
      </w:pPr>
      <w:r>
        <w:rPr>
          <w:rFonts w:ascii="Calibri" w:hAnsi="Calibri"/>
          <w:b/>
          <w:caps/>
          <w:color w:val="0E5A4F"/>
          <w:sz w:val="15"/>
          <w:spacing w:val="24"/>
        </w:rPr>
        <w:t>OUR RECOMMENDATION</w:t>
      </w:r>
    </w:p>
    <w:p>
      <w:pPr>
        <w:spacing w:after="160"/>
        <w:ind w:left="142"/>
        <w:shd w:val="clear" w:fill="EEF5F2"/>
        <w:pBdr>
          <w:left w:val="single" w:sz="18" w:space="8" w:color="0E5A4F"/>
        </w:pBdr>
      </w:pPr>
      <w:r>
        <w:rPr>
          <w:rFonts w:ascii="Georgia" w:hAnsi="Georgia"/>
          <w:i w:val="0"/>
          <w:color w:val="131C1B"/>
          <w:sz w:val="20"/>
        </w:rPr>
        <w:t>Option (a). Storing both keeps your two economic levers visible and independently auditable, and lets any consumer — your platform, a future rewards contract, a third-party dashboard — read the same authoritative numbers. Under (b) the same economics live in two places and will eventually drift apart.</w:t>
      </w:r>
    </w:p>
    <w:p>
      <w:pPr>
        <w:spacing w:after="60" w:before="0"/>
      </w:pPr>
      <w:r>
        <w:rPr>
          <w:rFonts w:ascii="Calibri" w:hAnsi="Calibri"/>
          <w:b/>
          <w:caps/>
          <w:color w:val="788884"/>
          <w:sz w:val="14"/>
          <w:spacing w:val="24"/>
        </w:rPr>
        <w:t>YOUR ANSWER</w:t>
      </w:r>
    </w:p>
    <w:tbl>
      <w:tblPr>
        <w:tblW w:type="auto" w:w="0"/>
        <w:jc w:val="left"/>
        <w:tblLayout w:type="fixed"/>
        <w:tblLook w:firstColumn="1" w:firstRow="1" w:lastColumn="0" w:lastRow="0" w:noHBand="0" w:noVBand="1" w:val="04A0"/>
        <w:tblBorders>
          <w:top w:val="single" w:sz="6" w:space="0" w:color="B9C5C1"/>
          <w:left w:val="single" w:sz="6" w:space="0" w:color="B9C5C1"/>
          <w:bottom w:val="single" w:sz="6" w:space="0" w:color="B9C5C1"/>
          <w:right w:val="single" w:sz="6" w:space="0" w:color="B9C5C1"/>
        </w:tblBorders>
      </w:tblPr>
      <w:tblGrid>
        <w:gridCol w:w="9298"/>
      </w:tblGrid>
      <w:tr>
        <w:tc>
          <w:tcPr>
            <w:tcW w:type="dxa" w:w="9298"/>
            <w:shd w:val="clear" w:fill="FBFCFC"/>
          </w:tcPr>
          <w:p>
            <w:pPr>
              <w:spacing w:after="0"/>
            </w:pPr>
          </w:p>
          <w:p>
            <w:pPr>
              <w:spacing w:after="0"/>
            </w:pPr>
          </w:p>
        </w:tc>
      </w:tr>
    </w:tbl>
    <w:p>
      <w:pPr>
        <w:spacing w:after="80"/>
      </w:pPr>
    </w:p>
    <w:p>
      <w:pPr>
        <w:keepNext/>
        <w:keepLines/>
        <w:spacing w:before="300" w:after="40"/>
      </w:pPr>
      <w:r>
        <w:rPr>
          <w:rFonts w:ascii="Consolas" w:hAnsi="Consolas"/>
          <w:b/>
          <w:color w:val="4B5A57"/>
          <w:sz w:val="18"/>
        </w:rPr>
        <w:t>Q3</w:t>
      </w:r>
      <w:r>
        <w:rPr>
          <w:rFonts w:ascii="Calibri" w:hAnsi="Calibri"/>
          <w:b/>
          <w:color w:val="4B5A57"/>
          <w:sz w:val="15"/>
          <w:spacing w:val="26"/>
        </w:rPr>
        <w:t xml:space="preserve">   CONFIRM</w:t>
      </w:r>
    </w:p>
    <w:p>
      <w:pPr>
        <w:keepNext/>
        <w:keepLines/>
        <w:spacing w:after="140"/>
      </w:pPr>
      <w:r>
        <w:rPr>
          <w:rFonts w:ascii="Calibri" w:hAnsi="Calibri"/>
          <w:b/>
          <w:color w:val="131C1B"/>
          <w:sz w:val="26"/>
        </w:rPr>
        <w:t>Confirm the four activation rules</w:t>
      </w:r>
    </w:p>
    <w:p>
      <w:pPr>
        <w:spacing w:after="140"/>
      </w:pPr>
      <w:r>
        <w:rPr>
          <w:rFonts w:ascii="Georgia" w:hAnsi="Georgia"/>
          <w:i w:val="0"/>
          <w:color w:val="131C1B"/>
          <w:sz w:val="20"/>
        </w:rPr>
        <w:t>Reading your brief together with the specification, we intend to build the following. Please confirm each, or correct it.</w:t>
      </w:r>
    </w:p>
    <w:p>
      <w:pPr>
        <w:keepLines/>
        <w:spacing w:before="40" w:after="40"/>
        <w:ind w:left="283"/>
        <w:shd w:val="clear" w:fill="F2F5F4"/>
      </w:pPr>
      <w:r>
        <w:rPr>
          <w:rFonts w:ascii="Consolas" w:hAnsi="Consolas"/>
          <w:b/>
          <w:color w:val="0E5A4F"/>
          <w:sz w:val="19"/>
        </w:rPr>
        <w:t xml:space="preserve">[   ]  i   </w:t>
      </w:r>
      <w:r>
        <w:rPr>
          <w:rFonts w:ascii="Georgia" w:hAnsi="Georgia"/>
          <w:b/>
          <w:i w:val="0"/>
          <w:color w:val="131C1B"/>
          <w:sz w:val="20"/>
        </w:rPr>
        <w:t>No partial credit.</w:t>
      </w:r>
      <w:r>
        <w:rPr>
          <w:rFonts w:ascii="Georgia" w:hAnsi="Georgia"/>
          <w:i w:val="0"/>
          <w:color w:val="131C1B"/>
          <w:sz w:val="20"/>
        </w:rPr>
        <w:t xml:space="preserve"> A holder pays the full step to reach the next level. An attempt to burn less is rejected rather than banked as progress.</w:t>
      </w:r>
    </w:p>
    <w:p>
      <w:pPr>
        <w:keepLines/>
        <w:spacing w:before="40" w:after="40"/>
        <w:ind w:left="283"/>
        <w:shd w:val="clear" w:fill="F2F5F4"/>
      </w:pPr>
      <w:r>
        <w:rPr>
          <w:rFonts w:ascii="Consolas" w:hAnsi="Consolas"/>
          <w:b/>
          <w:color w:val="0E5A4F"/>
          <w:sz w:val="19"/>
        </w:rPr>
        <w:t xml:space="preserve">[   ]  ii   </w:t>
      </w:r>
      <w:r>
        <w:rPr>
          <w:rFonts w:ascii="Georgia" w:hAnsi="Georgia"/>
          <w:b/>
          <w:i w:val="0"/>
          <w:color w:val="131C1B"/>
          <w:sz w:val="20"/>
        </w:rPr>
        <w:t>Direct jumps allowed.</w:t>
      </w:r>
      <w:r>
        <w:rPr>
          <w:rFonts w:ascii="Georgia" w:hAnsi="Georgia"/>
          <w:i w:val="0"/>
          <w:color w:val="131C1B"/>
          <w:sz w:val="20"/>
        </w:rPr>
        <w:t xml:space="preserve"> A holder may go from no level to level 5 in a single transaction by burning 250,000 $MNTD.</w:t>
      </w:r>
    </w:p>
    <w:p>
      <w:pPr>
        <w:keepLines/>
        <w:spacing w:before="40" w:after="40"/>
        <w:ind w:left="283"/>
        <w:shd w:val="clear" w:fill="F2F5F4"/>
      </w:pPr>
      <w:r>
        <w:rPr>
          <w:rFonts w:ascii="Consolas" w:hAnsi="Consolas"/>
          <w:b/>
          <w:color w:val="0E5A4F"/>
          <w:sz w:val="19"/>
        </w:rPr>
        <w:t xml:space="preserve">[   ]  iii   </w:t>
      </w:r>
      <w:r>
        <w:rPr>
          <w:rFonts w:ascii="Georgia" w:hAnsi="Georgia"/>
          <w:b/>
          <w:i w:val="0"/>
          <w:color w:val="131C1B"/>
          <w:sz w:val="20"/>
        </w:rPr>
        <w:t>A sale resets everything.</w:t>
      </w:r>
      <w:r>
        <w:rPr>
          <w:rFonts w:ascii="Georgia" w:hAnsi="Georgia"/>
          <w:i w:val="0"/>
          <w:color w:val="131C1B"/>
          <w:sz w:val="20"/>
        </w:rPr>
        <w:t xml:space="preserve"> The cumulative burn total resets to zero on transfer, so a new owner pays the full 250,000 again to reach level 5.</w:t>
      </w:r>
    </w:p>
    <w:p>
      <w:pPr>
        <w:keepLines/>
        <w:spacing w:before="40" w:after="40"/>
        <w:ind w:left="283"/>
        <w:shd w:val="clear" w:fill="F2F5F4"/>
      </w:pPr>
      <w:r>
        <w:rPr>
          <w:rFonts w:ascii="Consolas" w:hAnsi="Consolas"/>
          <w:b/>
          <w:color w:val="0E5A4F"/>
          <w:sz w:val="19"/>
        </w:rPr>
        <w:t xml:space="preserve">[   ]  iv   </w:t>
      </w:r>
      <w:r>
        <w:rPr>
          <w:rFonts w:ascii="Georgia" w:hAnsi="Georgia"/>
          <w:b/>
          <w:i w:val="0"/>
          <w:color w:val="131C1B"/>
          <w:sz w:val="20"/>
        </w:rPr>
        <w:t>Only the owner can activate.</w:t>
      </w:r>
      <w:r>
        <w:rPr>
          <w:rFonts w:ascii="Georgia" w:hAnsi="Georgia"/>
          <w:i w:val="0"/>
          <w:color w:val="131C1B"/>
          <w:sz w:val="20"/>
        </w:rPr>
        <w:t xml:space="preserve"> An approved marketplace or operator cannot spend the owner’s $MNTD, even while holding transfer approval.</w:t>
      </w:r>
    </w:p>
    <w:p>
      <w:pPr>
        <w:spacing w:after="60" w:before="0"/>
        <w:ind w:left="57"/>
      </w:pPr>
      <w:r>
        <w:rPr>
          <w:rFonts w:ascii="Calibri" w:hAnsi="Calibri"/>
          <w:b/>
          <w:caps/>
          <w:color w:val="0E5A4F"/>
          <w:sz w:val="15"/>
          <w:spacing w:val="24"/>
        </w:rPr>
        <w:t>OUR RECOMMENDATION</w:t>
      </w:r>
    </w:p>
    <w:p>
      <w:pPr>
        <w:spacing w:after="100"/>
        <w:ind w:left="142"/>
        <w:shd w:val="clear" w:fill="EEF5F2"/>
        <w:pBdr>
          <w:left w:val="single" w:sz="18" w:space="8" w:color="0E5A4F"/>
        </w:pBdr>
      </w:pPr>
      <w:r>
        <w:rPr>
          <w:rFonts w:ascii="Georgia" w:hAnsi="Georgia"/>
          <w:i w:val="0"/>
          <w:color w:val="131C1B"/>
          <w:sz w:val="20"/>
        </w:rPr>
        <w:t>Confirm all four. We would also keep a lifetime burn total per bear that never resets — it costs nothing, and it gives you a permanent record for leaderboards and analytics after a bear changes hands.</w:t>
      </w:r>
    </w:p>
    <w:p>
      <w:pPr>
        <w:spacing w:after="160"/>
        <w:ind w:left="142"/>
        <w:shd w:val="clear" w:fill="EEF5F2"/>
        <w:pBdr>
          <w:left w:val="single" w:sz="18" w:space="8" w:color="0E5A4F"/>
        </w:pBdr>
      </w:pPr>
      <w:r>
        <w:rPr>
          <w:rFonts w:ascii="Georgia" w:hAnsi="Georgia"/>
          <w:i w:val="0"/>
          <w:color w:val="131C1B"/>
          <w:sz w:val="20"/>
        </w:rPr>
        <w:t>One consequence to confirm as deliberate: under rule (iii), a level 5 bear is worth no more to a buyer than an unactivated one, and roughly $8,250 of burned value is destroyed on every sale. In practice this makes activated bears close to non-transferable. We read that as the intended anti-flipping design rather than an oversight, but it is a significant product position and we would rather hear you state it than assume it.</w:t>
      </w:r>
    </w:p>
    <w:p>
      <w:pPr>
        <w:spacing w:after="60" w:before="0"/>
      </w:pPr>
      <w:r>
        <w:rPr>
          <w:rFonts w:ascii="Calibri" w:hAnsi="Calibri"/>
          <w:b/>
          <w:caps/>
          <w:color w:val="788884"/>
          <w:sz w:val="14"/>
          <w:spacing w:val="24"/>
        </w:rPr>
        <w:t>YOUR ANSWER</w:t>
      </w:r>
    </w:p>
    <w:tbl>
      <w:tblPr>
        <w:tblW w:type="auto" w:w="0"/>
        <w:jc w:val="left"/>
        <w:tblLayout w:type="fixed"/>
        <w:tblLook w:firstColumn="1" w:firstRow="1" w:lastColumn="0" w:lastRow="0" w:noHBand="0" w:noVBand="1" w:val="04A0"/>
        <w:tblBorders>
          <w:top w:val="single" w:sz="6" w:space="0" w:color="B9C5C1"/>
          <w:left w:val="single" w:sz="6" w:space="0" w:color="B9C5C1"/>
          <w:bottom w:val="single" w:sz="6" w:space="0" w:color="B9C5C1"/>
          <w:right w:val="single" w:sz="6" w:space="0" w:color="B9C5C1"/>
        </w:tblBorders>
      </w:tblPr>
      <w:tblGrid>
        <w:gridCol w:w="9298"/>
      </w:tblGrid>
      <w:tr>
        <w:tc>
          <w:tcPr>
            <w:tcW w:type="dxa" w:w="9298"/>
            <w:shd w:val="clear" w:fill="FBFCFC"/>
          </w:tcPr>
          <w:p>
            <w:pPr>
              <w:spacing w:after="0"/>
            </w:pPr>
          </w:p>
          <w:p>
            <w:pPr>
              <w:spacing w:after="0"/>
            </w:pPr>
          </w:p>
        </w:tc>
      </w:tr>
    </w:tbl>
    <w:p>
      <w:pPr>
        <w:spacing w:after="80"/>
      </w:pPr>
    </w:p>
    <w:p>
      <w:pPr>
        <w:keepNext/>
        <w:keepLines/>
        <w:spacing w:before="300" w:after="40"/>
      </w:pPr>
      <w:r>
        <w:rPr>
          <w:rFonts w:ascii="Consolas" w:hAnsi="Consolas"/>
          <w:b/>
          <w:color w:val="0E5A4F"/>
          <w:sz w:val="18"/>
        </w:rPr>
        <w:t>Q4</w:t>
      </w:r>
      <w:r>
        <w:rPr>
          <w:rFonts w:ascii="Calibri" w:hAnsi="Calibri"/>
          <w:b/>
          <w:color w:val="0E5A4F"/>
          <w:sz w:val="15"/>
          <w:spacing w:val="26"/>
        </w:rPr>
        <w:t xml:space="preserve">   DECISION</w:t>
      </w:r>
    </w:p>
    <w:p>
      <w:pPr>
        <w:keepNext/>
        <w:keepLines/>
        <w:spacing w:after="140"/>
      </w:pPr>
      <w:r>
        <w:rPr>
          <w:rFonts w:ascii="Calibri" w:hAnsi="Calibri"/>
          <w:b/>
          <w:color w:val="131C1B"/>
          <w:sz w:val="26"/>
        </w:rPr>
        <w:t>Which transfers reset activation?</w:t>
      </w:r>
    </w:p>
    <w:p>
      <w:pPr>
        <w:spacing w:after="140"/>
      </w:pPr>
      <w:r>
        <w:rPr>
          <w:rFonts w:ascii="Georgia" w:hAnsi="Georgia"/>
          <w:i w:val="0"/>
          <w:color w:val="131C1B"/>
          <w:sz w:val="20"/>
        </w:rPr>
        <w:t>Your specification says activation resets “on a normal transfer”, which leaves open whether some transfers are exempt: a customer moving a bear between two of their own wallets, a marketplace that takes custody while a bear is listed, or a future staking contract.</w:t>
      </w:r>
    </w:p>
    <w:p>
      <w:pPr>
        <w:keepLines/>
        <w:spacing w:before="40" w:after="40"/>
        <w:ind w:left="283"/>
        <w:shd w:val="clear" w:fill="F2F5F4"/>
      </w:pPr>
      <w:r>
        <w:rPr>
          <w:rFonts w:ascii="Consolas" w:hAnsi="Consolas"/>
          <w:b/>
          <w:color w:val="0E5A4F"/>
          <w:sz w:val="19"/>
        </w:rPr>
        <w:t xml:space="preserve">[   ]  a   </w:t>
      </w:r>
      <w:r>
        <w:rPr>
          <w:rFonts w:ascii="Georgia" w:hAnsi="Georgia"/>
          <w:i w:val="0"/>
          <w:color w:val="131C1B"/>
          <w:sz w:val="20"/>
        </w:rPr>
        <w:t>No exemptions. Every transfer except the original mint resets activation.</w:t>
      </w:r>
    </w:p>
    <w:p>
      <w:pPr>
        <w:keepLines/>
        <w:spacing w:before="40" w:after="40"/>
        <w:ind w:left="283"/>
        <w:shd w:val="clear" w:fill="F2F5F4"/>
      </w:pPr>
      <w:r>
        <w:rPr>
          <w:rFonts w:ascii="Consolas" w:hAnsi="Consolas"/>
          <w:b/>
          <w:color w:val="0E5A4F"/>
          <w:sz w:val="19"/>
        </w:rPr>
        <w:t xml:space="preserve">[   ]  b   </w:t>
      </w:r>
      <w:r>
        <w:rPr>
          <w:rFonts w:ascii="Georgia" w:hAnsi="Georgia"/>
          <w:i w:val="0"/>
          <w:color w:val="131C1B"/>
          <w:sz w:val="20"/>
        </w:rPr>
        <w:t>Exempt specific approved addresses, maintained as a list by your admin.</w:t>
      </w:r>
    </w:p>
    <w:p>
      <w:pPr>
        <w:spacing w:after="60" w:before="0"/>
        <w:ind w:left="57"/>
      </w:pPr>
      <w:r>
        <w:rPr>
          <w:rFonts w:ascii="Calibri" w:hAnsi="Calibri"/>
          <w:b/>
          <w:caps/>
          <w:color w:val="0E5A4F"/>
          <w:sz w:val="15"/>
          <w:spacing w:val="24"/>
        </w:rPr>
        <w:t>OUR RECOMMENDATION</w:t>
      </w:r>
    </w:p>
    <w:p>
      <w:pPr>
        <w:spacing w:after="100"/>
        <w:ind w:left="142"/>
        <w:shd w:val="clear" w:fill="EEF5F2"/>
        <w:pBdr>
          <w:left w:val="single" w:sz="18" w:space="8" w:color="0E5A4F"/>
        </w:pBdr>
      </w:pPr>
      <w:r>
        <w:rPr>
          <w:rFonts w:ascii="Georgia" w:hAnsi="Georgia"/>
          <w:i w:val="0"/>
          <w:color w:val="131C1B"/>
          <w:sz w:val="20"/>
        </w:rPr>
        <w:t>Option (a). “The same person’s other wallet” cannot be proved on-chain, and any exemption list becomes a route for moving activation between different owners through a shared intermediary — which defeats the purpose of the reset.</w:t>
      </w:r>
    </w:p>
    <w:p>
      <w:pPr>
        <w:spacing w:after="160"/>
        <w:ind w:left="142"/>
        <w:shd w:val="clear" w:fill="EEF5F2"/>
        <w:pBdr>
          <w:left w:val="single" w:sz="18" w:space="8" w:color="0E5A4F"/>
        </w:pBdr>
      </w:pPr>
      <w:r>
        <w:rPr>
          <w:rFonts w:ascii="Georgia" w:hAnsi="Georgia"/>
          <w:i w:val="0"/>
          <w:color w:val="131C1B"/>
          <w:sz w:val="20"/>
        </w:rPr>
        <w:t>This has one consequence your holders must be told clearly: sell through a marketplace that takes custody of the bear and activation is lost at listing time, not at sale time. Marketplaces that work by approval rather than custody are safe. This is a matter for your front end and help documentation, not something we can fix in the contract without reintroducing the exemption problem.</w:t>
      </w:r>
    </w:p>
    <w:p>
      <w:pPr>
        <w:spacing w:after="60" w:before="0"/>
      </w:pPr>
      <w:r>
        <w:rPr>
          <w:rFonts w:ascii="Calibri" w:hAnsi="Calibri"/>
          <w:b/>
          <w:caps/>
          <w:color w:val="788884"/>
          <w:sz w:val="14"/>
          <w:spacing w:val="24"/>
        </w:rPr>
        <w:t>YOUR ANSWER</w:t>
      </w:r>
    </w:p>
    <w:tbl>
      <w:tblPr>
        <w:tblW w:type="auto" w:w="0"/>
        <w:jc w:val="left"/>
        <w:tblLayout w:type="fixed"/>
        <w:tblLook w:firstColumn="1" w:firstRow="1" w:lastColumn="0" w:lastRow="0" w:noHBand="0" w:noVBand="1" w:val="04A0"/>
        <w:tblBorders>
          <w:top w:val="single" w:sz="6" w:space="0" w:color="B9C5C1"/>
          <w:left w:val="single" w:sz="6" w:space="0" w:color="B9C5C1"/>
          <w:bottom w:val="single" w:sz="6" w:space="0" w:color="B9C5C1"/>
          <w:right w:val="single" w:sz="6" w:space="0" w:color="B9C5C1"/>
        </w:tblBorders>
      </w:tblPr>
      <w:tblGrid>
        <w:gridCol w:w="9298"/>
      </w:tblGrid>
      <w:tr>
        <w:tc>
          <w:tcPr>
            <w:tcW w:type="dxa" w:w="9298"/>
            <w:shd w:val="clear" w:fill="FBFCFC"/>
          </w:tcPr>
          <w:p>
            <w:pPr>
              <w:spacing w:after="0"/>
            </w:pPr>
          </w:p>
          <w:p>
            <w:pPr>
              <w:spacing w:after="0"/>
            </w:pPr>
          </w:p>
        </w:tc>
      </w:tr>
    </w:tbl>
    <w:p>
      <w:pPr>
        <w:spacing w:after="80"/>
      </w:pPr>
    </w:p>
    <w:p>
      <w:pPr>
        <w:keepNext/>
        <w:keepLines/>
        <w:spacing w:before="300" w:after="40"/>
      </w:pPr>
      <w:r>
        <w:rPr>
          <w:rFonts w:ascii="Consolas" w:hAnsi="Consolas"/>
          <w:b/>
          <w:color w:val="0E5A4F"/>
          <w:sz w:val="18"/>
        </w:rPr>
        <w:t>Q5</w:t>
      </w:r>
      <w:r>
        <w:rPr>
          <w:rFonts w:ascii="Calibri" w:hAnsi="Calibri"/>
          <w:b/>
          <w:color w:val="0E5A4F"/>
          <w:sz w:val="15"/>
          <w:spacing w:val="26"/>
        </w:rPr>
        <w:t xml:space="preserve">   DECISION</w:t>
      </w:r>
    </w:p>
    <w:p>
      <w:pPr>
        <w:keepNext/>
        <w:keepLines/>
        <w:spacing w:after="140"/>
      </w:pPr>
      <w:r>
        <w:rPr>
          <w:rFonts w:ascii="Calibri" w:hAnsi="Calibri"/>
          <w:b/>
          <w:color w:val="131C1B"/>
          <w:sz w:val="26"/>
        </w:rPr>
        <w:t>How does a bear attach to a holder’s Status?</w:t>
      </w:r>
    </w:p>
    <w:p>
      <w:pPr>
        <w:keepLines/>
        <w:spacing w:before="40" w:after="40"/>
        <w:ind w:left="283"/>
        <w:shd w:val="clear" w:fill="F2F5F4"/>
      </w:pPr>
      <w:r>
        <w:rPr>
          <w:rFonts w:ascii="Consolas" w:hAnsi="Consolas"/>
          <w:b/>
          <w:color w:val="0E5A4F"/>
          <w:sz w:val="19"/>
        </w:rPr>
        <w:t xml:space="preserve">[   ]  a   </w:t>
      </w:r>
      <w:r>
        <w:rPr>
          <w:rFonts w:ascii="Georgia" w:hAnsi="Georgia"/>
          <w:b/>
          <w:i w:val="0"/>
          <w:color w:val="131C1B"/>
          <w:sz w:val="20"/>
        </w:rPr>
        <w:t>Automatically.</w:t>
      </w:r>
      <w:r>
        <w:rPr>
          <w:rFonts w:ascii="Georgia" w:hAnsi="Georgia"/>
          <w:i w:val="0"/>
          <w:color w:val="131C1B"/>
          <w:sz w:val="20"/>
        </w:rPr>
        <w:t xml:space="preserve"> Your platform applies the best bear the wallet holds. No extra step for the customer, but the rule for a wallet holding several bears has to be defined and the lookup is expensive on-chain.</w:t>
      </w:r>
    </w:p>
    <w:p>
      <w:pPr>
        <w:keepLines/>
        <w:spacing w:before="40" w:after="40"/>
        <w:ind w:left="283"/>
        <w:shd w:val="clear" w:fill="F2F5F4"/>
      </w:pPr>
      <w:r>
        <w:rPr>
          <w:rFonts w:ascii="Consolas" w:hAnsi="Consolas"/>
          <w:b/>
          <w:color w:val="0E5A4F"/>
          <w:sz w:val="19"/>
        </w:rPr>
        <w:t xml:space="preserve">[   ]  b   </w:t>
      </w:r>
      <w:r>
        <w:rPr>
          <w:rFonts w:ascii="Georgia" w:hAnsi="Georgia"/>
          <w:b/>
          <w:i w:val="0"/>
          <w:color w:val="131C1B"/>
          <w:sz w:val="20"/>
        </w:rPr>
        <w:t>By explicit choice.</w:t>
      </w:r>
      <w:r>
        <w:rPr>
          <w:rFonts w:ascii="Georgia" w:hAnsi="Georgia"/>
          <w:i w:val="0"/>
          <w:color w:val="131C1B"/>
          <w:sz w:val="20"/>
        </w:rPr>
        <w:t xml:space="preserve"> The holder nominates one bear, one per wallet, and the nomination is cleared automatically if that bear is sold.</w:t>
      </w:r>
    </w:p>
    <w:p>
      <w:pPr>
        <w:spacing w:after="60" w:before="0"/>
        <w:ind w:left="57"/>
      </w:pPr>
      <w:r>
        <w:rPr>
          <w:rFonts w:ascii="Calibri" w:hAnsi="Calibri"/>
          <w:b/>
          <w:caps/>
          <w:color w:val="0E5A4F"/>
          <w:sz w:val="15"/>
          <w:spacing w:val="24"/>
        </w:rPr>
        <w:t>OUR RECOMMENDATION</w:t>
      </w:r>
    </w:p>
    <w:p>
      <w:pPr>
        <w:spacing w:after="160"/>
        <w:ind w:left="142"/>
        <w:shd w:val="clear" w:fill="EEF5F2"/>
        <w:pBdr>
          <w:left w:val="single" w:sz="18" w:space="8" w:color="0E5A4F"/>
        </w:pBdr>
      </w:pPr>
      <w:r>
        <w:rPr>
          <w:rFonts w:ascii="Georgia" w:hAnsi="Georgia"/>
          <w:i w:val="0"/>
          <w:color w:val="131C1B"/>
          <w:sz w:val="20"/>
        </w:rPr>
        <w:t>Option (b). It makes the boost legible to the customer — “this bear is powering your Status” is a clear piece of interface — and it turns your requirement that a previous owner must stop receiving the boost into a single guaranteed write rather than an implicit rule with edge cases. Your platform then reads one value instead of scanning a wallet.</w:t>
      </w:r>
    </w:p>
    <w:p>
      <w:pPr>
        <w:spacing w:after="60" w:before="0"/>
      </w:pPr>
      <w:r>
        <w:rPr>
          <w:rFonts w:ascii="Calibri" w:hAnsi="Calibri"/>
          <w:b/>
          <w:caps/>
          <w:color w:val="788884"/>
          <w:sz w:val="14"/>
          <w:spacing w:val="24"/>
        </w:rPr>
        <w:t>YOUR ANSWER</w:t>
      </w:r>
    </w:p>
    <w:tbl>
      <w:tblPr>
        <w:tblW w:type="auto" w:w="0"/>
        <w:jc w:val="left"/>
        <w:tblLayout w:type="fixed"/>
        <w:tblLook w:firstColumn="1" w:firstRow="1" w:lastColumn="0" w:lastRow="0" w:noHBand="0" w:noVBand="1" w:val="04A0"/>
        <w:tblBorders>
          <w:top w:val="single" w:sz="6" w:space="0" w:color="B9C5C1"/>
          <w:left w:val="single" w:sz="6" w:space="0" w:color="B9C5C1"/>
          <w:bottom w:val="single" w:sz="6" w:space="0" w:color="B9C5C1"/>
          <w:right w:val="single" w:sz="6" w:space="0" w:color="B9C5C1"/>
        </w:tblBorders>
      </w:tblPr>
      <w:tblGrid>
        <w:gridCol w:w="9298"/>
      </w:tblGrid>
      <w:tr>
        <w:tc>
          <w:tcPr>
            <w:tcW w:type="dxa" w:w="9298"/>
            <w:shd w:val="clear" w:fill="FBFCFC"/>
          </w:tcPr>
          <w:p>
            <w:pPr>
              <w:spacing w:after="0"/>
            </w:pPr>
          </w:p>
          <w:p>
            <w:pPr>
              <w:spacing w:after="0"/>
            </w:pPr>
          </w:p>
        </w:tc>
      </w:tr>
    </w:tbl>
    <w:p>
      <w:pPr>
        <w:spacing w:after="80"/>
      </w:pPr>
    </w:p>
    <w:p>
      <w:pPr>
        <w:keepNext/>
        <w:keepLines/>
        <w:spacing w:before="300" w:after="40"/>
      </w:pPr>
      <w:r>
        <w:rPr>
          <w:rFonts w:ascii="Consolas" w:hAnsi="Consolas"/>
          <w:b/>
          <w:color w:val="0E5A4F"/>
          <w:sz w:val="18"/>
        </w:rPr>
        <w:t>Q6</w:t>
      </w:r>
      <w:r>
        <w:rPr>
          <w:rFonts w:ascii="Calibri" w:hAnsi="Calibri"/>
          <w:b/>
          <w:color w:val="0E5A4F"/>
          <w:sz w:val="15"/>
          <w:spacing w:val="26"/>
        </w:rPr>
        <w:t xml:space="preserve">   DECISION</w:t>
      </w:r>
    </w:p>
    <w:p>
      <w:pPr>
        <w:keepNext/>
        <w:keepLines/>
        <w:spacing w:after="140"/>
      </w:pPr>
      <w:r>
        <w:rPr>
          <w:rFonts w:ascii="Calibri" w:hAnsi="Calibri"/>
          <w:b/>
          <w:color w:val="131C1B"/>
          <w:sz w:val="26"/>
        </w:rPr>
        <w:t>Are the thresholds and boosts frozen after launch?</w:t>
      </w:r>
    </w:p>
    <w:p>
      <w:pPr>
        <w:keepLines/>
        <w:spacing w:before="40" w:after="40"/>
        <w:ind w:left="283"/>
        <w:shd w:val="clear" w:fill="F2F5F4"/>
      </w:pPr>
      <w:r>
        <w:rPr>
          <w:rFonts w:ascii="Consolas" w:hAnsi="Consolas"/>
          <w:b/>
          <w:color w:val="0E5A4F"/>
          <w:sz w:val="19"/>
        </w:rPr>
        <w:t xml:space="preserve">[   ]  a   </w:t>
      </w:r>
      <w:r>
        <w:rPr>
          <w:rFonts w:ascii="Georgia" w:hAnsi="Georgia"/>
          <w:i w:val="0"/>
          <w:color w:val="131C1B"/>
          <w:sz w:val="20"/>
        </w:rPr>
        <w:t>Adjustable by admin indefinitely.</w:t>
      </w:r>
    </w:p>
    <w:p>
      <w:pPr>
        <w:keepLines/>
        <w:spacing w:before="40" w:after="40"/>
        <w:ind w:left="283"/>
        <w:shd w:val="clear" w:fill="F2F5F4"/>
      </w:pPr>
      <w:r>
        <w:rPr>
          <w:rFonts w:ascii="Consolas" w:hAnsi="Consolas"/>
          <w:b/>
          <w:color w:val="0E5A4F"/>
          <w:sz w:val="19"/>
        </w:rPr>
        <w:t xml:space="preserve">[   ]  b   </w:t>
      </w:r>
      <w:r>
        <w:rPr>
          <w:rFonts w:ascii="Georgia" w:hAnsi="Georgia"/>
          <w:i w:val="0"/>
          <w:color w:val="131C1B"/>
          <w:sz w:val="20"/>
        </w:rPr>
        <w:t>Adjustable until you call a one-way freeze, then permanently fixed.</w:t>
      </w:r>
    </w:p>
    <w:p>
      <w:pPr>
        <w:keepLines/>
        <w:spacing w:before="40" w:after="40"/>
        <w:ind w:left="283"/>
        <w:shd w:val="clear" w:fill="F2F5F4"/>
      </w:pPr>
      <w:r>
        <w:rPr>
          <w:rFonts w:ascii="Consolas" w:hAnsi="Consolas"/>
          <w:b/>
          <w:color w:val="0E5A4F"/>
          <w:sz w:val="19"/>
        </w:rPr>
        <w:t xml:space="preserve">[   ]  c   </w:t>
      </w:r>
      <w:r>
        <w:rPr>
          <w:rFonts w:ascii="Georgia" w:hAnsi="Georgia"/>
          <w:i w:val="0"/>
          <w:color w:val="131C1B"/>
          <w:sz w:val="20"/>
        </w:rPr>
        <w:t>Fixed at deployment, unchangeable from the start.</w:t>
      </w:r>
    </w:p>
    <w:p>
      <w:pPr>
        <w:spacing w:after="60" w:before="0"/>
        <w:ind w:left="57"/>
      </w:pPr>
      <w:r>
        <w:rPr>
          <w:rFonts w:ascii="Calibri" w:hAnsi="Calibri"/>
          <w:b/>
          <w:caps/>
          <w:color w:val="0E5A4F"/>
          <w:sz w:val="15"/>
          <w:spacing w:val="24"/>
        </w:rPr>
        <w:t>OUR RECOMMENDATION</w:t>
      </w:r>
    </w:p>
    <w:p>
      <w:pPr>
        <w:spacing w:after="160"/>
        <w:ind w:left="142"/>
        <w:shd w:val="clear" w:fill="EEF5F2"/>
        <w:pBdr>
          <w:left w:val="single" w:sz="18" w:space="8" w:color="0E5A4F"/>
        </w:pBdr>
      </w:pPr>
      <w:r>
        <w:rPr>
          <w:rFonts w:ascii="Georgia" w:hAnsi="Georgia"/>
          <w:i w:val="0"/>
          <w:color w:val="131C1B"/>
          <w:sz w:val="20"/>
        </w:rPr>
        <w:t>Option (b), with the freeze called as soon as launch is verified. This is what your specification asks for (“frozen or tightly governed after launch”) and it gives you one chance to correct a deployment mistake without leaving a permanent power to rewrite the economics your customers burned real money against.</w:t>
      </w:r>
    </w:p>
    <w:p>
      <w:pPr>
        <w:spacing w:after="60" w:before="0"/>
      </w:pPr>
      <w:r>
        <w:rPr>
          <w:rFonts w:ascii="Calibri" w:hAnsi="Calibri"/>
          <w:b/>
          <w:caps/>
          <w:color w:val="788884"/>
          <w:sz w:val="14"/>
          <w:spacing w:val="24"/>
        </w:rPr>
        <w:t>YOUR ANSWER</w:t>
      </w:r>
    </w:p>
    <w:tbl>
      <w:tblPr>
        <w:tblW w:type="auto" w:w="0"/>
        <w:jc w:val="left"/>
        <w:tblLayout w:type="fixed"/>
        <w:tblLook w:firstColumn="1" w:firstRow="1" w:lastColumn="0" w:lastRow="0" w:noHBand="0" w:noVBand="1" w:val="04A0"/>
        <w:tblBorders>
          <w:top w:val="single" w:sz="6" w:space="0" w:color="B9C5C1"/>
          <w:left w:val="single" w:sz="6" w:space="0" w:color="B9C5C1"/>
          <w:bottom w:val="single" w:sz="6" w:space="0" w:color="B9C5C1"/>
          <w:right w:val="single" w:sz="6" w:space="0" w:color="B9C5C1"/>
        </w:tblBorders>
      </w:tblPr>
      <w:tblGrid>
        <w:gridCol w:w="9298"/>
      </w:tblGrid>
      <w:tr>
        <w:tc>
          <w:tcPr>
            <w:tcW w:type="dxa" w:w="9298"/>
            <w:shd w:val="clear" w:fill="FBFCFC"/>
          </w:tcPr>
          <w:p>
            <w:pPr>
              <w:spacing w:after="0"/>
            </w:pPr>
          </w:p>
          <w:p>
            <w:pPr>
              <w:spacing w:after="0"/>
            </w:pPr>
          </w:p>
        </w:tc>
      </w:tr>
    </w:tbl>
    <w:p>
      <w:pPr>
        <w:spacing w:after="80"/>
      </w:pPr>
    </w:p>
    <w:p>
      <w:r>
        <w:br w:type="page"/>
      </w:r>
    </w:p>
    <w:p>
      <w:pPr>
        <w:keepNext/>
        <w:keepLines/>
        <w:spacing w:after="40"/>
      </w:pPr>
      <w:r>
        <w:rPr>
          <w:rFonts w:ascii="Calibri" w:hAnsi="Calibri"/>
          <w:b/>
          <w:color w:val="0E5A4F"/>
          <w:sz w:val="34"/>
        </w:rPr>
        <w:t>2 · The mint</w:t>
      </w:r>
    </w:p>
    <w:p>
      <w:pPr>
        <w:spacing w:after="320"/>
        <w:keepNext/>
        <w:keepLines/>
        <w:pBdr>
          <w:bottom w:val="single" w:sz="6" w:space="6" w:color="D6DEDB"/>
        </w:pBdr>
      </w:pPr>
      <w:r>
        <w:rPr>
          <w:rFonts w:ascii="Consolas" w:hAnsi="Consolas"/>
          <w:color w:val="788884"/>
          <w:sz w:val="16"/>
        </w:rPr>
        <w:t>Q7–Q9</w:t>
      </w:r>
    </w:p>
    <w:p>
      <w:pPr>
        <w:keepNext/>
        <w:keepLines/>
        <w:spacing w:before="300" w:after="40"/>
      </w:pPr>
      <w:r>
        <w:rPr>
          <w:rFonts w:ascii="Consolas" w:hAnsi="Consolas"/>
          <w:b/>
          <w:color w:val="9C3B2C"/>
          <w:sz w:val="18"/>
        </w:rPr>
        <w:t>Q7</w:t>
      </w:r>
      <w:r>
        <w:rPr>
          <w:rFonts w:ascii="Calibri" w:hAnsi="Calibri"/>
          <w:b/>
          <w:color w:val="9C3B2C"/>
          <w:sz w:val="15"/>
          <w:spacing w:val="26"/>
        </w:rPr>
        <w:t xml:space="preserve">   BLOCKING</w:t>
      </w:r>
    </w:p>
    <w:p>
      <w:pPr>
        <w:keepNext/>
        <w:keepLines/>
        <w:spacing w:after="140"/>
      </w:pPr>
      <w:r>
        <w:rPr>
          <w:rFonts w:ascii="Calibri" w:hAnsi="Calibri"/>
          <w:b/>
          <w:color w:val="131C1B"/>
          <w:sz w:val="26"/>
        </w:rPr>
        <w:t>Who can mint, and how is eligibility proved?</w:t>
      </w:r>
    </w:p>
    <w:p>
      <w:pPr>
        <w:spacing w:after="140"/>
      </w:pPr>
      <w:r>
        <w:rPr>
          <w:rFonts w:ascii="Georgia" w:hAnsi="Georgia"/>
          <w:i w:val="0"/>
          <w:color w:val="131C1B"/>
          <w:sz w:val="20"/>
        </w:rPr>
        <w:t>Your specification says mint logic “must match the final allowlist and public mint design”. That design does not exist yet, and it is the second thing we cannot build around. We need four things: who is eligible, the limit per customer or per wallet, the phases and their dates, and what happens to any supply left unminted.</w:t>
      </w:r>
    </w:p>
    <w:p>
      <w:pPr>
        <w:keepLines/>
        <w:spacing w:before="40" w:after="40"/>
        <w:ind w:left="283"/>
        <w:shd w:val="clear" w:fill="F2F5F4"/>
      </w:pPr>
      <w:r>
        <w:rPr>
          <w:rFonts w:ascii="Consolas" w:hAnsi="Consolas"/>
          <w:b/>
          <w:color w:val="0E5A4F"/>
          <w:sz w:val="19"/>
        </w:rPr>
        <w:t xml:space="preserve">[   ]  a   </w:t>
      </w:r>
      <w:r>
        <w:rPr>
          <w:rFonts w:ascii="Georgia" w:hAnsi="Georgia"/>
          <w:b/>
          <w:i w:val="0"/>
          <w:color w:val="131C1B"/>
          <w:sz w:val="20"/>
        </w:rPr>
        <w:t>Signed vouchers from your backend.</w:t>
      </w:r>
      <w:r>
        <w:rPr>
          <w:rFonts w:ascii="Georgia" w:hAnsi="Georgia"/>
          <w:i w:val="0"/>
          <w:color w:val="131C1B"/>
          <w:sz w:val="20"/>
        </w:rPr>
        <w:t xml:space="preserve"> Eligibility is checked at the moment you issue the voucher, so the eligible population can change daily with no on-chain update.</w:t>
      </w:r>
    </w:p>
    <w:p>
      <w:pPr>
        <w:keepLines/>
        <w:spacing w:before="40" w:after="40"/>
        <w:ind w:left="283"/>
        <w:shd w:val="clear" w:fill="F2F5F4"/>
      </w:pPr>
      <w:r>
        <w:rPr>
          <w:rFonts w:ascii="Consolas" w:hAnsi="Consolas"/>
          <w:b/>
          <w:color w:val="0E5A4F"/>
          <w:sz w:val="19"/>
        </w:rPr>
        <w:t xml:space="preserve">[   ]  b   </w:t>
      </w:r>
      <w:r>
        <w:rPr>
          <w:rFonts w:ascii="Georgia" w:hAnsi="Georgia"/>
          <w:b/>
          <w:i w:val="0"/>
          <w:color w:val="131C1B"/>
          <w:sz w:val="20"/>
        </w:rPr>
        <w:t>A fixed published list.</w:t>
      </w:r>
      <w:r>
        <w:rPr>
          <w:rFonts w:ascii="Georgia" w:hAnsi="Georgia"/>
          <w:i w:val="0"/>
          <w:color w:val="131C1B"/>
          <w:sz w:val="20"/>
        </w:rPr>
        <w:t xml:space="preserve"> Cryptographically committed on-chain; any change to the list requires publishing a new one.</w:t>
      </w:r>
    </w:p>
    <w:p>
      <w:pPr>
        <w:keepLines/>
        <w:spacing w:before="40" w:after="40"/>
        <w:ind w:left="283"/>
        <w:shd w:val="clear" w:fill="F2F5F4"/>
      </w:pPr>
      <w:r>
        <w:rPr>
          <w:rFonts w:ascii="Consolas" w:hAnsi="Consolas"/>
          <w:b/>
          <w:color w:val="0E5A4F"/>
          <w:sz w:val="19"/>
        </w:rPr>
        <w:t xml:space="preserve">[   ]  c   </w:t>
      </w:r>
      <w:r>
        <w:rPr>
          <w:rFonts w:ascii="Georgia" w:hAnsi="Georgia"/>
          <w:b/>
          <w:i w:val="0"/>
          <w:color w:val="131C1B"/>
          <w:sz w:val="20"/>
        </w:rPr>
        <w:t>Open to anyone.</w:t>
      </w:r>
      <w:r>
        <w:rPr>
          <w:rFonts w:ascii="Georgia" w:hAnsi="Georgia"/>
          <w:i w:val="0"/>
          <w:color w:val="131C1B"/>
          <w:sz w:val="20"/>
        </w:rPr>
        <w:t xml:space="preserve"> First come, first served.</w:t>
      </w:r>
    </w:p>
    <w:p>
      <w:pPr>
        <w:spacing w:after="60" w:before="0"/>
        <w:ind w:left="57"/>
      </w:pPr>
      <w:r>
        <w:rPr>
          <w:rFonts w:ascii="Calibri" w:hAnsi="Calibri"/>
          <w:b/>
          <w:caps/>
          <w:color w:val="0E5A4F"/>
          <w:sz w:val="15"/>
          <w:spacing w:val="24"/>
        </w:rPr>
        <w:t>OUR RECOMMENDATION</w:t>
      </w:r>
    </w:p>
    <w:p>
      <w:pPr>
        <w:spacing w:after="100"/>
        <w:ind w:left="142"/>
        <w:shd w:val="clear" w:fill="EEF5F2"/>
        <w:pBdr>
          <w:left w:val="single" w:sz="18" w:space="8" w:color="0E5A4F"/>
        </w:pBdr>
      </w:pPr>
      <w:r>
        <w:rPr>
          <w:rFonts w:ascii="Georgia" w:hAnsi="Georgia"/>
          <w:i w:val="0"/>
          <w:color w:val="131C1B"/>
          <w:sz w:val="20"/>
        </w:rPr>
        <w:t>Option (a): one bear per casino account, a single allowlist phase with a deadline, then a public phase for the remainder that you switch on manually.</w:t>
      </w:r>
    </w:p>
    <w:p>
      <w:pPr>
        <w:spacing w:after="160"/>
        <w:ind w:left="142"/>
        <w:shd w:val="clear" w:fill="EEF5F2"/>
        <w:pBdr>
          <w:left w:val="single" w:sz="18" w:space="8" w:color="0E5A4F"/>
        </w:pBdr>
      </w:pPr>
      <w:r>
        <w:rPr>
          <w:rFonts w:ascii="Georgia" w:hAnsi="Georgia"/>
          <w:i w:val="0"/>
          <w:color w:val="131C1B"/>
          <w:sz w:val="20"/>
        </w:rPr>
        <w:t>Signed vouchers fit because the eligible set is your customer database — it changes continuously, and a fixed list would need republishing every time. Each voucher is bound to one recipient and can be used once. Option (c) would hand a meaningful share of 4,444 free bears to automated bots, which defeats the retention purpose of the launch.</w:t>
      </w:r>
    </w:p>
    <w:p>
      <w:pPr>
        <w:spacing w:after="60" w:before="0"/>
      </w:pPr>
      <w:r>
        <w:rPr>
          <w:rFonts w:ascii="Calibri" w:hAnsi="Calibri"/>
          <w:b/>
          <w:caps/>
          <w:color w:val="788884"/>
          <w:sz w:val="14"/>
          <w:spacing w:val="24"/>
        </w:rPr>
        <w:t>YOUR ANSWER</w:t>
      </w:r>
    </w:p>
    <w:tbl>
      <w:tblPr>
        <w:tblW w:type="auto" w:w="0"/>
        <w:jc w:val="left"/>
        <w:tblLayout w:type="fixed"/>
        <w:tblLook w:firstColumn="1" w:firstRow="1" w:lastColumn="0" w:lastRow="0" w:noHBand="0" w:noVBand="1" w:val="04A0"/>
        <w:tblBorders>
          <w:top w:val="single" w:sz="6" w:space="0" w:color="B9C5C1"/>
          <w:left w:val="single" w:sz="6" w:space="0" w:color="B9C5C1"/>
          <w:bottom w:val="single" w:sz="6" w:space="0" w:color="B9C5C1"/>
          <w:right w:val="single" w:sz="6" w:space="0" w:color="B9C5C1"/>
        </w:tblBorders>
      </w:tblPr>
      <w:tblGrid>
        <w:gridCol w:w="9298"/>
      </w:tblGrid>
      <w:tr>
        <w:tc>
          <w:tcPr>
            <w:tcW w:type="dxa" w:w="9298"/>
            <w:shd w:val="clear" w:fill="FBFCFC"/>
          </w:tcPr>
          <w:p>
            <w:pPr>
              <w:spacing w:after="0"/>
            </w:pPr>
          </w:p>
          <w:p>
            <w:pPr>
              <w:spacing w:after="0"/>
            </w:pPr>
          </w:p>
        </w:tc>
      </w:tr>
    </w:tbl>
    <w:p>
      <w:pPr>
        <w:spacing w:after="80"/>
      </w:pPr>
    </w:p>
    <w:p>
      <w:pPr>
        <w:keepNext/>
        <w:keepLines/>
        <w:spacing w:before="300" w:after="40"/>
      </w:pPr>
      <w:r>
        <w:rPr>
          <w:rFonts w:ascii="Consolas" w:hAnsi="Consolas"/>
          <w:b/>
          <w:color w:val="0E5A4F"/>
          <w:sz w:val="18"/>
        </w:rPr>
        <w:t>Q8</w:t>
      </w:r>
      <w:r>
        <w:rPr>
          <w:rFonts w:ascii="Calibri" w:hAnsi="Calibri"/>
          <w:b/>
          <w:color w:val="0E5A4F"/>
          <w:sz w:val="15"/>
          <w:spacing w:val="26"/>
        </w:rPr>
        <w:t xml:space="preserve">   DECISION</w:t>
      </w:r>
    </w:p>
    <w:p>
      <w:pPr>
        <w:keepNext/>
        <w:keepLines/>
        <w:spacing w:after="140"/>
      </w:pPr>
      <w:r>
        <w:rPr>
          <w:rFonts w:ascii="Calibri" w:hAnsi="Calibri"/>
          <w:b/>
          <w:color w:val="131C1B"/>
          <w:sz w:val="26"/>
        </w:rPr>
        <w:t>Is any supply reserved?</w:t>
      </w:r>
    </w:p>
    <w:p>
      <w:pPr>
        <w:spacing w:after="140"/>
      </w:pPr>
      <w:r>
        <w:rPr>
          <w:rFonts w:ascii="Georgia" w:hAnsi="Georgia"/>
          <w:i w:val="0"/>
          <w:color w:val="131C1B"/>
          <w:sz w:val="20"/>
        </w:rPr>
        <w:t>Does the team, treasury or marketing need bears held back from the 4,444? If so, how many and to which address?</w:t>
      </w:r>
    </w:p>
    <w:p>
      <w:pPr>
        <w:spacing w:after="60" w:before="0"/>
        <w:ind w:left="57"/>
      </w:pPr>
      <w:r>
        <w:rPr>
          <w:rFonts w:ascii="Calibri" w:hAnsi="Calibri"/>
          <w:b/>
          <w:caps/>
          <w:color w:val="0E5A4F"/>
          <w:sz w:val="15"/>
          <w:spacing w:val="24"/>
        </w:rPr>
        <w:t>OUR RECOMMENDATION</w:t>
      </w:r>
    </w:p>
    <w:p>
      <w:pPr>
        <w:spacing w:after="160"/>
        <w:ind w:left="142"/>
        <w:shd w:val="clear" w:fill="EEF5F2"/>
        <w:pBdr>
          <w:left w:val="single" w:sz="18" w:space="8" w:color="0E5A4F"/>
        </w:pBdr>
      </w:pPr>
      <w:r>
        <w:rPr>
          <w:rFonts w:ascii="Georgia" w:hAnsi="Georgia"/>
          <w:i w:val="0"/>
          <w:color w:val="131C1B"/>
          <w:sz w:val="20"/>
        </w:rPr>
        <w:t>Reserve none. If you need bears for marketing or partnerships, issue vouchers to yourselves through the same mint path as everyone else. Supply accounting then has no special case in it, which is one less thing to get wrong and one less thing an auditor has to reason about.</w:t>
      </w:r>
    </w:p>
    <w:p>
      <w:pPr>
        <w:spacing w:after="60" w:before="0"/>
      </w:pPr>
      <w:r>
        <w:rPr>
          <w:rFonts w:ascii="Calibri" w:hAnsi="Calibri"/>
          <w:b/>
          <w:caps/>
          <w:color w:val="788884"/>
          <w:sz w:val="14"/>
          <w:spacing w:val="24"/>
        </w:rPr>
        <w:t>YOUR ANSWER</w:t>
      </w:r>
    </w:p>
    <w:tbl>
      <w:tblPr>
        <w:tblW w:type="auto" w:w="0"/>
        <w:jc w:val="left"/>
        <w:tblLayout w:type="fixed"/>
        <w:tblLook w:firstColumn="1" w:firstRow="1" w:lastColumn="0" w:lastRow="0" w:noHBand="0" w:noVBand="1" w:val="04A0"/>
        <w:tblBorders>
          <w:top w:val="single" w:sz="6" w:space="0" w:color="B9C5C1"/>
          <w:left w:val="single" w:sz="6" w:space="0" w:color="B9C5C1"/>
          <w:bottom w:val="single" w:sz="6" w:space="0" w:color="B9C5C1"/>
          <w:right w:val="single" w:sz="6" w:space="0" w:color="B9C5C1"/>
        </w:tblBorders>
      </w:tblPr>
      <w:tblGrid>
        <w:gridCol w:w="9298"/>
      </w:tblGrid>
      <w:tr>
        <w:tc>
          <w:tcPr>
            <w:tcW w:type="dxa" w:w="9298"/>
            <w:shd w:val="clear" w:fill="FBFCFC"/>
          </w:tcPr>
          <w:p>
            <w:pPr>
              <w:spacing w:after="0"/>
            </w:pPr>
          </w:p>
          <w:p>
            <w:pPr>
              <w:spacing w:after="0"/>
            </w:pPr>
          </w:p>
        </w:tc>
      </w:tr>
    </w:tbl>
    <w:p>
      <w:pPr>
        <w:spacing w:after="80"/>
      </w:pPr>
    </w:p>
    <w:p>
      <w:pPr>
        <w:keepNext/>
        <w:keepLines/>
        <w:spacing w:before="300" w:after="40"/>
      </w:pPr>
      <w:r>
        <w:rPr>
          <w:rFonts w:ascii="Consolas" w:hAnsi="Consolas"/>
          <w:b/>
          <w:color w:val="0E5A4F"/>
          <w:sz w:val="18"/>
        </w:rPr>
        <w:t>Q9</w:t>
      </w:r>
      <w:r>
        <w:rPr>
          <w:rFonts w:ascii="Calibri" w:hAnsi="Calibri"/>
          <w:b/>
          <w:color w:val="0E5A4F"/>
          <w:sz w:val="15"/>
          <w:spacing w:val="26"/>
        </w:rPr>
        <w:t xml:space="preserve">   DECISION</w:t>
      </w:r>
    </w:p>
    <w:p>
      <w:pPr>
        <w:keepNext/>
        <w:keepLines/>
        <w:spacing w:after="140"/>
      </w:pPr>
      <w:r>
        <w:rPr>
          <w:rFonts w:ascii="Calibri" w:hAnsi="Calibri"/>
          <w:b/>
          <w:color w:val="131C1B"/>
          <w:sz w:val="26"/>
        </w:rPr>
        <w:t>Who pays the gas to mint?</w:t>
      </w:r>
    </w:p>
    <w:p>
      <w:pPr>
        <w:keepLines/>
        <w:spacing w:before="40" w:after="40"/>
        <w:ind w:left="283"/>
        <w:shd w:val="clear" w:fill="F2F5F4"/>
      </w:pPr>
      <w:r>
        <w:rPr>
          <w:rFonts w:ascii="Consolas" w:hAnsi="Consolas"/>
          <w:b/>
          <w:color w:val="0E5A4F"/>
          <w:sz w:val="19"/>
        </w:rPr>
        <w:t xml:space="preserve">[   ]  a   </w:t>
      </w:r>
      <w:r>
        <w:rPr>
          <w:rFonts w:ascii="Georgia" w:hAnsi="Georgia"/>
          <w:i w:val="0"/>
          <w:color w:val="131C1B"/>
          <w:sz w:val="20"/>
        </w:rPr>
        <w:t>The customer pays. Nothing extra to build.</w:t>
      </w:r>
    </w:p>
    <w:p>
      <w:pPr>
        <w:keepLines/>
        <w:spacing w:before="40" w:after="40"/>
        <w:ind w:left="283"/>
        <w:shd w:val="clear" w:fill="F2F5F4"/>
      </w:pPr>
      <w:r>
        <w:rPr>
          <w:rFonts w:ascii="Consolas" w:hAnsi="Consolas"/>
          <w:b/>
          <w:color w:val="0E5A4F"/>
          <w:sz w:val="19"/>
        </w:rPr>
        <w:t xml:space="preserve">[   ]  b   </w:t>
      </w:r>
      <w:r>
        <w:rPr>
          <w:rFonts w:ascii="Georgia" w:hAnsi="Georgia"/>
          <w:i w:val="0"/>
          <w:color w:val="131C1B"/>
          <w:sz w:val="20"/>
        </w:rPr>
        <w:t>You sponsor it, so the mint is genuinely free and needs no funded wallet.</w:t>
      </w:r>
    </w:p>
    <w:p>
      <w:pPr>
        <w:spacing w:after="60" w:before="0"/>
        <w:ind w:left="57"/>
      </w:pPr>
      <w:r>
        <w:rPr>
          <w:rFonts w:ascii="Calibri" w:hAnsi="Calibri"/>
          <w:b/>
          <w:caps/>
          <w:color w:val="0E5A4F"/>
          <w:sz w:val="15"/>
          <w:spacing w:val="24"/>
        </w:rPr>
        <w:t>OUR RECOMMENDATION</w:t>
      </w:r>
    </w:p>
    <w:p>
      <w:pPr>
        <w:spacing w:after="100"/>
        <w:ind w:left="142"/>
        <w:shd w:val="clear" w:fill="EEF5F2"/>
        <w:pBdr>
          <w:left w:val="single" w:sz="18" w:space="8" w:color="0E5A4F"/>
        </w:pBdr>
      </w:pPr>
      <w:r>
        <w:rPr>
          <w:rFonts w:ascii="Georgia" w:hAnsi="Georgia"/>
          <w:i w:val="0"/>
          <w:color w:val="131C1B"/>
          <w:sz w:val="20"/>
        </w:rPr>
        <w:t>Option (b), if this launch is measured on reach. A mint costs roughly half a cent here, the chain has full support for gas sponsorship with commercial providers available, and “you need to fund a wallet first” is the single biggest point of drop-off for a casino customer who has never used a blockchain wallet. A free mint that costs the customer a step they do not understand is not really free.</w:t>
      </w:r>
    </w:p>
    <w:p>
      <w:pPr>
        <w:spacing w:after="160"/>
        <w:ind w:left="142"/>
        <w:shd w:val="clear" w:fill="EEF5F2"/>
        <w:pBdr>
          <w:left w:val="single" w:sz="18" w:space="8" w:color="0E5A4F"/>
        </w:pBdr>
      </w:pPr>
      <w:r>
        <w:rPr>
          <w:rFonts w:ascii="Georgia" w:hAnsi="Georgia"/>
          <w:i w:val="0"/>
          <w:color w:val="131C1B"/>
          <w:sz w:val="20"/>
        </w:rPr>
        <w:t>The cost is a backend integration and a funded sponsorship account, so this is a product call rather than a technical one.</w:t>
      </w:r>
    </w:p>
    <w:p>
      <w:pPr>
        <w:spacing w:after="60" w:before="0"/>
      </w:pPr>
      <w:r>
        <w:rPr>
          <w:rFonts w:ascii="Calibri" w:hAnsi="Calibri"/>
          <w:b/>
          <w:caps/>
          <w:color w:val="788884"/>
          <w:sz w:val="14"/>
          <w:spacing w:val="24"/>
        </w:rPr>
        <w:t>YOUR ANSWER</w:t>
      </w:r>
    </w:p>
    <w:tbl>
      <w:tblPr>
        <w:tblW w:type="auto" w:w="0"/>
        <w:jc w:val="left"/>
        <w:tblLayout w:type="fixed"/>
        <w:tblLook w:firstColumn="1" w:firstRow="1" w:lastColumn="0" w:lastRow="0" w:noHBand="0" w:noVBand="1" w:val="04A0"/>
        <w:tblBorders>
          <w:top w:val="single" w:sz="6" w:space="0" w:color="B9C5C1"/>
          <w:left w:val="single" w:sz="6" w:space="0" w:color="B9C5C1"/>
          <w:bottom w:val="single" w:sz="6" w:space="0" w:color="B9C5C1"/>
          <w:right w:val="single" w:sz="6" w:space="0" w:color="B9C5C1"/>
        </w:tblBorders>
      </w:tblPr>
      <w:tblGrid>
        <w:gridCol w:w="9298"/>
      </w:tblGrid>
      <w:tr>
        <w:tc>
          <w:tcPr>
            <w:tcW w:type="dxa" w:w="9298"/>
            <w:shd w:val="clear" w:fill="FBFCFC"/>
          </w:tcPr>
          <w:p>
            <w:pPr>
              <w:spacing w:after="0"/>
            </w:pPr>
          </w:p>
          <w:p>
            <w:pPr>
              <w:spacing w:after="0"/>
            </w:pPr>
          </w:p>
        </w:tc>
      </w:tr>
    </w:tbl>
    <w:p>
      <w:pPr>
        <w:spacing w:after="80"/>
      </w:pPr>
    </w:p>
    <w:p>
      <w:r>
        <w:br w:type="page"/>
      </w:r>
    </w:p>
    <w:p>
      <w:pPr>
        <w:keepNext/>
        <w:keepLines/>
        <w:spacing w:after="40"/>
      </w:pPr>
      <w:r>
        <w:rPr>
          <w:rFonts w:ascii="Calibri" w:hAnsi="Calibri"/>
          <w:b/>
          <w:color w:val="0E5A4F"/>
          <w:sz w:val="34"/>
        </w:rPr>
        <w:t>3 · Artwork and metadata</w:t>
      </w:r>
    </w:p>
    <w:p>
      <w:pPr>
        <w:spacing w:after="320"/>
        <w:keepNext/>
        <w:keepLines/>
        <w:pBdr>
          <w:bottom w:val="single" w:sz="6" w:space="6" w:color="D6DEDB"/>
        </w:pBdr>
      </w:pPr>
      <w:r>
        <w:rPr>
          <w:rFonts w:ascii="Consolas" w:hAnsi="Consolas"/>
          <w:color w:val="788884"/>
          <w:sz w:val="16"/>
        </w:rPr>
        <w:t>Q10–Q13</w:t>
      </w:r>
    </w:p>
    <w:p>
      <w:pPr>
        <w:keepNext/>
        <w:keepLines/>
        <w:spacing w:before="300" w:after="40"/>
      </w:pPr>
      <w:r>
        <w:rPr>
          <w:rFonts w:ascii="Consolas" w:hAnsi="Consolas"/>
          <w:b/>
          <w:color w:val="9C3B2C"/>
          <w:sz w:val="18"/>
        </w:rPr>
        <w:t>Q10</w:t>
      </w:r>
      <w:r>
        <w:rPr>
          <w:rFonts w:ascii="Calibri" w:hAnsi="Calibri"/>
          <w:b/>
          <w:color w:val="9C3B2C"/>
          <w:sz w:val="15"/>
          <w:spacing w:val="26"/>
        </w:rPr>
        <w:t xml:space="preserve">   BLOCKING</w:t>
      </w:r>
    </w:p>
    <w:p>
      <w:pPr>
        <w:keepNext/>
        <w:keepLines/>
        <w:spacing w:after="140"/>
      </w:pPr>
      <w:r>
        <w:rPr>
          <w:rFonts w:ascii="Calibri" w:hAnsi="Calibri"/>
          <w:b/>
          <w:color w:val="131C1B"/>
          <w:sz w:val="26"/>
        </w:rPr>
        <w:t>Is the image stored fully on-chain?</w:t>
      </w:r>
    </w:p>
    <w:p>
      <w:pPr>
        <w:spacing w:after="140"/>
      </w:pPr>
      <w:r>
        <w:rPr>
          <w:rFonts w:ascii="Georgia" w:hAnsi="Georgia"/>
          <w:i w:val="0"/>
          <w:color w:val="131C1B"/>
          <w:sz w:val="20"/>
        </w:rPr>
        <w:t>Your specification requires it: “The Bear image is stored or rendered onchain.” This is the largest engineering item in the project and it determines the shape of the artwork delivery in A6.</w:t>
      </w:r>
    </w:p>
    <w:p>
      <w:pPr>
        <w:keepLines/>
        <w:spacing w:before="40" w:after="40"/>
        <w:ind w:left="283"/>
        <w:shd w:val="clear" w:fill="F2F5F4"/>
      </w:pPr>
      <w:r>
        <w:rPr>
          <w:rFonts w:ascii="Consolas" w:hAnsi="Consolas"/>
          <w:b/>
          <w:color w:val="0E5A4F"/>
          <w:sz w:val="19"/>
        </w:rPr>
        <w:t xml:space="preserve">[   ]  a   </w:t>
      </w:r>
      <w:r>
        <w:rPr>
          <w:rFonts w:ascii="Georgia" w:hAnsi="Georgia"/>
          <w:b/>
          <w:i w:val="0"/>
          <w:color w:val="131C1B"/>
          <w:sz w:val="20"/>
        </w:rPr>
        <w:t>Fully on-chain.</w:t>
      </w:r>
      <w:r>
        <w:rPr>
          <w:rFonts w:ascii="Georgia" w:hAnsi="Georgia"/>
          <w:i w:val="0"/>
          <w:color w:val="131C1B"/>
          <w:sz w:val="20"/>
        </w:rPr>
        <w:t xml:space="preserve"> Traits and artwork layers live in contract storage; the metadata response is self-contained and depends on no server. Nothing can break the collection later.</w:t>
      </w:r>
    </w:p>
    <w:p>
      <w:pPr>
        <w:keepLines/>
        <w:spacing w:before="40" w:after="40"/>
        <w:ind w:left="283"/>
        <w:shd w:val="clear" w:fill="F2F5F4"/>
      </w:pPr>
      <w:r>
        <w:rPr>
          <w:rFonts w:ascii="Consolas" w:hAnsi="Consolas"/>
          <w:b/>
          <w:color w:val="0E5A4F"/>
          <w:sz w:val="19"/>
        </w:rPr>
        <w:t xml:space="preserve">[   ]  b   </w:t>
      </w:r>
      <w:r>
        <w:rPr>
          <w:rFonts w:ascii="Georgia" w:hAnsi="Georgia"/>
          <w:b/>
          <w:i w:val="0"/>
          <w:color w:val="131C1B"/>
          <w:sz w:val="20"/>
        </w:rPr>
        <w:t>Hybrid.</w:t>
      </w:r>
      <w:r>
        <w:rPr>
          <w:rFonts w:ascii="Georgia" w:hAnsi="Georgia"/>
          <w:i w:val="0"/>
          <w:color w:val="131C1B"/>
          <w:sz w:val="20"/>
        </w:rPr>
        <w:t xml:space="preserve"> An on-chain renderer for the image, with metadata served from an endpoint you run, which can also inject live data.</w:t>
      </w:r>
    </w:p>
    <w:p>
      <w:pPr>
        <w:keepLines/>
        <w:spacing w:before="40" w:after="40"/>
        <w:ind w:left="283"/>
        <w:shd w:val="clear" w:fill="F2F5F4"/>
      </w:pPr>
      <w:r>
        <w:rPr>
          <w:rFonts w:ascii="Consolas" w:hAnsi="Consolas"/>
          <w:b/>
          <w:color w:val="0E5A4F"/>
          <w:sz w:val="19"/>
        </w:rPr>
        <w:t xml:space="preserve">[   ]  c   </w:t>
      </w:r>
      <w:r>
        <w:rPr>
          <w:rFonts w:ascii="Georgia" w:hAnsi="Georgia"/>
          <w:b/>
          <w:i w:val="0"/>
          <w:color w:val="131C1B"/>
          <w:sz w:val="20"/>
        </w:rPr>
        <w:t>Conventional off-chain storage.</w:t>
      </w:r>
      <w:r>
        <w:rPr>
          <w:rFonts w:ascii="Georgia" w:hAnsi="Georgia"/>
          <w:i w:val="0"/>
          <w:color w:val="131C1B"/>
          <w:sz w:val="20"/>
        </w:rPr>
        <w:t xml:space="preserve"> Metadata and images on distributed storage. Cheapest and fastest, but departs from the specification.</w:t>
      </w:r>
    </w:p>
    <w:p>
      <w:pPr>
        <w:spacing w:after="60" w:before="0"/>
        <w:ind w:left="57"/>
      </w:pPr>
      <w:r>
        <w:rPr>
          <w:rFonts w:ascii="Calibri" w:hAnsi="Calibri"/>
          <w:b/>
          <w:caps/>
          <w:color w:val="0E5A4F"/>
          <w:sz w:val="15"/>
          <w:spacing w:val="24"/>
        </w:rPr>
        <w:t>OUR RECOMMENDATION</w:t>
      </w:r>
    </w:p>
    <w:p>
      <w:pPr>
        <w:spacing w:after="100"/>
        <w:ind w:left="142"/>
        <w:shd w:val="clear" w:fill="EEF5F2"/>
        <w:pBdr>
          <w:left w:val="single" w:sz="18" w:space="8" w:color="0E5A4F"/>
        </w:pBdr>
      </w:pPr>
      <w:r>
        <w:rPr>
          <w:rFonts w:ascii="Georgia" w:hAnsi="Georgia"/>
          <w:i w:val="0"/>
          <w:color w:val="131C1B"/>
          <w:sz w:val="20"/>
        </w:rPr>
        <w:t>Option (a), with the renderer as a separate replaceable contract so a visual bug can be corrected without touching the NFT itself.</w:t>
      </w:r>
    </w:p>
    <w:p>
      <w:pPr>
        <w:spacing w:after="160"/>
        <w:ind w:left="142"/>
        <w:shd w:val="clear" w:fill="EEF5F2"/>
        <w:pBdr>
          <w:left w:val="single" w:sz="18" w:space="8" w:color="0E5A4F"/>
        </w:pBdr>
      </w:pPr>
      <w:r>
        <w:rPr>
          <w:rFonts w:ascii="Georgia" w:hAnsi="Georgia"/>
          <w:i w:val="0"/>
          <w:color w:val="131C1B"/>
          <w:sz w:val="20"/>
        </w:rPr>
        <w:t>It is genuinely feasible here: Robinhood Chain allows contracts four times the size Ethereum does, which is the constraint that usually makes fully on-chain art impractical. Be aware of the trade: it is a substantial build, the artwork must arrive as clean layered vectors, and every visual detail is permanent once deployed.</w:t>
      </w:r>
    </w:p>
    <w:p>
      <w:pPr>
        <w:spacing w:after="60" w:before="0"/>
      </w:pPr>
      <w:r>
        <w:rPr>
          <w:rFonts w:ascii="Calibri" w:hAnsi="Calibri"/>
          <w:b/>
          <w:caps/>
          <w:color w:val="788884"/>
          <w:sz w:val="14"/>
          <w:spacing w:val="24"/>
        </w:rPr>
        <w:t>YOUR ANSWER</w:t>
      </w:r>
    </w:p>
    <w:tbl>
      <w:tblPr>
        <w:tblW w:type="auto" w:w="0"/>
        <w:jc w:val="left"/>
        <w:tblLayout w:type="fixed"/>
        <w:tblLook w:firstColumn="1" w:firstRow="1" w:lastColumn="0" w:lastRow="0" w:noHBand="0" w:noVBand="1" w:val="04A0"/>
        <w:tblBorders>
          <w:top w:val="single" w:sz="6" w:space="0" w:color="B9C5C1"/>
          <w:left w:val="single" w:sz="6" w:space="0" w:color="B9C5C1"/>
          <w:bottom w:val="single" w:sz="6" w:space="0" w:color="B9C5C1"/>
          <w:right w:val="single" w:sz="6" w:space="0" w:color="B9C5C1"/>
        </w:tblBorders>
      </w:tblPr>
      <w:tblGrid>
        <w:gridCol w:w="9298"/>
      </w:tblGrid>
      <w:tr>
        <w:tc>
          <w:tcPr>
            <w:tcW w:type="dxa" w:w="9298"/>
            <w:shd w:val="clear" w:fill="FBFCFC"/>
          </w:tcPr>
          <w:p>
            <w:pPr>
              <w:spacing w:after="0"/>
            </w:pPr>
          </w:p>
          <w:p>
            <w:pPr>
              <w:spacing w:after="0"/>
            </w:pPr>
          </w:p>
        </w:tc>
      </w:tr>
    </w:tbl>
    <w:p>
      <w:pPr>
        <w:spacing w:after="80"/>
      </w:pPr>
    </w:p>
    <w:p>
      <w:pPr>
        <w:keepNext/>
        <w:keepLines/>
        <w:spacing w:before="300" w:after="40"/>
      </w:pPr>
      <w:r>
        <w:rPr>
          <w:rFonts w:ascii="Consolas" w:hAnsi="Consolas"/>
          <w:b/>
          <w:color w:val="0E5A4F"/>
          <w:sz w:val="18"/>
        </w:rPr>
        <w:t>Q11</w:t>
      </w:r>
      <w:r>
        <w:rPr>
          <w:rFonts w:ascii="Calibri" w:hAnsi="Calibri"/>
          <w:b/>
          <w:color w:val="0E5A4F"/>
          <w:sz w:val="15"/>
          <w:spacing w:val="26"/>
        </w:rPr>
        <w:t xml:space="preserve">   DECISION</w:t>
      </w:r>
    </w:p>
    <w:p>
      <w:pPr>
        <w:keepNext/>
        <w:keepLines/>
        <w:spacing w:after="140"/>
      </w:pPr>
      <w:r>
        <w:rPr>
          <w:rFonts w:ascii="Calibri" w:hAnsi="Calibri"/>
          <w:b/>
          <w:color w:val="131C1B"/>
          <w:sz w:val="26"/>
        </w:rPr>
        <w:t>The two “contains assets” traits</w:t>
      </w:r>
    </w:p>
    <w:p>
      <w:pPr>
        <w:spacing w:after="140"/>
      </w:pPr>
      <w:r>
        <w:rPr>
          <w:rFonts w:ascii="Georgia" w:hAnsi="Georgia"/>
          <w:i w:val="0"/>
          <w:color w:val="131C1B"/>
          <w:sz w:val="20"/>
        </w:rPr>
        <w:t>Your specification asks for traits showing whether a bear’s wallet currently holds tokens and whether it holds NFTs. There is no way for a contract to list arbitrary holdings of an arbitrary wallet — your specification acknowledges this and points at an indexer. So:</w:t>
      </w:r>
    </w:p>
    <w:p>
      <w:pPr>
        <w:keepLines/>
        <w:spacing w:before="40" w:after="40"/>
        <w:ind w:left="283"/>
        <w:shd w:val="clear" w:fill="F2F5F4"/>
      </w:pPr>
      <w:r>
        <w:rPr>
          <w:rFonts w:ascii="Consolas" w:hAnsi="Consolas"/>
          <w:b/>
          <w:color w:val="0E5A4F"/>
          <w:sz w:val="19"/>
        </w:rPr>
        <w:t xml:space="preserve">[   ]  a   </w:t>
      </w:r>
      <w:r>
        <w:rPr>
          <w:rFonts w:ascii="Georgia" w:hAnsi="Georgia"/>
          <w:i w:val="0"/>
          <w:color w:val="131C1B"/>
          <w:sz w:val="20"/>
        </w:rPr>
        <w:t>Drop both traits.</w:t>
      </w:r>
    </w:p>
    <w:p>
      <w:pPr>
        <w:keepLines/>
        <w:spacing w:before="40" w:after="40"/>
        <w:ind w:left="283"/>
        <w:shd w:val="clear" w:fill="F2F5F4"/>
      </w:pPr>
      <w:r>
        <w:rPr>
          <w:rFonts w:ascii="Consolas" w:hAnsi="Consolas"/>
          <w:b/>
          <w:color w:val="0E5A4F"/>
          <w:sz w:val="19"/>
        </w:rPr>
        <w:t xml:space="preserve">[   ]  b   </w:t>
      </w:r>
      <w:r>
        <w:rPr>
          <w:rFonts w:ascii="Georgia" w:hAnsi="Georgia"/>
          <w:i w:val="0"/>
          <w:color w:val="131C1B"/>
          <w:sz w:val="20"/>
        </w:rPr>
        <w:t>Report them accurately for a defined list of tracked assets that you can update.</w:t>
      </w:r>
    </w:p>
    <w:p>
      <w:pPr>
        <w:keepLines/>
        <w:spacing w:before="40" w:after="40"/>
        <w:ind w:left="283"/>
        <w:shd w:val="clear" w:fill="F2F5F4"/>
      </w:pPr>
      <w:r>
        <w:rPr>
          <w:rFonts w:ascii="Consolas" w:hAnsi="Consolas"/>
          <w:b/>
          <w:color w:val="0E5A4F"/>
          <w:sz w:val="19"/>
        </w:rPr>
        <w:t xml:space="preserve">[   ]  c   </w:t>
      </w:r>
      <w:r>
        <w:rPr>
          <w:rFonts w:ascii="Georgia" w:hAnsi="Georgia"/>
          <w:i w:val="0"/>
          <w:color w:val="131C1B"/>
          <w:sz w:val="20"/>
        </w:rPr>
        <w:t>Serve them from your indexer, which requires the hybrid metadata approach in Q10 (b).</w:t>
      </w:r>
    </w:p>
    <w:p>
      <w:pPr>
        <w:spacing w:after="60" w:before="0"/>
        <w:ind w:left="57"/>
      </w:pPr>
      <w:r>
        <w:rPr>
          <w:rFonts w:ascii="Calibri" w:hAnsi="Calibri"/>
          <w:b/>
          <w:caps/>
          <w:color w:val="0E5A4F"/>
          <w:sz w:val="15"/>
          <w:spacing w:val="24"/>
        </w:rPr>
        <w:t>OUR RECOMMENDATION</w:t>
      </w:r>
    </w:p>
    <w:p>
      <w:pPr>
        <w:spacing w:after="160"/>
        <w:ind w:left="142"/>
        <w:shd w:val="clear" w:fill="EEF5F2"/>
        <w:pBdr>
          <w:left w:val="single" w:sz="18" w:space="8" w:color="0E5A4F"/>
        </w:pBdr>
      </w:pPr>
      <w:r>
        <w:rPr>
          <w:rFonts w:ascii="Georgia" w:hAnsi="Georgia"/>
          <w:i w:val="0"/>
          <w:color w:val="131C1B"/>
          <w:sz w:val="20"/>
        </w:rPr>
        <w:t>Option (b). It is honest, needs no server, and covers the assets that actually matter — the native currency, $MNTD, and a handful of Robinhood Chain assets you nominate. A trait that claims to detect “any asset” while silently missing most of them is worse for holders than a clearly scoped one.</w:t>
      </w:r>
    </w:p>
    <w:p>
      <w:pPr>
        <w:spacing w:after="60" w:before="0"/>
      </w:pPr>
      <w:r>
        <w:rPr>
          <w:rFonts w:ascii="Calibri" w:hAnsi="Calibri"/>
          <w:b/>
          <w:caps/>
          <w:color w:val="788884"/>
          <w:sz w:val="14"/>
          <w:spacing w:val="24"/>
        </w:rPr>
        <w:t>YOUR ANSWER</w:t>
      </w:r>
    </w:p>
    <w:tbl>
      <w:tblPr>
        <w:tblW w:type="auto" w:w="0"/>
        <w:jc w:val="left"/>
        <w:tblLayout w:type="fixed"/>
        <w:tblLook w:firstColumn="1" w:firstRow="1" w:lastColumn="0" w:lastRow="0" w:noHBand="0" w:noVBand="1" w:val="04A0"/>
        <w:tblBorders>
          <w:top w:val="single" w:sz="6" w:space="0" w:color="B9C5C1"/>
          <w:left w:val="single" w:sz="6" w:space="0" w:color="B9C5C1"/>
          <w:bottom w:val="single" w:sz="6" w:space="0" w:color="B9C5C1"/>
          <w:right w:val="single" w:sz="6" w:space="0" w:color="B9C5C1"/>
        </w:tblBorders>
      </w:tblPr>
      <w:tblGrid>
        <w:gridCol w:w="9298"/>
      </w:tblGrid>
      <w:tr>
        <w:tc>
          <w:tcPr>
            <w:tcW w:type="dxa" w:w="9298"/>
            <w:shd w:val="clear" w:fill="FBFCFC"/>
          </w:tcPr>
          <w:p>
            <w:pPr>
              <w:spacing w:after="0"/>
            </w:pPr>
          </w:p>
          <w:p>
            <w:pPr>
              <w:spacing w:after="0"/>
            </w:pPr>
          </w:p>
        </w:tc>
      </w:tr>
    </w:tbl>
    <w:p>
      <w:pPr>
        <w:spacing w:after="80"/>
      </w:pPr>
    </w:p>
    <w:p>
      <w:pPr>
        <w:keepNext/>
        <w:keepLines/>
        <w:spacing w:before="300" w:after="40"/>
      </w:pPr>
      <w:r>
        <w:rPr>
          <w:rFonts w:ascii="Consolas" w:hAnsi="Consolas"/>
          <w:b/>
          <w:color w:val="0E5A4F"/>
          <w:sz w:val="18"/>
        </w:rPr>
        <w:t>Q12</w:t>
      </w:r>
      <w:r>
        <w:rPr>
          <w:rFonts w:ascii="Calibri" w:hAnsi="Calibri"/>
          <w:b/>
          <w:color w:val="0E5A4F"/>
          <w:sz w:val="15"/>
          <w:spacing w:val="26"/>
        </w:rPr>
        <w:t xml:space="preserve">   DECISION</w:t>
      </w:r>
    </w:p>
    <w:p>
      <w:pPr>
        <w:keepNext/>
        <w:keepLines/>
        <w:spacing w:after="140"/>
      </w:pPr>
      <w:r>
        <w:rPr>
          <w:rFonts w:ascii="Calibri" w:hAnsi="Calibri"/>
          <w:b/>
          <w:color w:val="131C1B"/>
          <w:sz w:val="26"/>
        </w:rPr>
        <w:t>How are traits assigned, and is there a reveal?</w:t>
      </w:r>
    </w:p>
    <w:p>
      <w:pPr>
        <w:spacing w:after="140"/>
      </w:pPr>
      <w:r>
        <w:rPr>
          <w:rFonts w:ascii="Georgia" w:hAnsi="Georgia"/>
          <w:i w:val="0"/>
          <w:color w:val="131C1B"/>
          <w:sz w:val="20"/>
        </w:rPr>
        <w:t>This chain has no usable randomness: its on-chain random value is a fixed constant and Chainlink’s randomness service is not available here. Any “randomised on mint” mechanic would therefore be either predictable or influenced by the sequencer, which is Robinhood’s.</w:t>
      </w:r>
    </w:p>
    <w:p>
      <w:pPr>
        <w:keepLines/>
        <w:spacing w:before="40" w:after="40"/>
        <w:ind w:left="283"/>
        <w:shd w:val="clear" w:fill="F2F5F4"/>
      </w:pPr>
      <w:r>
        <w:rPr>
          <w:rFonts w:ascii="Consolas" w:hAnsi="Consolas"/>
          <w:b/>
          <w:color w:val="0E5A4F"/>
          <w:sz w:val="19"/>
        </w:rPr>
        <w:t xml:space="preserve">[   ]  a   </w:t>
      </w:r>
      <w:r>
        <w:rPr>
          <w:rFonts w:ascii="Georgia" w:hAnsi="Georgia"/>
          <w:b/>
          <w:i w:val="0"/>
          <w:color w:val="131C1B"/>
          <w:sz w:val="20"/>
        </w:rPr>
        <w:t>Fixed and published.</w:t>
      </w:r>
      <w:r>
        <w:rPr>
          <w:rFonts w:ascii="Georgia" w:hAnsi="Georgia"/>
          <w:i w:val="0"/>
          <w:color w:val="131C1B"/>
          <w:sz w:val="20"/>
        </w:rPr>
        <w:t xml:space="preserve"> Assignments are decided in advance and committed on-chain as a fingerprint before minting opens, so anyone can prove nothing was changed afterwards.</w:t>
      </w:r>
    </w:p>
    <w:p>
      <w:pPr>
        <w:keepLines/>
        <w:spacing w:before="40" w:after="40"/>
        <w:ind w:left="283"/>
        <w:shd w:val="clear" w:fill="F2F5F4"/>
      </w:pPr>
      <w:r>
        <w:rPr>
          <w:rFonts w:ascii="Consolas" w:hAnsi="Consolas"/>
          <w:b/>
          <w:color w:val="0E5A4F"/>
          <w:sz w:val="19"/>
        </w:rPr>
        <w:t xml:space="preserve">[   ]  b   </w:t>
      </w:r>
      <w:r>
        <w:rPr>
          <w:rFonts w:ascii="Georgia" w:hAnsi="Georgia"/>
          <w:b/>
          <w:i w:val="0"/>
          <w:color w:val="131C1B"/>
          <w:sz w:val="20"/>
        </w:rPr>
        <w:t>Sequential.</w:t>
      </w:r>
      <w:r>
        <w:rPr>
          <w:rFonts w:ascii="Georgia" w:hAnsi="Georgia"/>
          <w:i w:val="0"/>
          <w:color w:val="131C1B"/>
          <w:sz w:val="20"/>
        </w:rPr>
        <w:t xml:space="preserve"> The first bear minted gets the first entry in the manifest.</w:t>
      </w:r>
    </w:p>
    <w:p>
      <w:pPr>
        <w:keepLines/>
        <w:spacing w:before="40" w:after="40"/>
        <w:ind w:left="283"/>
        <w:shd w:val="clear" w:fill="F2F5F4"/>
      </w:pPr>
      <w:r>
        <w:rPr>
          <w:rFonts w:ascii="Consolas" w:hAnsi="Consolas"/>
          <w:b/>
          <w:color w:val="0E5A4F"/>
          <w:sz w:val="19"/>
        </w:rPr>
        <w:t xml:space="preserve">[   ]  c   </w:t>
      </w:r>
      <w:r>
        <w:rPr>
          <w:rFonts w:ascii="Georgia" w:hAnsi="Georgia"/>
          <w:b/>
          <w:i w:val="0"/>
          <w:color w:val="131C1B"/>
          <w:sz w:val="20"/>
        </w:rPr>
        <w:t>Delayed reveal</w:t>
      </w:r>
      <w:r>
        <w:rPr>
          <w:rFonts w:ascii="Georgia" w:hAnsi="Georgia"/>
          <w:i w:val="0"/>
          <w:color w:val="131C1B"/>
          <w:sz w:val="20"/>
        </w:rPr>
        <w:t xml:space="preserve"> after minting closes, using a value committed in advance.</w:t>
      </w:r>
    </w:p>
    <w:p>
      <w:pPr>
        <w:spacing w:after="60" w:before="0"/>
        <w:ind w:left="57"/>
      </w:pPr>
      <w:r>
        <w:rPr>
          <w:rFonts w:ascii="Calibri" w:hAnsi="Calibri"/>
          <w:b/>
          <w:caps/>
          <w:color w:val="0E5A4F"/>
          <w:sz w:val="15"/>
          <w:spacing w:val="24"/>
        </w:rPr>
        <w:t>OUR RECOMMENDATION</w:t>
      </w:r>
    </w:p>
    <w:p>
      <w:pPr>
        <w:spacing w:after="100"/>
        <w:ind w:left="142"/>
        <w:shd w:val="clear" w:fill="EEF5F2"/>
        <w:pBdr>
          <w:left w:val="single" w:sz="18" w:space="8" w:color="0E5A4F"/>
        </w:pBdr>
      </w:pPr>
      <w:r>
        <w:rPr>
          <w:rFonts w:ascii="Georgia" w:hAnsi="Georgia"/>
          <w:i w:val="0"/>
          <w:color w:val="131C1B"/>
          <w:sz w:val="20"/>
        </w:rPr>
        <w:t>Option (a). Publish the full trait manifest and its fingerprint before the mint opens. On a chain with no trustworthy randomness, a reveal ceremony is theatre — and a reveal that turns out to have been influenced is a much worse story than an honest fixed assignment that anyone can verify.</w:t>
      </w:r>
    </w:p>
    <w:p>
      <w:pPr>
        <w:spacing w:after="160"/>
        <w:ind w:left="142"/>
        <w:shd w:val="clear" w:fill="EEF5F2"/>
        <w:pBdr>
          <w:left w:val="single" w:sz="18" w:space="8" w:color="0E5A4F"/>
        </w:pBdr>
      </w:pPr>
      <w:r>
        <w:rPr>
          <w:rFonts w:ascii="Georgia" w:hAnsi="Georgia"/>
          <w:i w:val="0"/>
          <w:color w:val="131C1B"/>
          <w:sz w:val="20"/>
        </w:rPr>
        <w:t>Also, a small confirmation: we propose bears numbered 1 to 4444 rather than 0 to 4443, to match the “MINT Bear #1234” format in your specification.</w:t>
      </w:r>
    </w:p>
    <w:p>
      <w:pPr>
        <w:spacing w:after="60" w:before="0"/>
      </w:pPr>
      <w:r>
        <w:rPr>
          <w:rFonts w:ascii="Calibri" w:hAnsi="Calibri"/>
          <w:b/>
          <w:caps/>
          <w:color w:val="788884"/>
          <w:sz w:val="14"/>
          <w:spacing w:val="24"/>
        </w:rPr>
        <w:t>YOUR ANSWER</w:t>
      </w:r>
    </w:p>
    <w:tbl>
      <w:tblPr>
        <w:tblW w:type="auto" w:w="0"/>
        <w:jc w:val="left"/>
        <w:tblLayout w:type="fixed"/>
        <w:tblLook w:firstColumn="1" w:firstRow="1" w:lastColumn="0" w:lastRow="0" w:noHBand="0" w:noVBand="1" w:val="04A0"/>
        <w:tblBorders>
          <w:top w:val="single" w:sz="6" w:space="0" w:color="B9C5C1"/>
          <w:left w:val="single" w:sz="6" w:space="0" w:color="B9C5C1"/>
          <w:bottom w:val="single" w:sz="6" w:space="0" w:color="B9C5C1"/>
          <w:right w:val="single" w:sz="6" w:space="0" w:color="B9C5C1"/>
        </w:tblBorders>
      </w:tblPr>
      <w:tblGrid>
        <w:gridCol w:w="9298"/>
      </w:tblGrid>
      <w:tr>
        <w:tc>
          <w:tcPr>
            <w:tcW w:type="dxa" w:w="9298"/>
            <w:shd w:val="clear" w:fill="FBFCFC"/>
          </w:tcPr>
          <w:p>
            <w:pPr>
              <w:spacing w:after="0"/>
            </w:pPr>
          </w:p>
          <w:p>
            <w:pPr>
              <w:spacing w:after="0"/>
            </w:pPr>
          </w:p>
        </w:tc>
      </w:tr>
    </w:tbl>
    <w:p>
      <w:pPr>
        <w:spacing w:after="80"/>
      </w:pPr>
    </w:p>
    <w:p>
      <w:pPr>
        <w:keepNext/>
        <w:keepLines/>
        <w:spacing w:before="300" w:after="40"/>
      </w:pPr>
      <w:r>
        <w:rPr>
          <w:rFonts w:ascii="Consolas" w:hAnsi="Consolas"/>
          <w:b/>
          <w:color w:val="0E5A4F"/>
          <w:sz w:val="18"/>
        </w:rPr>
        <w:t>Q13</w:t>
      </w:r>
      <w:r>
        <w:rPr>
          <w:rFonts w:ascii="Calibri" w:hAnsi="Calibri"/>
          <w:b/>
          <w:color w:val="0E5A4F"/>
          <w:sz w:val="15"/>
          <w:spacing w:val="26"/>
        </w:rPr>
        <w:t xml:space="preserve">   DECISION</w:t>
      </w:r>
    </w:p>
    <w:p>
      <w:pPr>
        <w:keepNext/>
        <w:keepLines/>
        <w:spacing w:after="140"/>
      </w:pPr>
      <w:r>
        <w:rPr>
          <w:rFonts w:ascii="Calibri" w:hAnsi="Calibri"/>
          <w:b/>
          <w:color w:val="131C1B"/>
          <w:sz w:val="26"/>
        </w:rPr>
        <w:t>Do you want resale royalties?</w:t>
      </w:r>
    </w:p>
    <w:p>
      <w:pPr>
        <w:spacing w:after="140"/>
      </w:pPr>
      <w:r>
        <w:rPr>
          <w:rFonts w:ascii="Georgia" w:hAnsi="Georgia"/>
          <w:i w:val="0"/>
          <w:color w:val="131C1B"/>
          <w:sz w:val="20"/>
        </w:rPr>
        <w:t>Your specification does not mention royalties. If you want them, we need the rate and the receiving address.</w:t>
      </w:r>
    </w:p>
    <w:p>
      <w:pPr>
        <w:spacing w:after="60" w:before="0"/>
        <w:ind w:left="57"/>
      </w:pPr>
      <w:r>
        <w:rPr>
          <w:rFonts w:ascii="Calibri" w:hAnsi="Calibri"/>
          <w:b/>
          <w:caps/>
          <w:color w:val="0E5A4F"/>
          <w:sz w:val="15"/>
          <w:spacing w:val="24"/>
        </w:rPr>
        <w:t>OUR RECOMMENDATION</w:t>
      </w:r>
    </w:p>
    <w:p>
      <w:pPr>
        <w:spacing w:after="100"/>
        <w:ind w:left="142"/>
        <w:shd w:val="clear" w:fill="EEF5F2"/>
        <w:pBdr>
          <w:left w:val="single" w:sz="18" w:space="8" w:color="0E5A4F"/>
        </w:pBdr>
      </w:pPr>
      <w:r>
        <w:rPr>
          <w:rFonts w:ascii="Georgia" w:hAnsi="Georgia"/>
          <w:i w:val="0"/>
          <w:color w:val="131C1B"/>
          <w:sz w:val="20"/>
        </w:rPr>
        <w:t>Yes, declared at 5% to your treasury, using the standard mechanism.</w:t>
      </w:r>
    </w:p>
    <w:p>
      <w:pPr>
        <w:spacing w:after="160"/>
        <w:ind w:left="142"/>
        <w:shd w:val="clear" w:fill="EEF5F2"/>
        <w:pBdr>
          <w:left w:val="single" w:sz="18" w:space="8" w:color="0E5A4F"/>
        </w:pBdr>
      </w:pPr>
      <w:r>
        <w:rPr>
          <w:rFonts w:ascii="Georgia" w:hAnsi="Georgia"/>
          <w:i w:val="0"/>
          <w:color w:val="131C1B"/>
          <w:sz w:val="20"/>
        </w:rPr>
        <w:t>Set expectations internally, though: this standard is a signal to marketplaces, not an enforcement mechanism. Marketplaces choose whether to honour it and many do not. The only way to enforce royalties is to restrict where a bear can be transferred, which would directly contradict your specification’s requirement that activation must never restrict transfers — so we do not recommend it. Note also that under Q3, resale is already a rare event by design.</w:t>
      </w:r>
    </w:p>
    <w:p>
      <w:pPr>
        <w:spacing w:after="60" w:before="0"/>
      </w:pPr>
      <w:r>
        <w:rPr>
          <w:rFonts w:ascii="Calibri" w:hAnsi="Calibri"/>
          <w:b/>
          <w:caps/>
          <w:color w:val="788884"/>
          <w:sz w:val="14"/>
          <w:spacing w:val="24"/>
        </w:rPr>
        <w:t>YOUR ANSWER</w:t>
      </w:r>
    </w:p>
    <w:tbl>
      <w:tblPr>
        <w:tblW w:type="auto" w:w="0"/>
        <w:jc w:val="left"/>
        <w:tblLayout w:type="fixed"/>
        <w:tblLook w:firstColumn="1" w:firstRow="1" w:lastColumn="0" w:lastRow="0" w:noHBand="0" w:noVBand="1" w:val="04A0"/>
        <w:tblBorders>
          <w:top w:val="single" w:sz="6" w:space="0" w:color="B9C5C1"/>
          <w:left w:val="single" w:sz="6" w:space="0" w:color="B9C5C1"/>
          <w:bottom w:val="single" w:sz="6" w:space="0" w:color="B9C5C1"/>
          <w:right w:val="single" w:sz="6" w:space="0" w:color="B9C5C1"/>
        </w:tblBorders>
      </w:tblPr>
      <w:tblGrid>
        <w:gridCol w:w="9298"/>
      </w:tblGrid>
      <w:tr>
        <w:tc>
          <w:tcPr>
            <w:tcW w:type="dxa" w:w="9298"/>
            <w:shd w:val="clear" w:fill="FBFCFC"/>
          </w:tcPr>
          <w:p>
            <w:pPr>
              <w:spacing w:after="0"/>
            </w:pPr>
          </w:p>
          <w:p>
            <w:pPr>
              <w:spacing w:after="0"/>
            </w:pPr>
          </w:p>
        </w:tc>
      </w:tr>
    </w:tbl>
    <w:p>
      <w:pPr>
        <w:spacing w:after="80"/>
      </w:pPr>
    </w:p>
    <w:p>
      <w:r>
        <w:br w:type="page"/>
      </w:r>
    </w:p>
    <w:p>
      <w:pPr>
        <w:keepNext/>
        <w:keepLines/>
        <w:spacing w:after="40"/>
      </w:pPr>
      <w:r>
        <w:rPr>
          <w:rFonts w:ascii="Calibri" w:hAnsi="Calibri"/>
          <w:b/>
          <w:color w:val="0E5A4F"/>
          <w:sz w:val="34"/>
        </w:rPr>
        <w:t>4 · Bear wallets</w:t>
      </w:r>
    </w:p>
    <w:p>
      <w:pPr>
        <w:spacing w:after="320"/>
        <w:keepNext/>
        <w:keepLines/>
        <w:pBdr>
          <w:bottom w:val="single" w:sz="6" w:space="6" w:color="D6DEDB"/>
        </w:pBdr>
      </w:pPr>
      <w:r>
        <w:rPr>
          <w:rFonts w:ascii="Consolas" w:hAnsi="Consolas"/>
          <w:color w:val="788884"/>
          <w:sz w:val="16"/>
        </w:rPr>
        <w:t>Q14–Q18</w:t>
      </w:r>
    </w:p>
    <w:p>
      <w:pPr>
        <w:keepNext/>
        <w:keepLines/>
        <w:spacing w:before="300" w:after="40"/>
      </w:pPr>
      <w:r>
        <w:rPr>
          <w:rFonts w:ascii="Consolas" w:hAnsi="Consolas"/>
          <w:b/>
          <w:color w:val="9C3B2C"/>
          <w:sz w:val="18"/>
        </w:rPr>
        <w:t>Q14</w:t>
      </w:r>
      <w:r>
        <w:rPr>
          <w:rFonts w:ascii="Calibri" w:hAnsi="Calibri"/>
          <w:b/>
          <w:color w:val="9C3B2C"/>
          <w:sz w:val="15"/>
          <w:spacing w:val="26"/>
        </w:rPr>
        <w:t xml:space="preserve">   BLOCKING</w:t>
      </w:r>
    </w:p>
    <w:p>
      <w:pPr>
        <w:keepNext/>
        <w:keepLines/>
        <w:spacing w:after="140"/>
      </w:pPr>
      <w:r>
        <w:rPr>
          <w:rFonts w:ascii="Calibri" w:hAnsi="Calibri"/>
          <w:b/>
          <w:color w:val="131C1B"/>
          <w:sz w:val="26"/>
        </w:rPr>
        <w:t>Which wallet implementation do the bears use?</w:t>
      </w:r>
    </w:p>
    <w:p>
      <w:pPr>
        <w:spacing w:after="140"/>
      </w:pPr>
      <w:r>
        <w:rPr>
          <w:rFonts w:ascii="Georgia" w:hAnsi="Georgia"/>
          <w:i w:val="0"/>
          <w:color w:val="131C1B"/>
          <w:sz w:val="20"/>
        </w:rPr>
        <w:t>Every bear gets its own wallet that can hold assets. The registry that creates these wallets is an immutable public standard and is already deployed on Robinhood Chain, so that part is settled. What must be chosen is the wallet code itself.</w:t>
      </w:r>
    </w:p>
    <w:p>
      <w:pPr>
        <w:keepLines/>
        <w:spacing w:before="40" w:after="40"/>
        <w:ind w:left="283"/>
        <w:shd w:val="clear" w:fill="F2F5F4"/>
      </w:pPr>
      <w:r>
        <w:rPr>
          <w:rFonts w:ascii="Consolas" w:hAnsi="Consolas"/>
          <w:b/>
          <w:color w:val="0E5A4F"/>
          <w:sz w:val="19"/>
        </w:rPr>
        <w:t xml:space="preserve">[   ]  a   </w:t>
      </w:r>
      <w:r>
        <w:rPr>
          <w:rFonts w:ascii="Georgia" w:hAnsi="Georgia"/>
          <w:b/>
          <w:i w:val="0"/>
          <w:color w:val="131C1B"/>
          <w:sz w:val="20"/>
        </w:rPr>
        <w:t>The existing third-party implementation</w:t>
      </w:r>
      <w:r>
        <w:rPr>
          <w:rFonts w:ascii="Georgia" w:hAnsi="Georgia"/>
          <w:i w:val="0"/>
          <w:color w:val="131C1B"/>
          <w:sz w:val="20"/>
        </w:rPr>
        <w:t xml:space="preserve"> already deployed on the chain. Free to adopt, nothing to build or audit.</w:t>
      </w:r>
    </w:p>
    <w:p>
      <w:pPr>
        <w:keepLines/>
        <w:spacing w:before="40" w:after="40"/>
        <w:ind w:left="283"/>
        <w:shd w:val="clear" w:fill="F2F5F4"/>
      </w:pPr>
      <w:r>
        <w:rPr>
          <w:rFonts w:ascii="Consolas" w:hAnsi="Consolas"/>
          <w:b/>
          <w:color w:val="0E5A4F"/>
          <w:sz w:val="19"/>
        </w:rPr>
        <w:t xml:space="preserve">[   ]  b   </w:t>
      </w:r>
      <w:r>
        <w:rPr>
          <w:rFonts w:ascii="Georgia" w:hAnsi="Georgia"/>
          <w:b/>
          <w:i w:val="0"/>
          <w:color w:val="131C1B"/>
          <w:sz w:val="20"/>
        </w:rPr>
        <w:t>Our own implementation</w:t>
      </w:r>
      <w:r>
        <w:rPr>
          <w:rFonts w:ascii="Georgia" w:hAnsi="Georgia"/>
          <w:i w:val="0"/>
          <w:color w:val="131C1B"/>
          <w:sz w:val="20"/>
        </w:rPr>
        <w:t xml:space="preserve"> built on a well-reviewed open-source library. One more contract to deploy, verify and audit.</w:t>
      </w:r>
    </w:p>
    <w:p>
      <w:pPr>
        <w:keepLines/>
        <w:spacing w:before="40" w:after="40"/>
        <w:ind w:left="283"/>
        <w:shd w:val="clear" w:fill="F2F5F4"/>
      </w:pPr>
      <w:r>
        <w:rPr>
          <w:rFonts w:ascii="Consolas" w:hAnsi="Consolas"/>
          <w:b/>
          <w:color w:val="0E5A4F"/>
          <w:sz w:val="19"/>
        </w:rPr>
        <w:t xml:space="preserve">[   ]  c   </w:t>
      </w:r>
      <w:r>
        <w:rPr>
          <w:rFonts w:ascii="Georgia" w:hAnsi="Georgia"/>
          <w:b/>
          <w:i w:val="0"/>
          <w:color w:val="131C1B"/>
          <w:sz w:val="20"/>
        </w:rPr>
        <w:t>Written from scratch.</w:t>
      </w:r>
    </w:p>
    <w:p>
      <w:pPr>
        <w:spacing w:after="60" w:before="0"/>
        <w:ind w:left="57"/>
      </w:pPr>
      <w:r>
        <w:rPr>
          <w:rFonts w:ascii="Calibri" w:hAnsi="Calibri"/>
          <w:b/>
          <w:caps/>
          <w:color w:val="0E5A4F"/>
          <w:sz w:val="15"/>
          <w:spacing w:val="24"/>
        </w:rPr>
        <w:t>OUR RECOMMENDATION</w:t>
      </w:r>
    </w:p>
    <w:p>
      <w:pPr>
        <w:spacing w:after="100"/>
        <w:ind w:left="142"/>
        <w:shd w:val="clear" w:fill="EEF5F2"/>
        <w:pBdr>
          <w:left w:val="single" w:sz="18" w:space="8" w:color="0E5A4F"/>
        </w:pBdr>
      </w:pPr>
      <w:r>
        <w:rPr>
          <w:rFonts w:ascii="Georgia" w:hAnsi="Georgia"/>
          <w:i w:val="0"/>
          <w:color w:val="131C1B"/>
          <w:sz w:val="20"/>
        </w:rPr>
        <w:t>Option (b), despite (a) being free. We examined the deployed third-party implementation closely and found four problems, each verified against live chain state on 10 September 2026:</w:t>
      </w:r>
    </w:p>
    <w:p>
      <w:pPr>
        <w:spacing w:after="100"/>
        <w:ind w:left="142"/>
        <w:shd w:val="clear" w:fill="EEF5F2"/>
        <w:pBdr>
          <w:left w:val="single" w:sz="18" w:space="8" w:color="0E5A4F"/>
        </w:pBdr>
      </w:pPr>
      <w:r>
        <w:rPr>
          <w:rFonts w:ascii="Georgia" w:hAnsi="Georgia"/>
          <w:i w:val="0"/>
          <w:color w:val="131C1B"/>
          <w:sz w:val="20"/>
        </w:rPr>
        <w:t>Its last code change was November 2023, and the standard it implements is still a draft. Its account-abstraction support is a version that is now obsolete. Its upgrade mechanism is controlled by a switch held by an unrelated third party’s multisig — meaning that party, not you, would hold authority over the code guarding your holders’ assets. And its documented guarantee that a previous owner’s permissions are cleared when the NFT is sold is broken in exactly the configuration that is deployed; we confirmed this on-chain, and it is the kind of defect that produces a security incident rather than a bug report.</w:t>
      </w:r>
    </w:p>
    <w:p>
      <w:pPr>
        <w:spacing w:after="160"/>
        <w:ind w:left="142"/>
        <w:shd w:val="clear" w:fill="EEF5F2"/>
        <w:pBdr>
          <w:left w:val="single" w:sz="18" w:space="8" w:color="0E5A4F"/>
        </w:pBdr>
      </w:pPr>
      <w:r>
        <w:rPr>
          <w:rFonts w:ascii="Georgia" w:hAnsi="Georgia"/>
          <w:i w:val="0"/>
          <w:color w:val="131C1B"/>
          <w:sz w:val="20"/>
        </w:rPr>
        <w:t>Option (b) meets every requirement in your specification’s wallet section directly — the restriction to plain calls, signature validation, the state counter, the asset receivers — and adds two protections the third-party option lacks: detection of the “bear inside a bear” trap at any depth (see Q18), and protection against signatures being replayed on other chains. Option (c) is not justified; the library is mature and its low-level code is not something to rewrite.</w:t>
      </w:r>
    </w:p>
    <w:p>
      <w:pPr>
        <w:spacing w:after="60" w:before="0"/>
      </w:pPr>
      <w:r>
        <w:rPr>
          <w:rFonts w:ascii="Calibri" w:hAnsi="Calibri"/>
          <w:b/>
          <w:caps/>
          <w:color w:val="788884"/>
          <w:sz w:val="14"/>
          <w:spacing w:val="24"/>
        </w:rPr>
        <w:t>YOUR ANSWER</w:t>
      </w:r>
    </w:p>
    <w:tbl>
      <w:tblPr>
        <w:tblW w:type="auto" w:w="0"/>
        <w:jc w:val="left"/>
        <w:tblLayout w:type="fixed"/>
        <w:tblLook w:firstColumn="1" w:firstRow="1" w:lastColumn="0" w:lastRow="0" w:noHBand="0" w:noVBand="1" w:val="04A0"/>
        <w:tblBorders>
          <w:top w:val="single" w:sz="6" w:space="0" w:color="B9C5C1"/>
          <w:left w:val="single" w:sz="6" w:space="0" w:color="B9C5C1"/>
          <w:bottom w:val="single" w:sz="6" w:space="0" w:color="B9C5C1"/>
          <w:right w:val="single" w:sz="6" w:space="0" w:color="B9C5C1"/>
        </w:tblBorders>
      </w:tblPr>
      <w:tblGrid>
        <w:gridCol w:w="9298"/>
      </w:tblGrid>
      <w:tr>
        <w:tc>
          <w:tcPr>
            <w:tcW w:type="dxa" w:w="9298"/>
            <w:shd w:val="clear" w:fill="FBFCFC"/>
          </w:tcPr>
          <w:p>
            <w:pPr>
              <w:spacing w:after="0"/>
            </w:pPr>
          </w:p>
          <w:p>
            <w:pPr>
              <w:spacing w:after="0"/>
            </w:pPr>
          </w:p>
        </w:tc>
      </w:tr>
    </w:tbl>
    <w:p>
      <w:pPr>
        <w:spacing w:after="80"/>
      </w:pPr>
    </w:p>
    <w:p>
      <w:pPr>
        <w:keepNext/>
        <w:keepLines/>
        <w:spacing w:before="300" w:after="40"/>
      </w:pPr>
      <w:r>
        <w:rPr>
          <w:rFonts w:ascii="Consolas" w:hAnsi="Consolas"/>
          <w:b/>
          <w:color w:val="4B5A57"/>
          <w:sz w:val="18"/>
        </w:rPr>
        <w:t>Q15</w:t>
      </w:r>
      <w:r>
        <w:rPr>
          <w:rFonts w:ascii="Calibri" w:hAnsi="Calibri"/>
          <w:b/>
          <w:color w:val="4B5A57"/>
          <w:sz w:val="15"/>
          <w:spacing w:val="26"/>
        </w:rPr>
        <w:t xml:space="preserve">   CONFIRM</w:t>
      </w:r>
    </w:p>
    <w:p>
      <w:pPr>
        <w:keepNext/>
        <w:keepLines/>
        <w:spacing w:after="140"/>
      </w:pPr>
      <w:r>
        <w:rPr>
          <w:rFonts w:ascii="Calibri" w:hAnsi="Calibri"/>
          <w:b/>
          <w:color w:val="131C1B"/>
          <w:sz w:val="26"/>
        </w:rPr>
        <w:t>Does the bear wallet need to pay its own gas?</w:t>
      </w:r>
    </w:p>
    <w:p>
      <w:pPr>
        <w:spacing w:after="140"/>
      </w:pPr>
      <w:r>
        <w:rPr>
          <w:rFonts w:ascii="Georgia" w:hAnsi="Georgia"/>
          <w:i w:val="0"/>
          <w:color w:val="131C1B"/>
          <w:sz w:val="20"/>
        </w:rPr>
        <w:t>In other words: is the bear’s wallet a passive container that its owner operates, or does it need to send transactions itself and have that gas sponsored?</w:t>
      </w:r>
    </w:p>
    <w:p>
      <w:pPr>
        <w:spacing w:after="60" w:before="0"/>
        <w:ind w:left="57"/>
      </w:pPr>
      <w:r>
        <w:rPr>
          <w:rFonts w:ascii="Calibri" w:hAnsi="Calibri"/>
          <w:b/>
          <w:caps/>
          <w:color w:val="0E5A4F"/>
          <w:sz w:val="15"/>
          <w:spacing w:val="24"/>
        </w:rPr>
        <w:t>OUR RECOMMENDATION</w:t>
      </w:r>
    </w:p>
    <w:p>
      <w:pPr>
        <w:spacing w:after="160"/>
        <w:ind w:left="142"/>
        <w:shd w:val="clear" w:fill="EEF5F2"/>
        <w:pBdr>
          <w:left w:val="single" w:sz="18" w:space="8" w:color="0E5A4F"/>
        </w:pBdr>
      </w:pPr>
      <w:r>
        <w:rPr>
          <w:rFonts w:ascii="Georgia" w:hAnsi="Georgia"/>
          <w:i w:val="0"/>
          <w:color w:val="131C1B"/>
          <w:sz w:val="20"/>
        </w:rPr>
        <w:t>Passive container. It receives assets and exports them when its owner instructs it, which is exactly what your specification requires and no more. Making it an independently transacting account adds a significant amount of code and audit surface. If it is a product requirement, tell us now, because it changes the answer to Q14.</w:t>
      </w:r>
    </w:p>
    <w:p>
      <w:pPr>
        <w:spacing w:after="60" w:before="0"/>
      </w:pPr>
      <w:r>
        <w:rPr>
          <w:rFonts w:ascii="Calibri" w:hAnsi="Calibri"/>
          <w:b/>
          <w:caps/>
          <w:color w:val="788884"/>
          <w:sz w:val="14"/>
          <w:spacing w:val="24"/>
        </w:rPr>
        <w:t>YOUR ANSWER</w:t>
      </w:r>
    </w:p>
    <w:tbl>
      <w:tblPr>
        <w:tblW w:type="auto" w:w="0"/>
        <w:jc w:val="left"/>
        <w:tblLayout w:type="fixed"/>
        <w:tblLook w:firstColumn="1" w:firstRow="1" w:lastColumn="0" w:lastRow="0" w:noHBand="0" w:noVBand="1" w:val="04A0"/>
        <w:tblBorders>
          <w:top w:val="single" w:sz="6" w:space="0" w:color="B9C5C1"/>
          <w:left w:val="single" w:sz="6" w:space="0" w:color="B9C5C1"/>
          <w:bottom w:val="single" w:sz="6" w:space="0" w:color="B9C5C1"/>
          <w:right w:val="single" w:sz="6" w:space="0" w:color="B9C5C1"/>
        </w:tblBorders>
      </w:tblPr>
      <w:tblGrid>
        <w:gridCol w:w="9298"/>
      </w:tblGrid>
      <w:tr>
        <w:tc>
          <w:tcPr>
            <w:tcW w:type="dxa" w:w="9298"/>
            <w:shd w:val="clear" w:fill="FBFCFC"/>
          </w:tcPr>
          <w:p>
            <w:pPr>
              <w:spacing w:after="0"/>
            </w:pPr>
          </w:p>
          <w:p>
            <w:pPr>
              <w:spacing w:after="0"/>
            </w:pPr>
          </w:p>
        </w:tc>
      </w:tr>
    </w:tbl>
    <w:p>
      <w:pPr>
        <w:spacing w:after="80"/>
      </w:pPr>
    </w:p>
    <w:p>
      <w:pPr>
        <w:keepNext/>
        <w:keepLines/>
        <w:spacing w:before="300" w:after="40"/>
      </w:pPr>
      <w:r>
        <w:rPr>
          <w:rFonts w:ascii="Consolas" w:hAnsi="Consolas"/>
          <w:b/>
          <w:color w:val="0E5A4F"/>
          <w:sz w:val="18"/>
        </w:rPr>
        <w:t>Q16</w:t>
      </w:r>
      <w:r>
        <w:rPr>
          <w:rFonts w:ascii="Calibri" w:hAnsi="Calibri"/>
          <w:b/>
          <w:color w:val="0E5A4F"/>
          <w:sz w:val="15"/>
          <w:spacing w:val="26"/>
        </w:rPr>
        <w:t xml:space="preserve">   DECISION</w:t>
      </w:r>
    </w:p>
    <w:p>
      <w:pPr>
        <w:keepNext/>
        <w:keepLines/>
        <w:spacing w:after="140"/>
      </w:pPr>
      <w:r>
        <w:rPr>
          <w:rFonts w:ascii="Calibri" w:hAnsi="Calibri"/>
          <w:b/>
          <w:color w:val="131C1B"/>
          <w:sz w:val="26"/>
        </w:rPr>
        <w:t>Can the bear wallets be upgraded later?</w:t>
      </w:r>
    </w:p>
    <w:p>
      <w:pPr>
        <w:keepLines/>
        <w:spacing w:before="40" w:after="40"/>
        <w:ind w:left="283"/>
        <w:shd w:val="clear" w:fill="F2F5F4"/>
      </w:pPr>
      <w:r>
        <w:rPr>
          <w:rFonts w:ascii="Consolas" w:hAnsi="Consolas"/>
          <w:b/>
          <w:color w:val="0E5A4F"/>
          <w:sz w:val="19"/>
        </w:rPr>
        <w:t xml:space="preserve">[   ]  a   </w:t>
      </w:r>
      <w:r>
        <w:rPr>
          <w:rFonts w:ascii="Georgia" w:hAnsi="Georgia"/>
          <w:b/>
          <w:i w:val="0"/>
          <w:color w:val="131C1B"/>
          <w:sz w:val="20"/>
        </w:rPr>
        <w:t>Permanently fixed.</w:t>
      </w:r>
      <w:r>
        <w:rPr>
          <w:rFonts w:ascii="Georgia" w:hAnsi="Georgia"/>
          <w:i w:val="0"/>
          <w:color w:val="131C1B"/>
          <w:sz w:val="20"/>
        </w:rPr>
        <w:t xml:space="preserve"> Nobody, including you, can ever change the wallet code.</w:t>
      </w:r>
    </w:p>
    <w:p>
      <w:pPr>
        <w:keepLines/>
        <w:spacing w:before="40" w:after="40"/>
        <w:ind w:left="283"/>
        <w:shd w:val="clear" w:fill="F2F5F4"/>
      </w:pPr>
      <w:r>
        <w:rPr>
          <w:rFonts w:ascii="Consolas" w:hAnsi="Consolas"/>
          <w:b/>
          <w:color w:val="0E5A4F"/>
          <w:sz w:val="19"/>
        </w:rPr>
        <w:t xml:space="preserve">[   ]  b   </w:t>
      </w:r>
      <w:r>
        <w:rPr>
          <w:rFonts w:ascii="Georgia" w:hAnsi="Georgia"/>
          <w:b/>
          <w:i w:val="0"/>
          <w:color w:val="131C1B"/>
          <w:sz w:val="20"/>
        </w:rPr>
        <w:t>Upgradeable by you</w:t>
      </w:r>
      <w:r>
        <w:rPr>
          <w:rFonts w:ascii="Georgia" w:hAnsi="Georgia"/>
          <w:i w:val="0"/>
          <w:color w:val="131C1B"/>
          <w:sz w:val="20"/>
        </w:rPr>
        <w:t>, so a defect could be corrected after launch.</w:t>
      </w:r>
    </w:p>
    <w:p>
      <w:pPr>
        <w:spacing w:after="60" w:before="0"/>
        <w:ind w:left="57"/>
      </w:pPr>
      <w:r>
        <w:rPr>
          <w:rFonts w:ascii="Calibri" w:hAnsi="Calibri"/>
          <w:b/>
          <w:caps/>
          <w:color w:val="0E5A4F"/>
          <w:sz w:val="15"/>
          <w:spacing w:val="24"/>
        </w:rPr>
        <w:t>OUR RECOMMENDATION</w:t>
      </w:r>
    </w:p>
    <w:p>
      <w:pPr>
        <w:spacing w:after="100"/>
        <w:ind w:left="142"/>
        <w:shd w:val="clear" w:fill="EEF5F2"/>
        <w:pBdr>
          <w:left w:val="single" w:sz="18" w:space="8" w:color="0E5A4F"/>
        </w:pBdr>
      </w:pPr>
      <w:r>
        <w:rPr>
          <w:rFonts w:ascii="Georgia" w:hAnsi="Georgia"/>
          <w:i w:val="0"/>
          <w:color w:val="131C1B"/>
          <w:sz w:val="20"/>
        </w:rPr>
        <w:t>Option (a). An upgrade switch over 4,444 asset-holding wallets is precisely the centralisation your specification’s “no admin asset seizure” requirement exists to prevent, and it is our main criticism of option (a) in Q14 — we should not adopt it ourselves.</w:t>
      </w:r>
    </w:p>
    <w:p>
      <w:pPr>
        <w:spacing w:after="160"/>
        <w:ind w:left="142"/>
        <w:shd w:val="clear" w:fill="EEF5F2"/>
        <w:pBdr>
          <w:left w:val="single" w:sz="18" w:space="8" w:color="0E5A4F"/>
        </w:pBdr>
      </w:pPr>
      <w:r>
        <w:rPr>
          <w:rFonts w:ascii="Georgia" w:hAnsi="Georgia"/>
          <w:i w:val="0"/>
          <w:color w:val="131C1B"/>
          <w:sz w:val="20"/>
        </w:rPr>
        <w:t>The trade-off is real and worth stating plainly: a defect in the wallet could not be fixed, and in the worst case assets could become stuck. We consider that acceptable because the wallet’s job is narrow enough to review exhaustively. If a migration is ever needed, the honest form is holders moving their own assets to a new collection — never an administrator moving assets on their behalf.</w:t>
      </w:r>
    </w:p>
    <w:p>
      <w:pPr>
        <w:spacing w:after="60" w:before="0"/>
      </w:pPr>
      <w:r>
        <w:rPr>
          <w:rFonts w:ascii="Calibri" w:hAnsi="Calibri"/>
          <w:b/>
          <w:caps/>
          <w:color w:val="788884"/>
          <w:sz w:val="14"/>
          <w:spacing w:val="24"/>
        </w:rPr>
        <w:t>YOUR ANSWER</w:t>
      </w:r>
    </w:p>
    <w:tbl>
      <w:tblPr>
        <w:tblW w:type="auto" w:w="0"/>
        <w:jc w:val="left"/>
        <w:tblLayout w:type="fixed"/>
        <w:tblLook w:firstColumn="1" w:firstRow="1" w:lastColumn="0" w:lastRow="0" w:noHBand="0" w:noVBand="1" w:val="04A0"/>
        <w:tblBorders>
          <w:top w:val="single" w:sz="6" w:space="0" w:color="B9C5C1"/>
          <w:left w:val="single" w:sz="6" w:space="0" w:color="B9C5C1"/>
          <w:bottom w:val="single" w:sz="6" w:space="0" w:color="B9C5C1"/>
          <w:right w:val="single" w:sz="6" w:space="0" w:color="B9C5C1"/>
        </w:tblBorders>
      </w:tblPr>
      <w:tblGrid>
        <w:gridCol w:w="9298"/>
      </w:tblGrid>
      <w:tr>
        <w:tc>
          <w:tcPr>
            <w:tcW w:type="dxa" w:w="9298"/>
            <w:shd w:val="clear" w:fill="FBFCFC"/>
          </w:tcPr>
          <w:p>
            <w:pPr>
              <w:spacing w:after="0"/>
            </w:pPr>
          </w:p>
          <w:p>
            <w:pPr>
              <w:spacing w:after="0"/>
            </w:pPr>
          </w:p>
        </w:tc>
      </w:tr>
    </w:tbl>
    <w:p>
      <w:pPr>
        <w:spacing w:after="80"/>
      </w:pPr>
    </w:p>
    <w:p>
      <w:pPr>
        <w:keepNext/>
        <w:keepLines/>
        <w:spacing w:before="300" w:after="40"/>
      </w:pPr>
      <w:r>
        <w:rPr>
          <w:rFonts w:ascii="Consolas" w:hAnsi="Consolas"/>
          <w:b/>
          <w:color w:val="0E5A4F"/>
          <w:sz w:val="18"/>
        </w:rPr>
        <w:t>Q17</w:t>
      </w:r>
      <w:r>
        <w:rPr>
          <w:rFonts w:ascii="Calibri" w:hAnsi="Calibri"/>
          <w:b/>
          <w:color w:val="0E5A4F"/>
          <w:sz w:val="15"/>
          <w:spacing w:val="26"/>
        </w:rPr>
        <w:t xml:space="preserve">   DECISION</w:t>
      </w:r>
    </w:p>
    <w:p>
      <w:pPr>
        <w:keepNext/>
        <w:keepLines/>
        <w:spacing w:after="140"/>
      </w:pPr>
      <w:r>
        <w:rPr>
          <w:rFonts w:ascii="Calibri" w:hAnsi="Calibri"/>
          <w:b/>
          <w:color w:val="131C1B"/>
          <w:sz w:val="26"/>
        </w:rPr>
        <w:t>When is each bear’s wallet created?</w:t>
      </w:r>
    </w:p>
    <w:p>
      <w:pPr>
        <w:spacing w:after="140"/>
      </w:pPr>
      <w:r>
        <w:rPr>
          <w:rFonts w:ascii="Georgia" w:hAnsi="Georgia"/>
          <w:i w:val="0"/>
          <w:color w:val="131C1B"/>
          <w:sz w:val="20"/>
        </w:rPr>
        <w:t>Each wallet’s address is fixed and knowable from the moment a bear exists, whether or not it has been created yet, and assets sent to an uncreated wallet are safe and recoverable. So creation is purely a question of when the cost is paid.</w:t>
      </w:r>
    </w:p>
    <w:p>
      <w:pPr>
        <w:keepLines/>
        <w:spacing w:before="40" w:after="40"/>
        <w:ind w:left="283"/>
        <w:shd w:val="clear" w:fill="F2F5F4"/>
      </w:pPr>
      <w:r>
        <w:rPr>
          <w:rFonts w:ascii="Consolas" w:hAnsi="Consolas"/>
          <w:b/>
          <w:color w:val="0E5A4F"/>
          <w:sz w:val="19"/>
        </w:rPr>
        <w:t xml:space="preserve">[   ]  a   </w:t>
      </w:r>
      <w:r>
        <w:rPr>
          <w:rFonts w:ascii="Georgia" w:hAnsi="Georgia"/>
          <w:i w:val="0"/>
          <w:color w:val="131C1B"/>
          <w:sz w:val="20"/>
        </w:rPr>
        <w:t>At mint, for every bear. Adds roughly 96,000 gas to each mint.</w:t>
      </w:r>
    </w:p>
    <w:p>
      <w:pPr>
        <w:keepLines/>
        <w:spacing w:before="40" w:after="40"/>
        <w:ind w:left="283"/>
        <w:shd w:val="clear" w:fill="F2F5F4"/>
      </w:pPr>
      <w:r>
        <w:rPr>
          <w:rFonts w:ascii="Consolas" w:hAnsi="Consolas"/>
          <w:b/>
          <w:color w:val="0E5A4F"/>
          <w:sz w:val="19"/>
        </w:rPr>
        <w:t xml:space="preserve">[   ]  b   </w:t>
      </w:r>
      <w:r>
        <w:rPr>
          <w:rFonts w:ascii="Georgia" w:hAnsi="Georgia"/>
          <w:i w:val="0"/>
          <w:color w:val="131C1B"/>
          <w:sz w:val="20"/>
        </w:rPr>
        <w:t>On demand, with a function anyone can call when a wallet is first needed.</w:t>
      </w:r>
    </w:p>
    <w:p>
      <w:pPr>
        <w:spacing w:after="60" w:before="0"/>
        <w:ind w:left="57"/>
      </w:pPr>
      <w:r>
        <w:rPr>
          <w:rFonts w:ascii="Calibri" w:hAnsi="Calibri"/>
          <w:b/>
          <w:caps/>
          <w:color w:val="0E5A4F"/>
          <w:sz w:val="15"/>
          <w:spacing w:val="24"/>
        </w:rPr>
        <w:t>OUR RECOMMENDATION</w:t>
      </w:r>
    </w:p>
    <w:p>
      <w:pPr>
        <w:spacing w:after="160"/>
        <w:ind w:left="142"/>
        <w:shd w:val="clear" w:fill="EEF5F2"/>
        <w:pBdr>
          <w:left w:val="single" w:sz="18" w:space="8" w:color="0E5A4F"/>
        </w:pBdr>
      </w:pPr>
      <w:r>
        <w:rPr>
          <w:rFonts w:ascii="Georgia" w:hAnsi="Georgia"/>
          <w:i w:val="0"/>
          <w:color w:val="131C1B"/>
          <w:sz w:val="20"/>
        </w:rPr>
        <w:t>Option (b). Of 44 comparable wallets we sampled on Ethereum, not a single one had ever been used to send a transaction. Creating all 4,444 in advance pays for wallets that will mostly stay empty, and the address is displayed in the metadata either way, so holders lose nothing.</w:t>
      </w:r>
    </w:p>
    <w:p>
      <w:pPr>
        <w:spacing w:after="60" w:before="0"/>
      </w:pPr>
      <w:r>
        <w:rPr>
          <w:rFonts w:ascii="Calibri" w:hAnsi="Calibri"/>
          <w:b/>
          <w:caps/>
          <w:color w:val="788884"/>
          <w:sz w:val="14"/>
          <w:spacing w:val="24"/>
        </w:rPr>
        <w:t>YOUR ANSWER</w:t>
      </w:r>
    </w:p>
    <w:tbl>
      <w:tblPr>
        <w:tblW w:type="auto" w:w="0"/>
        <w:jc w:val="left"/>
        <w:tblLayout w:type="fixed"/>
        <w:tblLook w:firstColumn="1" w:firstRow="1" w:lastColumn="0" w:lastRow="0" w:noHBand="0" w:noVBand="1" w:val="04A0"/>
        <w:tblBorders>
          <w:top w:val="single" w:sz="6" w:space="0" w:color="B9C5C1"/>
          <w:left w:val="single" w:sz="6" w:space="0" w:color="B9C5C1"/>
          <w:bottom w:val="single" w:sz="6" w:space="0" w:color="B9C5C1"/>
          <w:right w:val="single" w:sz="6" w:space="0" w:color="B9C5C1"/>
        </w:tblBorders>
      </w:tblPr>
      <w:tblGrid>
        <w:gridCol w:w="9298"/>
      </w:tblGrid>
      <w:tr>
        <w:tc>
          <w:tcPr>
            <w:tcW w:type="dxa" w:w="9298"/>
            <w:shd w:val="clear" w:fill="FBFCFC"/>
          </w:tcPr>
          <w:p>
            <w:pPr>
              <w:spacing w:after="0"/>
            </w:pPr>
          </w:p>
          <w:p>
            <w:pPr>
              <w:spacing w:after="0"/>
            </w:pPr>
          </w:p>
        </w:tc>
      </w:tr>
    </w:tbl>
    <w:p>
      <w:pPr>
        <w:spacing w:after="80"/>
      </w:pPr>
    </w:p>
    <w:p>
      <w:pPr>
        <w:keepNext/>
        <w:keepLines/>
        <w:spacing w:before="300" w:after="40"/>
      </w:pPr>
      <w:r>
        <w:rPr>
          <w:rFonts w:ascii="Consolas" w:hAnsi="Consolas"/>
          <w:b/>
          <w:color w:val="0E5A4F"/>
          <w:sz w:val="18"/>
        </w:rPr>
        <w:t>Q18</w:t>
      </w:r>
      <w:r>
        <w:rPr>
          <w:rFonts w:ascii="Calibri" w:hAnsi="Calibri"/>
          <w:b/>
          <w:color w:val="0E5A4F"/>
          <w:sz w:val="15"/>
          <w:spacing w:val="26"/>
        </w:rPr>
        <w:t xml:space="preserve">   DECISION</w:t>
      </w:r>
    </w:p>
    <w:p>
      <w:pPr>
        <w:keepNext/>
        <w:keepLines/>
        <w:spacing w:after="140"/>
      </w:pPr>
      <w:r>
        <w:rPr>
          <w:rFonts w:ascii="Calibri" w:hAnsi="Calibri"/>
          <w:b/>
          <w:color w:val="131C1B"/>
          <w:sz w:val="26"/>
        </w:rPr>
        <w:t>How strictly do we block a bear inside a bear?</w:t>
      </w:r>
    </w:p>
    <w:p>
      <w:pPr>
        <w:spacing w:after="140"/>
      </w:pPr>
      <w:r>
        <w:rPr>
          <w:rFonts w:ascii="Georgia" w:hAnsi="Georgia"/>
          <w:i w:val="0"/>
          <w:color w:val="131C1B"/>
          <w:sz w:val="20"/>
        </w:rPr>
        <w:t>Your specification requires rejecting a transfer that would send a bear into its own wallet, which would lock it and everything inside it forever. That covers the one-step version. It does not cover sending bear A into bear B’s wallet while bear B sits in bear A’s wallet — which locks both bears and all their contents permanently, with no recovery for anyone.</w:t>
      </w:r>
    </w:p>
    <w:p>
      <w:pPr>
        <w:keepLines/>
        <w:spacing w:before="40" w:after="40"/>
        <w:ind w:left="283"/>
        <w:shd w:val="clear" w:fill="F2F5F4"/>
      </w:pPr>
      <w:r>
        <w:rPr>
          <w:rFonts w:ascii="Consolas" w:hAnsi="Consolas"/>
          <w:b/>
          <w:color w:val="0E5A4F"/>
          <w:sz w:val="19"/>
        </w:rPr>
        <w:t xml:space="preserve">[   ]  a   </w:t>
      </w:r>
      <w:r>
        <w:rPr>
          <w:rFonts w:ascii="Georgia" w:hAnsi="Georgia"/>
          <w:i w:val="0"/>
          <w:color w:val="131C1B"/>
          <w:sz w:val="20"/>
        </w:rPr>
        <w:t>As specified: block a bear from entering its own wallet only.</w:t>
      </w:r>
    </w:p>
    <w:p>
      <w:pPr>
        <w:keepLines/>
        <w:spacing w:before="40" w:after="40"/>
        <w:ind w:left="283"/>
        <w:shd w:val="clear" w:fill="F2F5F4"/>
      </w:pPr>
      <w:r>
        <w:rPr>
          <w:rFonts w:ascii="Consolas" w:hAnsi="Consolas"/>
          <w:b/>
          <w:color w:val="0E5A4F"/>
          <w:sz w:val="19"/>
        </w:rPr>
        <w:t xml:space="preserve">[   ]  b   </w:t>
      </w:r>
      <w:r>
        <w:rPr>
          <w:rFonts w:ascii="Georgia" w:hAnsi="Georgia"/>
          <w:i w:val="0"/>
          <w:color w:val="131C1B"/>
          <w:sz w:val="20"/>
        </w:rPr>
        <w:t>Block any bear from being sent into any bear’s wallet.</w:t>
      </w:r>
    </w:p>
    <w:p>
      <w:pPr>
        <w:spacing w:after="60" w:before="0"/>
        <w:ind w:left="57"/>
      </w:pPr>
      <w:r>
        <w:rPr>
          <w:rFonts w:ascii="Calibri" w:hAnsi="Calibri"/>
          <w:b/>
          <w:caps/>
          <w:color w:val="0E5A4F"/>
          <w:sz w:val="15"/>
          <w:spacing w:val="24"/>
        </w:rPr>
        <w:t>OUR RECOMMENDATION</w:t>
      </w:r>
    </w:p>
    <w:p>
      <w:pPr>
        <w:spacing w:after="160"/>
        <w:ind w:left="142"/>
        <w:shd w:val="clear" w:fill="EEF5F2"/>
        <w:pBdr>
          <w:left w:val="single" w:sz="18" w:space="8" w:color="0E5A4F"/>
        </w:pBdr>
      </w:pPr>
      <w:r>
        <w:rPr>
          <w:rFonts w:ascii="Georgia" w:hAnsi="Georgia"/>
          <w:i w:val="0"/>
          <w:color w:val="131C1B"/>
          <w:sz w:val="20"/>
        </w:rPr>
        <w:t>Option (b). It costs a negligible amount of gas per transfer on a chain where a transfer costs a fraction of a cent, and it closes every version of the trap rather than the shortest one. Nesting bears inside each other is not a feature anyone has asked for, and its failure mode is permanent, unrecoverable loss for a customer who made one wrong click.</w:t>
      </w:r>
    </w:p>
    <w:p>
      <w:pPr>
        <w:spacing w:after="60" w:before="0"/>
      </w:pPr>
      <w:r>
        <w:rPr>
          <w:rFonts w:ascii="Calibri" w:hAnsi="Calibri"/>
          <w:b/>
          <w:caps/>
          <w:color w:val="788884"/>
          <w:sz w:val="14"/>
          <w:spacing w:val="24"/>
        </w:rPr>
        <w:t>YOUR ANSWER</w:t>
      </w:r>
    </w:p>
    <w:tbl>
      <w:tblPr>
        <w:tblW w:type="auto" w:w="0"/>
        <w:jc w:val="left"/>
        <w:tblLayout w:type="fixed"/>
        <w:tblLook w:firstColumn="1" w:firstRow="1" w:lastColumn="0" w:lastRow="0" w:noHBand="0" w:noVBand="1" w:val="04A0"/>
        <w:tblBorders>
          <w:top w:val="single" w:sz="6" w:space="0" w:color="B9C5C1"/>
          <w:left w:val="single" w:sz="6" w:space="0" w:color="B9C5C1"/>
          <w:bottom w:val="single" w:sz="6" w:space="0" w:color="B9C5C1"/>
          <w:right w:val="single" w:sz="6" w:space="0" w:color="B9C5C1"/>
        </w:tblBorders>
      </w:tblPr>
      <w:tblGrid>
        <w:gridCol w:w="9298"/>
      </w:tblGrid>
      <w:tr>
        <w:tc>
          <w:tcPr>
            <w:tcW w:type="dxa" w:w="9298"/>
            <w:shd w:val="clear" w:fill="FBFCFC"/>
          </w:tcPr>
          <w:p>
            <w:pPr>
              <w:spacing w:after="0"/>
            </w:pPr>
          </w:p>
          <w:p>
            <w:pPr>
              <w:spacing w:after="0"/>
            </w:pPr>
          </w:p>
        </w:tc>
      </w:tr>
    </w:tbl>
    <w:p>
      <w:pPr>
        <w:spacing w:after="80"/>
      </w:pPr>
    </w:p>
    <w:p>
      <w:r>
        <w:br w:type="page"/>
      </w:r>
    </w:p>
    <w:p>
      <w:pPr>
        <w:keepNext/>
        <w:keepLines/>
        <w:spacing w:after="40"/>
      </w:pPr>
      <w:r>
        <w:rPr>
          <w:rFonts w:ascii="Calibri" w:hAnsi="Calibri"/>
          <w:b/>
          <w:color w:val="0E5A4F"/>
          <w:sz w:val="34"/>
        </w:rPr>
        <w:t>5 · Security and compliance</w:t>
      </w:r>
    </w:p>
    <w:p>
      <w:pPr>
        <w:spacing w:after="320"/>
        <w:keepNext/>
        <w:keepLines/>
        <w:pBdr>
          <w:bottom w:val="single" w:sz="6" w:space="6" w:color="D6DEDB"/>
        </w:pBdr>
      </w:pPr>
      <w:r>
        <w:rPr>
          <w:rFonts w:ascii="Consolas" w:hAnsi="Consolas"/>
          <w:color w:val="788884"/>
          <w:sz w:val="16"/>
        </w:rPr>
        <w:t>Q19–Q22</w:t>
      </w:r>
    </w:p>
    <w:p>
      <w:pPr>
        <w:keepNext/>
        <w:keepLines/>
        <w:spacing w:before="300" w:after="40"/>
      </w:pPr>
      <w:r>
        <w:rPr>
          <w:rFonts w:ascii="Consolas" w:hAnsi="Consolas"/>
          <w:b/>
          <w:color w:val="0E5A4F"/>
          <w:sz w:val="18"/>
        </w:rPr>
        <w:t>Q19</w:t>
      </w:r>
      <w:r>
        <w:rPr>
          <w:rFonts w:ascii="Calibri" w:hAnsi="Calibri"/>
          <w:b/>
          <w:color w:val="0E5A4F"/>
          <w:sz w:val="15"/>
          <w:spacing w:val="26"/>
        </w:rPr>
        <w:t xml:space="preserve">   DECISION</w:t>
      </w:r>
    </w:p>
    <w:p>
      <w:pPr>
        <w:keepNext/>
        <w:keepLines/>
        <w:spacing w:after="140"/>
      </w:pPr>
      <w:r>
        <w:rPr>
          <w:rFonts w:ascii="Calibri" w:hAnsi="Calibri"/>
          <w:b/>
          <w:color w:val="131C1B"/>
          <w:sz w:val="26"/>
        </w:rPr>
        <w:t>Which contracts can be changed after launch?</w:t>
      </w:r>
    </w:p>
    <w:p>
      <w:pPr>
        <w:keepLines/>
        <w:spacing w:before="40" w:after="40"/>
        <w:ind w:left="283"/>
        <w:shd w:val="clear" w:fill="F2F5F4"/>
      </w:pPr>
      <w:r>
        <w:rPr>
          <w:rFonts w:ascii="Consolas" w:hAnsi="Consolas"/>
          <w:b/>
          <w:color w:val="0E5A4F"/>
          <w:sz w:val="19"/>
        </w:rPr>
        <w:t xml:space="preserve">[   ]  a   </w:t>
      </w:r>
      <w:r>
        <w:rPr>
          <w:rFonts w:ascii="Georgia" w:hAnsi="Georgia"/>
          <w:i w:val="0"/>
          <w:color w:val="131C1B"/>
          <w:sz w:val="20"/>
        </w:rPr>
        <w:t>Nothing changeable. Any correction means a new deployment and a migration.</w:t>
      </w:r>
    </w:p>
    <w:p>
      <w:pPr>
        <w:keepLines/>
        <w:spacing w:before="40" w:after="40"/>
        <w:ind w:left="283"/>
        <w:shd w:val="clear" w:fill="F2F5F4"/>
      </w:pPr>
      <w:r>
        <w:rPr>
          <w:rFonts w:ascii="Consolas" w:hAnsi="Consolas"/>
          <w:b/>
          <w:color w:val="0E5A4F"/>
          <w:sz w:val="19"/>
        </w:rPr>
        <w:t xml:space="preserve">[   ]  b   </w:t>
      </w:r>
      <w:r>
        <w:rPr>
          <w:rFonts w:ascii="Georgia" w:hAnsi="Georgia"/>
          <w:i w:val="0"/>
          <w:color w:val="131C1B"/>
          <w:sz w:val="20"/>
        </w:rPr>
        <w:t>The NFT permanently fixed; the artwork renderer replaceable; the economic figures freezable per Q6.</w:t>
      </w:r>
    </w:p>
    <w:p>
      <w:pPr>
        <w:keepLines/>
        <w:spacing w:before="40" w:after="40"/>
        <w:ind w:left="283"/>
        <w:shd w:val="clear" w:fill="F2F5F4"/>
      </w:pPr>
      <w:r>
        <w:rPr>
          <w:rFonts w:ascii="Consolas" w:hAnsi="Consolas"/>
          <w:b/>
          <w:color w:val="0E5A4F"/>
          <w:sz w:val="19"/>
        </w:rPr>
        <w:t xml:space="preserve">[   ]  c   </w:t>
      </w:r>
      <w:r>
        <w:rPr>
          <w:rFonts w:ascii="Georgia" w:hAnsi="Georgia"/>
          <w:i w:val="0"/>
          <w:color w:val="131C1B"/>
          <w:sz w:val="20"/>
        </w:rPr>
        <w:t>Everything upgradeable under multisig control.</w:t>
      </w:r>
    </w:p>
    <w:p>
      <w:pPr>
        <w:spacing w:after="60" w:before="0"/>
        <w:ind w:left="57"/>
      </w:pPr>
      <w:r>
        <w:rPr>
          <w:rFonts w:ascii="Calibri" w:hAnsi="Calibri"/>
          <w:b/>
          <w:caps/>
          <w:color w:val="0E5A4F"/>
          <w:sz w:val="15"/>
          <w:spacing w:val="24"/>
        </w:rPr>
        <w:t>OUR RECOMMENDATION</w:t>
      </w:r>
    </w:p>
    <w:p>
      <w:pPr>
        <w:spacing w:after="160"/>
        <w:ind w:left="142"/>
        <w:shd w:val="clear" w:fill="EEF5F2"/>
        <w:pBdr>
          <w:left w:val="single" w:sz="18" w:space="8" w:color="0E5A4F"/>
        </w:pBdr>
      </w:pPr>
      <w:r>
        <w:rPr>
          <w:rFonts w:ascii="Georgia" w:hAnsi="Georgia"/>
          <w:i w:val="0"/>
          <w:color w:val="131C1B"/>
          <w:sz w:val="20"/>
        </w:rPr>
        <w:t>Option (b). Making the NFT itself upgradeable would mean an administrator could retroactively change what activation means after customers had burned up to $8,250 against it — a trust position we would not advise taking, and one that undermines the whole commitment mechanic. Visual bugs, by contrast, are near-certain and harmless to fix, which is why the renderer stays replaceable.</w:t>
      </w:r>
    </w:p>
    <w:p>
      <w:pPr>
        <w:spacing w:after="60" w:before="0"/>
      </w:pPr>
      <w:r>
        <w:rPr>
          <w:rFonts w:ascii="Calibri" w:hAnsi="Calibri"/>
          <w:b/>
          <w:caps/>
          <w:color w:val="788884"/>
          <w:sz w:val="14"/>
          <w:spacing w:val="24"/>
        </w:rPr>
        <w:t>YOUR ANSWER</w:t>
      </w:r>
    </w:p>
    <w:tbl>
      <w:tblPr>
        <w:tblW w:type="auto" w:w="0"/>
        <w:jc w:val="left"/>
        <w:tblLayout w:type="fixed"/>
        <w:tblLook w:firstColumn="1" w:firstRow="1" w:lastColumn="0" w:lastRow="0" w:noHBand="0" w:noVBand="1" w:val="04A0"/>
        <w:tblBorders>
          <w:top w:val="single" w:sz="6" w:space="0" w:color="B9C5C1"/>
          <w:left w:val="single" w:sz="6" w:space="0" w:color="B9C5C1"/>
          <w:bottom w:val="single" w:sz="6" w:space="0" w:color="B9C5C1"/>
          <w:right w:val="single" w:sz="6" w:space="0" w:color="B9C5C1"/>
        </w:tblBorders>
      </w:tblPr>
      <w:tblGrid>
        <w:gridCol w:w="9298"/>
      </w:tblGrid>
      <w:tr>
        <w:tc>
          <w:tcPr>
            <w:tcW w:type="dxa" w:w="9298"/>
            <w:shd w:val="clear" w:fill="FBFCFC"/>
          </w:tcPr>
          <w:p>
            <w:pPr>
              <w:spacing w:after="0"/>
            </w:pPr>
          </w:p>
          <w:p>
            <w:pPr>
              <w:spacing w:after="0"/>
            </w:pPr>
          </w:p>
        </w:tc>
      </w:tr>
    </w:tbl>
    <w:p>
      <w:pPr>
        <w:spacing w:after="80"/>
      </w:pPr>
    </w:p>
    <w:p>
      <w:pPr>
        <w:keepNext/>
        <w:keepLines/>
        <w:spacing w:before="300" w:after="40"/>
      </w:pPr>
      <w:r>
        <w:rPr>
          <w:rFonts w:ascii="Consolas" w:hAnsi="Consolas"/>
          <w:b/>
          <w:color w:val="0E5A4F"/>
          <w:sz w:val="18"/>
        </w:rPr>
        <w:t>Q20</w:t>
      </w:r>
      <w:r>
        <w:rPr>
          <w:rFonts w:ascii="Calibri" w:hAnsi="Calibri"/>
          <w:b/>
          <w:color w:val="0E5A4F"/>
          <w:sz w:val="15"/>
          <w:spacing w:val="26"/>
        </w:rPr>
        <w:t xml:space="preserve">   DECISION</w:t>
      </w:r>
    </w:p>
    <w:p>
      <w:pPr>
        <w:keepNext/>
        <w:keepLines/>
        <w:spacing w:after="140"/>
      </w:pPr>
      <w:r>
        <w:rPr>
          <w:rFonts w:ascii="Calibri" w:hAnsi="Calibri"/>
          <w:b/>
          <w:color w:val="131C1B"/>
          <w:sz w:val="26"/>
        </w:rPr>
        <w:t>What can be paused, and by whom?</w:t>
      </w:r>
    </w:p>
    <w:p>
      <w:pPr>
        <w:spacing w:after="60" w:before="0"/>
        <w:ind w:left="57"/>
      </w:pPr>
      <w:r>
        <w:rPr>
          <w:rFonts w:ascii="Calibri" w:hAnsi="Calibri"/>
          <w:b/>
          <w:caps/>
          <w:color w:val="0E5A4F"/>
          <w:sz w:val="15"/>
          <w:spacing w:val="24"/>
        </w:rPr>
        <w:t>OUR RECOMMENDATION</w:t>
      </w:r>
    </w:p>
    <w:p>
      <w:pPr>
        <w:spacing w:after="100"/>
        <w:ind w:left="142"/>
        <w:shd w:val="clear" w:fill="EEF5F2"/>
        <w:pBdr>
          <w:left w:val="single" w:sz="18" w:space="8" w:color="0E5A4F"/>
        </w:pBdr>
      </w:pPr>
      <w:r>
        <w:rPr>
          <w:rFonts w:ascii="Georgia" w:hAnsi="Georgia"/>
          <w:i w:val="0"/>
          <w:color w:val="131C1B"/>
          <w:sz w:val="20"/>
        </w:rPr>
        <w:t>Minting and activation can be paused. Transfers and withdrawals from bear wallets can never be paused, by anyone, including you.</w:t>
      </w:r>
    </w:p>
    <w:p>
      <w:pPr>
        <w:spacing w:after="160"/>
        <w:ind w:left="142"/>
        <w:shd w:val="clear" w:fill="EEF5F2"/>
        <w:pBdr>
          <w:left w:val="single" w:sz="18" w:space="8" w:color="0E5A4F"/>
        </w:pBdr>
      </w:pPr>
      <w:r>
        <w:rPr>
          <w:rFonts w:ascii="Georgia" w:hAnsi="Georgia"/>
          <w:i w:val="0"/>
          <w:color w:val="131C1B"/>
          <w:sz w:val="20"/>
        </w:rPr>
        <w:t>The reason is the same one behind Q16: a pause on transfers or withdrawals is an administrative power to freeze customer assets, which your specification explicitly rules out. Pausing the mint is genuinely useful if something goes wrong on launch day; pausing activation protects customers from burning tokens into a broken contract.</w:t>
      </w:r>
    </w:p>
    <w:p>
      <w:pPr>
        <w:spacing w:after="60" w:before="0"/>
      </w:pPr>
      <w:r>
        <w:rPr>
          <w:rFonts w:ascii="Calibri" w:hAnsi="Calibri"/>
          <w:b/>
          <w:caps/>
          <w:color w:val="788884"/>
          <w:sz w:val="14"/>
          <w:spacing w:val="24"/>
        </w:rPr>
        <w:t>YOUR ANSWER</w:t>
      </w:r>
    </w:p>
    <w:tbl>
      <w:tblPr>
        <w:tblW w:type="auto" w:w="0"/>
        <w:jc w:val="left"/>
        <w:tblLayout w:type="fixed"/>
        <w:tblLook w:firstColumn="1" w:firstRow="1" w:lastColumn="0" w:lastRow="0" w:noHBand="0" w:noVBand="1" w:val="04A0"/>
        <w:tblBorders>
          <w:top w:val="single" w:sz="6" w:space="0" w:color="B9C5C1"/>
          <w:left w:val="single" w:sz="6" w:space="0" w:color="B9C5C1"/>
          <w:bottom w:val="single" w:sz="6" w:space="0" w:color="B9C5C1"/>
          <w:right w:val="single" w:sz="6" w:space="0" w:color="B9C5C1"/>
        </w:tblBorders>
      </w:tblPr>
      <w:tblGrid>
        <w:gridCol w:w="9298"/>
      </w:tblGrid>
      <w:tr>
        <w:tc>
          <w:tcPr>
            <w:tcW w:type="dxa" w:w="9298"/>
            <w:shd w:val="clear" w:fill="FBFCFC"/>
          </w:tcPr>
          <w:p>
            <w:pPr>
              <w:spacing w:after="0"/>
            </w:pPr>
          </w:p>
          <w:p>
            <w:pPr>
              <w:spacing w:after="0"/>
            </w:pPr>
          </w:p>
        </w:tc>
      </w:tr>
    </w:tbl>
    <w:p>
      <w:pPr>
        <w:spacing w:after="80"/>
      </w:pPr>
    </w:p>
    <w:p>
      <w:pPr>
        <w:keepNext/>
        <w:keepLines/>
        <w:spacing w:before="300" w:after="40"/>
      </w:pPr>
      <w:r>
        <w:rPr>
          <w:rFonts w:ascii="Consolas" w:hAnsi="Consolas"/>
          <w:b/>
          <w:color w:val="9C3B2C"/>
          <w:sz w:val="18"/>
        </w:rPr>
        <w:t>Q21</w:t>
      </w:r>
      <w:r>
        <w:rPr>
          <w:rFonts w:ascii="Calibri" w:hAnsi="Calibri"/>
          <w:b/>
          <w:color w:val="9C3B2C"/>
          <w:sz w:val="15"/>
          <w:spacing w:val="26"/>
        </w:rPr>
        <w:t xml:space="preserve">   LEGAL SIGN-OFF</w:t>
      </w:r>
    </w:p>
    <w:p>
      <w:pPr>
        <w:keepNext/>
        <w:keepLines/>
        <w:spacing w:after="140"/>
      </w:pPr>
      <w:r>
        <w:rPr>
          <w:rFonts w:ascii="Calibri" w:hAnsi="Calibri"/>
          <w:b/>
          <w:color w:val="131C1B"/>
          <w:sz w:val="26"/>
        </w:rPr>
        <w:t>Does anything compliance-related belong in the contracts?</w:t>
      </w:r>
    </w:p>
    <w:p>
      <w:pPr>
        <w:spacing w:after="140"/>
      </w:pPr>
      <w:r>
        <w:rPr>
          <w:rFonts w:ascii="Georgia" w:hAnsi="Georgia"/>
          <w:i w:val="0"/>
          <w:color w:val="131C1B"/>
          <w:sz w:val="20"/>
        </w:rPr>
        <w:t>Specifically: a transfer blocklist, sanctions screening, the ability to freeze an individual bear, the ability to reverse rewards, or geographic restriction at mint. This is the one question whose answer changes the permission structure of every contract, so it cannot be added later without a re-audit.</w:t>
      </w:r>
    </w:p>
    <w:p>
      <w:pPr>
        <w:spacing w:after="60" w:before="0"/>
        <w:ind w:left="57"/>
      </w:pPr>
      <w:r>
        <w:rPr>
          <w:rFonts w:ascii="Calibri" w:hAnsi="Calibri"/>
          <w:b/>
          <w:caps/>
          <w:color w:val="0E5A4F"/>
          <w:sz w:val="15"/>
          <w:spacing w:val="24"/>
        </w:rPr>
        <w:t>OUR RECOMMENDATION</w:t>
      </w:r>
    </w:p>
    <w:p>
      <w:pPr>
        <w:spacing w:after="100"/>
        <w:ind w:left="142"/>
        <w:shd w:val="clear" w:fill="EEF5F2"/>
        <w:pBdr>
          <w:left w:val="single" w:sz="18" w:space="8" w:color="0E5A4F"/>
        </w:pBdr>
      </w:pPr>
      <w:r>
        <w:rPr>
          <w:rFonts w:ascii="Georgia" w:hAnsi="Georgia"/>
          <w:i w:val="0"/>
          <w:color w:val="131C1B"/>
          <w:sz w:val="20"/>
        </w:rPr>
        <w:t>No compliance controls in the contracts. Two reasons.</w:t>
      </w:r>
    </w:p>
    <w:p>
      <w:pPr>
        <w:spacing w:after="100"/>
        <w:ind w:left="142"/>
        <w:shd w:val="clear" w:fill="EEF5F2"/>
        <w:pBdr>
          <w:left w:val="single" w:sz="18" w:space="8" w:color="0E5A4F"/>
        </w:pBdr>
      </w:pPr>
      <w:r>
        <w:rPr>
          <w:rFonts w:ascii="Georgia" w:hAnsi="Georgia"/>
          <w:i w:val="0"/>
          <w:color w:val="131C1B"/>
          <w:sz w:val="20"/>
        </w:rPr>
        <w:t>Robinhood Chain already screens transactions at the sequencer — this is active rather than theoretical, and we verified the filtering mechanism is live and still being used as of 1 September 2026. Duplicating that screening in your contracts adds an administrative power over customer assets without adding any coverage. Separately, your mint voucher signer (Q7) is already a complete eligibility gate that you control: you simply do not issue a voucher to a customer who should not have one.</w:t>
      </w:r>
    </w:p>
    <w:p>
      <w:pPr>
        <w:spacing w:after="100"/>
        <w:ind w:left="142"/>
        <w:shd w:val="clear" w:fill="EEF5F2"/>
        <w:pBdr>
          <w:left w:val="single" w:sz="18" w:space="8" w:color="0E5A4F"/>
        </w:pBdr>
      </w:pPr>
      <w:r>
        <w:rPr>
          <w:rFonts w:ascii="Georgia" w:hAnsi="Georgia"/>
          <w:i w:val="0"/>
          <w:color w:val="131C1B"/>
          <w:sz w:val="20"/>
        </w:rPr>
        <w:t>This needs confirmation from whoever owns compliance in your organisation. If they require an on-chain freeze or reversal power, we need to hear it now, and you should know it stands in direct conflict with the “no admin asset seizure” requirement in your own specification.</w:t>
      </w:r>
    </w:p>
    <w:p>
      <w:pPr>
        <w:spacing w:after="160"/>
        <w:ind w:left="142"/>
        <w:shd w:val="clear" w:fill="EEF5F2"/>
        <w:pBdr>
          <w:left w:val="single" w:sz="18" w:space="8" w:color="0E5A4F"/>
        </w:pBdr>
      </w:pPr>
      <w:r>
        <w:rPr>
          <w:rFonts w:ascii="Georgia" w:hAnsi="Georgia"/>
          <w:i w:val="0"/>
          <w:color w:val="131C1B"/>
          <w:sz w:val="20"/>
        </w:rPr>
        <w:t>One consequence we are designing around regardless of your answer: because a customer’s transaction can be blocked at the sequencer, no part of the system may break when a single holder cannot transact. That rules out deadlines that must be met and any “everyone must act by day N” mechanic.</w:t>
      </w:r>
    </w:p>
    <w:p>
      <w:pPr>
        <w:spacing w:after="60" w:before="0"/>
      </w:pPr>
      <w:r>
        <w:rPr>
          <w:rFonts w:ascii="Calibri" w:hAnsi="Calibri"/>
          <w:b/>
          <w:caps/>
          <w:color w:val="788884"/>
          <w:sz w:val="14"/>
          <w:spacing w:val="24"/>
        </w:rPr>
        <w:t>YOUR ANSWER</w:t>
      </w:r>
    </w:p>
    <w:tbl>
      <w:tblPr>
        <w:tblW w:type="auto" w:w="0"/>
        <w:jc w:val="left"/>
        <w:tblLayout w:type="fixed"/>
        <w:tblLook w:firstColumn="1" w:firstRow="1" w:lastColumn="0" w:lastRow="0" w:noHBand="0" w:noVBand="1" w:val="04A0"/>
        <w:tblBorders>
          <w:top w:val="single" w:sz="6" w:space="0" w:color="B9C5C1"/>
          <w:left w:val="single" w:sz="6" w:space="0" w:color="B9C5C1"/>
          <w:bottom w:val="single" w:sz="6" w:space="0" w:color="B9C5C1"/>
          <w:right w:val="single" w:sz="6" w:space="0" w:color="B9C5C1"/>
        </w:tblBorders>
      </w:tblPr>
      <w:tblGrid>
        <w:gridCol w:w="9298"/>
      </w:tblGrid>
      <w:tr>
        <w:tc>
          <w:tcPr>
            <w:tcW w:type="dxa" w:w="9298"/>
            <w:shd w:val="clear" w:fill="FBFCFC"/>
          </w:tcPr>
          <w:p>
            <w:pPr>
              <w:spacing w:after="0"/>
            </w:pPr>
          </w:p>
          <w:p>
            <w:pPr>
              <w:spacing w:after="0"/>
            </w:pPr>
          </w:p>
        </w:tc>
      </w:tr>
    </w:tbl>
    <w:p>
      <w:pPr>
        <w:spacing w:after="80"/>
      </w:pPr>
    </w:p>
    <w:p>
      <w:pPr>
        <w:keepNext/>
        <w:keepLines/>
        <w:spacing w:before="300" w:after="40"/>
      </w:pPr>
      <w:r>
        <w:rPr>
          <w:rFonts w:ascii="Consolas" w:hAnsi="Consolas"/>
          <w:b/>
          <w:color w:val="4B5A57"/>
          <w:sz w:val="18"/>
        </w:rPr>
        <w:t>Q22</w:t>
      </w:r>
      <w:r>
        <w:rPr>
          <w:rFonts w:ascii="Calibri" w:hAnsi="Calibri"/>
          <w:b/>
          <w:color w:val="4B5A57"/>
          <w:sz w:val="15"/>
          <w:spacing w:val="26"/>
        </w:rPr>
        <w:t xml:space="preserve">   CONFIRM</w:t>
      </w:r>
    </w:p>
    <w:p>
      <w:pPr>
        <w:keepNext/>
        <w:keepLines/>
        <w:spacing w:after="140"/>
      </w:pPr>
      <w:r>
        <w:rPr>
          <w:rFonts w:ascii="Calibri" w:hAnsi="Calibri"/>
          <w:b/>
          <w:color w:val="131C1B"/>
          <w:sz w:val="26"/>
        </w:rPr>
        <w:t>Can holders burn their bear?</w:t>
      </w:r>
    </w:p>
    <w:p>
      <w:pPr>
        <w:spacing w:after="60" w:before="0"/>
        <w:ind w:left="57"/>
      </w:pPr>
      <w:r>
        <w:rPr>
          <w:rFonts w:ascii="Calibri" w:hAnsi="Calibri"/>
          <w:b/>
          <w:caps/>
          <w:color w:val="0E5A4F"/>
          <w:sz w:val="15"/>
          <w:spacing w:val="24"/>
        </w:rPr>
        <w:t>OUR RECOMMENDATION</w:t>
      </w:r>
    </w:p>
    <w:p>
      <w:pPr>
        <w:spacing w:after="160"/>
        <w:ind w:left="142"/>
        <w:shd w:val="clear" w:fill="EEF5F2"/>
        <w:pBdr>
          <w:left w:val="single" w:sz="18" w:space="8" w:color="0E5A4F"/>
        </w:pBdr>
      </w:pPr>
      <w:r>
        <w:rPr>
          <w:rFonts w:ascii="Georgia" w:hAnsi="Georgia"/>
          <w:i w:val="0"/>
          <w:color w:val="131C1B"/>
          <w:sz w:val="20"/>
        </w:rPr>
        <w:t>No burn function at all. Destroying a bear would strand whatever is in its wallet permanently, with no recovery path for the holder or for you — we found live examples of exactly this on Ethereum. Your specification recommends against it; we would like it confirmed as a hard requirement so it is never added as a convenience later.</w:t>
      </w:r>
    </w:p>
    <w:p>
      <w:pPr>
        <w:spacing w:after="60" w:before="0"/>
      </w:pPr>
      <w:r>
        <w:rPr>
          <w:rFonts w:ascii="Calibri" w:hAnsi="Calibri"/>
          <w:b/>
          <w:caps/>
          <w:color w:val="788884"/>
          <w:sz w:val="14"/>
          <w:spacing w:val="24"/>
        </w:rPr>
        <w:t>YOUR ANSWER</w:t>
      </w:r>
    </w:p>
    <w:tbl>
      <w:tblPr>
        <w:tblW w:type="auto" w:w="0"/>
        <w:jc w:val="left"/>
        <w:tblLayout w:type="fixed"/>
        <w:tblLook w:firstColumn="1" w:firstRow="1" w:lastColumn="0" w:lastRow="0" w:noHBand="0" w:noVBand="1" w:val="04A0"/>
        <w:tblBorders>
          <w:top w:val="single" w:sz="6" w:space="0" w:color="B9C5C1"/>
          <w:left w:val="single" w:sz="6" w:space="0" w:color="B9C5C1"/>
          <w:bottom w:val="single" w:sz="6" w:space="0" w:color="B9C5C1"/>
          <w:right w:val="single" w:sz="6" w:space="0" w:color="B9C5C1"/>
        </w:tblBorders>
      </w:tblPr>
      <w:tblGrid>
        <w:gridCol w:w="9298"/>
      </w:tblGrid>
      <w:tr>
        <w:tc>
          <w:tcPr>
            <w:tcW w:type="dxa" w:w="9298"/>
            <w:shd w:val="clear" w:fill="FBFCFC"/>
          </w:tcPr>
          <w:p>
            <w:pPr>
              <w:spacing w:after="0"/>
            </w:pPr>
          </w:p>
          <w:p>
            <w:pPr>
              <w:spacing w:after="0"/>
            </w:pPr>
          </w:p>
        </w:tc>
      </w:tr>
    </w:tbl>
    <w:p>
      <w:pPr>
        <w:spacing w:after="80"/>
      </w:pPr>
    </w:p>
    <w:p>
      <w:r>
        <w:br w:type="page"/>
      </w:r>
    </w:p>
    <w:p>
      <w:pPr>
        <w:keepNext/>
        <w:keepLines/>
        <w:spacing w:after="40"/>
      </w:pPr>
      <w:r>
        <w:rPr>
          <w:rFonts w:ascii="Calibri" w:hAnsi="Calibri"/>
          <w:b/>
          <w:color w:val="0E5A4F"/>
          <w:sz w:val="34"/>
        </w:rPr>
        <w:t>6 · Delivery and assurance</w:t>
      </w:r>
    </w:p>
    <w:p>
      <w:pPr>
        <w:spacing w:after="320"/>
        <w:keepNext/>
        <w:keepLines/>
        <w:pBdr>
          <w:bottom w:val="single" w:sz="6" w:space="6" w:color="D6DEDB"/>
        </w:pBdr>
      </w:pPr>
      <w:r>
        <w:rPr>
          <w:rFonts w:ascii="Consolas" w:hAnsi="Consolas"/>
          <w:color w:val="788884"/>
          <w:sz w:val="16"/>
        </w:rPr>
        <w:t>Q23–Q24</w:t>
      </w:r>
    </w:p>
    <w:p>
      <w:pPr>
        <w:keepNext/>
        <w:keepLines/>
        <w:spacing w:before="300" w:after="40"/>
      </w:pPr>
      <w:r>
        <w:rPr>
          <w:rFonts w:ascii="Consolas" w:hAnsi="Consolas"/>
          <w:b/>
          <w:color w:val="4B5A57"/>
          <w:sz w:val="18"/>
        </w:rPr>
        <w:t>Q23</w:t>
      </w:r>
      <w:r>
        <w:rPr>
          <w:rFonts w:ascii="Calibri" w:hAnsi="Calibri"/>
          <w:b/>
          <w:color w:val="4B5A57"/>
          <w:sz w:val="15"/>
          <w:spacing w:val="26"/>
        </w:rPr>
        <w:t xml:space="preserve">   CONFIRM</w:t>
      </w:r>
    </w:p>
    <w:p>
      <w:pPr>
        <w:keepNext/>
        <w:keepLines/>
        <w:spacing w:after="140"/>
      </w:pPr>
      <w:r>
        <w:rPr>
          <w:rFonts w:ascii="Calibri" w:hAnsi="Calibri"/>
          <w:b/>
          <w:color w:val="131C1B"/>
          <w:sz w:val="26"/>
        </w:rPr>
        <w:t>Deployment plan</w:t>
      </w:r>
    </w:p>
    <w:p>
      <w:pPr>
        <w:spacing w:after="140"/>
      </w:pPr>
      <w:r>
        <w:rPr>
          <w:rFonts w:ascii="Georgia" w:hAnsi="Georgia"/>
          <w:i w:val="0"/>
          <w:color w:val="131C1B"/>
          <w:sz w:val="20"/>
        </w:rPr>
        <w:t>We propose deploying and rehearsing the entire process on Robinhood’s test network first, then repeating it on the main network. Published source code will go through Sourcify: the main network’s block explorer sits behind bot protection that rejected every automated request we made, so we cannot rely on it, though we will submit there too if it accepts us on the day.</w:t>
      </w:r>
    </w:p>
    <w:p>
      <w:pPr>
        <w:spacing w:after="60" w:before="0"/>
        <w:ind w:left="57"/>
      </w:pPr>
      <w:r>
        <w:rPr>
          <w:rFonts w:ascii="Calibri" w:hAnsi="Calibri"/>
          <w:b/>
          <w:caps/>
          <w:color w:val="0E5A4F"/>
          <w:sz w:val="15"/>
          <w:spacing w:val="24"/>
        </w:rPr>
        <w:t>OUR RECOMMENDATION</w:t>
      </w:r>
    </w:p>
    <w:p>
      <w:pPr>
        <w:spacing w:after="160"/>
        <w:ind w:left="142"/>
        <w:shd w:val="clear" w:fill="EEF5F2"/>
        <w:pBdr>
          <w:left w:val="single" w:sz="18" w:space="8" w:color="0E5A4F"/>
        </w:pBdr>
      </w:pPr>
      <w:r>
        <w:rPr>
          <w:rFonts w:ascii="Georgia" w:hAnsi="Georgia"/>
          <w:i w:val="0"/>
          <w:color w:val="131C1B"/>
          <w:sz w:val="20"/>
        </w:rPr>
        <w:t>Confirm the approach, and tell us who holds the deployment key and who will own the contracts afterwards (A5). We would also like a named person on your side for launch day.</w:t>
      </w:r>
    </w:p>
    <w:p>
      <w:pPr>
        <w:spacing w:after="60" w:before="0"/>
      </w:pPr>
      <w:r>
        <w:rPr>
          <w:rFonts w:ascii="Calibri" w:hAnsi="Calibri"/>
          <w:b/>
          <w:caps/>
          <w:color w:val="788884"/>
          <w:sz w:val="14"/>
          <w:spacing w:val="24"/>
        </w:rPr>
        <w:t>YOUR ANSWER</w:t>
      </w:r>
    </w:p>
    <w:tbl>
      <w:tblPr>
        <w:tblW w:type="auto" w:w="0"/>
        <w:jc w:val="left"/>
        <w:tblLayout w:type="fixed"/>
        <w:tblLook w:firstColumn="1" w:firstRow="1" w:lastColumn="0" w:lastRow="0" w:noHBand="0" w:noVBand="1" w:val="04A0"/>
        <w:tblBorders>
          <w:top w:val="single" w:sz="6" w:space="0" w:color="B9C5C1"/>
          <w:left w:val="single" w:sz="6" w:space="0" w:color="B9C5C1"/>
          <w:bottom w:val="single" w:sz="6" w:space="0" w:color="B9C5C1"/>
          <w:right w:val="single" w:sz="6" w:space="0" w:color="B9C5C1"/>
        </w:tblBorders>
      </w:tblPr>
      <w:tblGrid>
        <w:gridCol w:w="9298"/>
      </w:tblGrid>
      <w:tr>
        <w:tc>
          <w:tcPr>
            <w:tcW w:type="dxa" w:w="9298"/>
            <w:shd w:val="clear" w:fill="FBFCFC"/>
          </w:tcPr>
          <w:p>
            <w:pPr>
              <w:spacing w:after="0"/>
            </w:pPr>
          </w:p>
          <w:p>
            <w:pPr>
              <w:spacing w:after="0"/>
            </w:pPr>
          </w:p>
        </w:tc>
      </w:tr>
    </w:tbl>
    <w:p>
      <w:pPr>
        <w:spacing w:after="80"/>
      </w:pPr>
    </w:p>
    <w:p>
      <w:pPr>
        <w:keepNext/>
        <w:keepLines/>
        <w:spacing w:before="300" w:after="40"/>
      </w:pPr>
      <w:r>
        <w:rPr>
          <w:rFonts w:ascii="Consolas" w:hAnsi="Consolas"/>
          <w:b/>
          <w:color w:val="4B5A57"/>
          <w:sz w:val="18"/>
        </w:rPr>
        <w:t>Q24</w:t>
      </w:r>
      <w:r>
        <w:rPr>
          <w:rFonts w:ascii="Calibri" w:hAnsi="Calibri"/>
          <w:b/>
          <w:color w:val="4B5A57"/>
          <w:sz w:val="15"/>
          <w:spacing w:val="26"/>
        </w:rPr>
        <w:t xml:space="preserve">   CONFIRM</w:t>
      </w:r>
    </w:p>
    <w:p>
      <w:pPr>
        <w:keepNext/>
        <w:keepLines/>
        <w:spacing w:after="140"/>
      </w:pPr>
      <w:r>
        <w:rPr>
          <w:rFonts w:ascii="Calibri" w:hAnsi="Calibri"/>
          <w:b/>
          <w:color w:val="131C1B"/>
          <w:sz w:val="26"/>
        </w:rPr>
        <w:t>Testing and audit scope</w:t>
      </w:r>
    </w:p>
    <w:p>
      <w:pPr>
        <w:spacing w:after="140"/>
      </w:pPr>
      <w:r>
        <w:rPr>
          <w:rFonts w:ascii="Georgia" w:hAnsi="Georgia"/>
          <w:i w:val="0"/>
          <w:color w:val="131C1B"/>
          <w:sz w:val="20"/>
        </w:rPr>
        <w:t>We propose: a test for every requirement row in your specification sheet; property-based tests concentrated on activation and the transfer reset, which are the two places where a defect is most expensive; static analysis; and gas measurements. Your specification’s own testing row asks for essentially this list.</w:t>
      </w:r>
    </w:p>
    <w:p>
      <w:pPr>
        <w:spacing w:after="60" w:before="0"/>
        <w:ind w:left="57"/>
      </w:pPr>
      <w:r>
        <w:rPr>
          <w:rFonts w:ascii="Calibri" w:hAnsi="Calibri"/>
          <w:b/>
          <w:caps/>
          <w:color w:val="0E5A4F"/>
          <w:sz w:val="15"/>
          <w:spacing w:val="24"/>
        </w:rPr>
        <w:t>OUR RECOMMENDATION</w:t>
      </w:r>
    </w:p>
    <w:p>
      <w:pPr>
        <w:spacing w:after="160"/>
        <w:ind w:left="142"/>
        <w:shd w:val="clear" w:fill="EEF5F2"/>
        <w:pBdr>
          <w:left w:val="single" w:sz="18" w:space="8" w:color="0E5A4F"/>
        </w:pBdr>
      </w:pPr>
      <w:r>
        <w:rPr>
          <w:rFonts w:ascii="Georgia" w:hAnsi="Georgia"/>
          <w:i w:val="0"/>
          <w:color w:val="131C1B"/>
          <w:sz w:val="20"/>
        </w:rPr>
        <w:t>Confirm the scope, and tell us whether you want an audit-readiness package alongside the code — a threat model, a documented list of accepted risks, and a coverage report. External auditors work faster and cheaper against that material, and it also serves as the permanent record of the decisions you make in this document.</w:t>
      </w:r>
    </w:p>
    <w:p>
      <w:pPr>
        <w:spacing w:after="60" w:before="0"/>
      </w:pPr>
      <w:r>
        <w:rPr>
          <w:rFonts w:ascii="Calibri" w:hAnsi="Calibri"/>
          <w:b/>
          <w:caps/>
          <w:color w:val="788884"/>
          <w:sz w:val="14"/>
          <w:spacing w:val="24"/>
        </w:rPr>
        <w:t>YOUR ANSWER</w:t>
      </w:r>
    </w:p>
    <w:tbl>
      <w:tblPr>
        <w:tblW w:type="auto" w:w="0"/>
        <w:jc w:val="left"/>
        <w:tblLayout w:type="fixed"/>
        <w:tblLook w:firstColumn="1" w:firstRow="1" w:lastColumn="0" w:lastRow="0" w:noHBand="0" w:noVBand="1" w:val="04A0"/>
        <w:tblBorders>
          <w:top w:val="single" w:sz="6" w:space="0" w:color="B9C5C1"/>
          <w:left w:val="single" w:sz="6" w:space="0" w:color="B9C5C1"/>
          <w:bottom w:val="single" w:sz="6" w:space="0" w:color="B9C5C1"/>
          <w:right w:val="single" w:sz="6" w:space="0" w:color="B9C5C1"/>
        </w:tblBorders>
      </w:tblPr>
      <w:tblGrid>
        <w:gridCol w:w="9298"/>
      </w:tblGrid>
      <w:tr>
        <w:tc>
          <w:tcPr>
            <w:tcW w:type="dxa" w:w="9298"/>
            <w:shd w:val="clear" w:fill="FBFCFC"/>
          </w:tcPr>
          <w:p>
            <w:pPr>
              <w:spacing w:after="0"/>
            </w:pPr>
          </w:p>
          <w:p>
            <w:pPr>
              <w:spacing w:after="0"/>
            </w:pPr>
          </w:p>
        </w:tc>
      </w:tr>
    </w:tbl>
    <w:p>
      <w:pPr>
        <w:spacing w:after="80"/>
      </w:pPr>
    </w:p>
    <w:p>
      <w:r>
        <w:br w:type="page"/>
      </w:r>
    </w:p>
    <w:p>
      <w:pPr>
        <w:spacing w:after="60" w:before="0"/>
      </w:pPr>
      <w:r>
        <w:rPr>
          <w:rFonts w:ascii="Calibri" w:hAnsi="Calibri"/>
          <w:b/>
          <w:caps/>
          <w:color w:val="0E5A4F"/>
          <w:sz w:val="17"/>
          <w:spacing w:val="24"/>
        </w:rPr>
        <w:t>WHAT HAPPENS NEXT</w:t>
      </w:r>
    </w:p>
    <w:p>
      <w:pPr>
        <w:spacing w:after="140"/>
      </w:pPr>
      <w:r>
        <w:rPr>
          <w:rFonts w:ascii="Georgia" w:hAnsi="Georgia"/>
          <w:i w:val="0"/>
          <w:color w:val="131C1B"/>
          <w:sz w:val="20"/>
        </w:rPr>
        <w:t xml:space="preserve">Once we have your answers we will produce the technical specification and build plan, including the contract structure, the interfaces with your platform, and a schedule. Two answers open a short follow-up round: choosing (a) or (b) in </w:t>
      </w:r>
      <w:r>
        <w:rPr>
          <w:rFonts w:ascii="Georgia" w:hAnsi="Georgia"/>
          <w:b/>
          <w:i w:val="0"/>
          <w:color w:val="131C1B"/>
          <w:sz w:val="20"/>
        </w:rPr>
        <w:t>Q1</w:t>
      </w:r>
      <w:r>
        <w:rPr>
          <w:rFonts w:ascii="Georgia" w:hAnsi="Georgia"/>
          <w:i w:val="0"/>
          <w:color w:val="131C1B"/>
          <w:sz w:val="20"/>
        </w:rPr>
        <w:t xml:space="preserve"> raises questions about daily periods, unclaimed rewards and rewards accrued at the moment of a sale; requiring gas sponsorship in </w:t>
      </w:r>
      <w:r>
        <w:rPr>
          <w:rFonts w:ascii="Georgia" w:hAnsi="Georgia"/>
          <w:b/>
          <w:i w:val="0"/>
          <w:color w:val="131C1B"/>
          <w:sz w:val="20"/>
        </w:rPr>
        <w:t>Q9</w:t>
      </w:r>
      <w:r>
        <w:rPr>
          <w:rFonts w:ascii="Georgia" w:hAnsi="Georgia"/>
          <w:i w:val="0"/>
          <w:color w:val="131C1B"/>
          <w:sz w:val="20"/>
        </w:rPr>
        <w:t xml:space="preserve"> raises questions about your backend integration.</w:t>
      </w:r>
    </w:p>
    <w:p>
      <w:pPr>
        <w:spacing w:after="140"/>
      </w:pPr>
      <w:r>
        <w:rPr>
          <w:rFonts w:ascii="Georgia" w:hAnsi="Georgia"/>
          <w:i w:val="0"/>
          <w:color w:val="131C1B"/>
          <w:sz w:val="20"/>
        </w:rPr>
        <w:t>Where you accept a recommendation, saying so is enough. Where you disagree, the reasoning matters more than the choice — if a recommendation is wrong for reasons we cannot see from the outside, we would rather understand the reason than simply record a different answer.</w:t>
      </w:r>
    </w:p>
    <w:p>
      <w:pPr>
        <w:spacing w:after="120"/>
      </w:pPr>
    </w:p>
    <w:tbl>
      <w:tblPr>
        <w:tblW w:type="auto" w:w="0"/>
        <w:tblLook w:firstColumn="1" w:firstRow="1" w:lastColumn="0" w:lastRow="0" w:noHBand="0" w:noVBand="1" w:val="04A0"/>
      </w:tblPr>
      <w:tblGrid>
        <w:gridCol w:w="3099"/>
        <w:gridCol w:w="3099"/>
        <w:gridCol w:w="3099"/>
      </w:tblGrid>
      <w:tr>
        <w:tc>
          <w:tcPr>
            <w:tcW w:type="dxa" w:w="3099"/>
          </w:tcPr>
          <w:p>
            <w:pPr>
              <w:spacing w:after="20"/>
            </w:pPr>
            <w:r>
              <w:rPr>
                <w:rFonts w:ascii="Calibri" w:hAnsi="Calibri"/>
                <w:b/>
                <w:color w:val="788884"/>
                <w:sz w:val="14"/>
              </w:rPr>
              <w:t>COMPLETED BY</w:t>
            </w:r>
          </w:p>
        </w:tc>
        <w:tc>
          <w:tcPr>
            <w:tcW w:type="dxa" w:w="3099"/>
          </w:tcPr>
          <w:p>
            <w:pPr>
              <w:spacing w:after="20"/>
            </w:pPr>
            <w:r>
              <w:rPr>
                <w:rFonts w:ascii="Calibri" w:hAnsi="Calibri"/>
                <w:b/>
                <w:color w:val="788884"/>
                <w:sz w:val="14"/>
              </w:rPr>
              <w:t>ROLE</w:t>
            </w:r>
          </w:p>
        </w:tc>
        <w:tc>
          <w:tcPr>
            <w:tcW w:type="dxa" w:w="3099"/>
          </w:tcPr>
          <w:p>
            <w:pPr>
              <w:spacing w:after="20"/>
            </w:pPr>
            <w:r>
              <w:rPr>
                <w:rFonts w:ascii="Calibri" w:hAnsi="Calibri"/>
                <w:b/>
                <w:color w:val="788884"/>
                <w:sz w:val="14"/>
              </w:rPr>
              <w:t>DATE</w:t>
            </w:r>
          </w:p>
        </w:tc>
      </w:tr>
      <w:tr>
        <w:tc>
          <w:tcPr>
            <w:tcW w:type="dxa" w:w="3099"/>
          </w:tcPr>
          <w:p>
            <w:r>
              <w:rPr>
                <w:rFonts w:ascii="Georgia" w:hAnsi="Georgia"/>
                <w:color w:val="131C1B"/>
                <w:sz w:val="20"/>
              </w:rPr>
              <w:t>……………………………</w:t>
            </w:r>
          </w:p>
        </w:tc>
        <w:tc>
          <w:tcPr>
            <w:tcW w:type="dxa" w:w="3099"/>
          </w:tcPr>
          <w:p>
            <w:r>
              <w:rPr>
                <w:rFonts w:ascii="Georgia" w:hAnsi="Georgia"/>
                <w:color w:val="131C1B"/>
                <w:sz w:val="20"/>
              </w:rPr>
              <w:t>……………………………</w:t>
            </w:r>
          </w:p>
        </w:tc>
        <w:tc>
          <w:tcPr>
            <w:tcW w:type="dxa" w:w="3099"/>
          </w:tcPr>
          <w:p>
            <w:r>
              <w:rPr>
                <w:rFonts w:ascii="Georgia" w:hAnsi="Georgia"/>
                <w:color w:val="131C1B"/>
                <w:sz w:val="20"/>
              </w:rPr>
              <w:t>……………………………</w:t>
            </w:r>
          </w:p>
        </w:tc>
      </w:tr>
    </w:tbl>
    <w:sectPr w:rsidR="00FC693F" w:rsidRPr="0006063C" w:rsidSect="00034616">
      <w:footerReference w:type="default" r:id="rId9"/>
      <w:pgSz w:w="11906" w:h="16838"/>
      <w:pgMar w:top="1134" w:right="1304" w:bottom="107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olor w:val="788884"/>
        <w:sz w:val="15"/>
      </w:rPr>
      <w:t>MintABear · Technical questionnaire v1.0 · 10 September 2026</w:t>
    </w:r>
    <w:r>
      <w:rPr>
        <w:sz w:val="15"/>
      </w:rPr>
      <w:tab/>
      <w:tab/>
    </w:r>
    <w:fldSimple w:instr="PAGE">
      <w:r>
        <w:rPr>
          <w:rFonts w:ascii="Consolas" w:hAnsi="Consolas"/>
          <w:sz w:val="15"/>
          <w:color w:val="788884"/>
        </w:rPr>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Rule="auto" w:line="283"/>
    </w:pPr>
    <w:rPr>
      <w:rFonts w:ascii="Georgia" w:hAnsi="Georgia" w:eastAsia="Georgia"/>
      <w:color w:val="131C1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MintABear: decisions we need from you</dc:title>
  <dc:subject>Technical questionnaire v1.0</dc:subject>
  <dc:creator>Calea Digital</dc:creator>
  <cp:keywords/>
  <dc:description>24 decisions and 7 information items required before MintABear contract development can begin.</dc:description>
  <cp:lastModifiedBy/>
  <cp:revision>1</cp:revision>
  <dcterms:created xsi:type="dcterms:W3CDTF">2013-12-23T23:15:00Z</dcterms:created>
  <dcterms:modified xsi:type="dcterms:W3CDTF">2013-12-23T23:15:00Z</dcterms:modified>
  <cp:category/>
</cp:coreProperties>
</file>