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onsolas" w:hAnsi="Consolas"/>
          <w:b/>
          <w:color w:val="788884"/>
          <w:sz w:val="16"/>
        </w:rPr>
        <w:t>VERSION 2.0 · 10 SEPTEMBER 2026 · SUPERSEDES V1.0 · INCORPORATES YOUR ARCHITECTURE EMAIL</w:t>
      </w:r>
    </w:p>
    <w:p>
      <w:pPr>
        <w:spacing w:after="120"/>
      </w:pPr>
      <w:r>
        <w:rPr>
          <w:rFonts w:ascii="Calibri" w:hAnsi="Calibri"/>
          <w:b/>
          <w:color w:val="131C1B"/>
          <w:sz w:val="52"/>
        </w:rPr>
        <w:t>MintABear: decisions we need from you</w:t>
      </w:r>
    </w:p>
    <w:p>
      <w:pPr>
        <w:spacing w:after="280"/>
        <w:pBdr>
          <w:bottom w:val="single" w:sz="12" w:space="6" w:color="131C1B"/>
        </w:pBdr>
      </w:pPr>
      <w:r>
        <w:rPr>
          <w:rFonts w:ascii="Georgia" w:hAnsi="Georgia"/>
          <w:color w:val="4B5A57"/>
          <w:sz w:val="24"/>
        </w:rPr>
        <w:t>Your architecture email settles seven of the twenty-four questions in v1.0. It also creates four new ones, and our verification of OpenSea Studio, ERC-721C and the reference contracts found constraints that change the plan. Twenty-seven decisions remain, four of them blocking.</w:t>
      </w:r>
    </w:p>
    <w:tbl>
      <w:tblPr>
        <w:tblW w:type="auto" w:w="0"/>
        <w:tblLook w:firstColumn="1" w:firstRow="1" w:lastColumn="0" w:lastRow="0" w:noHBand="0" w:noVBand="1" w:val="04A0"/>
      </w:tblPr>
      <w:tblGrid>
        <w:gridCol w:w="2324"/>
        <w:gridCol w:w="2324"/>
        <w:gridCol w:w="2324"/>
        <w:gridCol w:w="2324"/>
      </w:tblGrid>
      <w:tr>
        <w:tc>
          <w:tcPr>
            <w:tcW w:type="dxa" w:w="2324"/>
          </w:tcPr>
          <w:p>
            <w:pPr>
              <w:spacing w:after="20"/>
            </w:pPr>
            <w:r>
              <w:rPr>
                <w:rFonts w:ascii="Calibri" w:hAnsi="Calibri"/>
                <w:b/>
                <w:color w:val="788884"/>
                <w:sz w:val="14"/>
              </w:rPr>
              <w:t>PREPARED FOR</w:t>
            </w:r>
          </w:p>
        </w:tc>
        <w:tc>
          <w:tcPr>
            <w:tcW w:type="dxa" w:w="2324"/>
          </w:tcPr>
          <w:p>
            <w:pPr>
              <w:spacing w:after="20"/>
            </w:pPr>
            <w:r>
              <w:rPr>
                <w:rFonts w:ascii="Calibri" w:hAnsi="Calibri"/>
                <w:b/>
                <w:color w:val="788884"/>
                <w:sz w:val="14"/>
              </w:rPr>
              <w:t>PREPARED BY</w:t>
            </w:r>
          </w:p>
        </w:tc>
        <w:tc>
          <w:tcPr>
            <w:tcW w:type="dxa" w:w="2324"/>
          </w:tcPr>
          <w:p>
            <w:pPr>
              <w:spacing w:after="20"/>
            </w:pPr>
            <w:r>
              <w:rPr>
                <w:rFonts w:ascii="Calibri" w:hAnsi="Calibri"/>
                <w:b/>
                <w:color w:val="788884"/>
                <w:sz w:val="14"/>
              </w:rPr>
              <w:t>RESPONSE REQUESTED BY</w:t>
            </w:r>
          </w:p>
        </w:tc>
        <w:tc>
          <w:tcPr>
            <w:tcW w:type="dxa" w:w="2324"/>
          </w:tcPr>
          <w:p>
            <w:pPr>
              <w:spacing w:after="20"/>
            </w:pPr>
            <w:r>
              <w:rPr>
                <w:rFonts w:ascii="Calibri" w:hAnsi="Calibri"/>
                <w:b/>
                <w:color w:val="788884"/>
                <w:sz w:val="14"/>
              </w:rPr>
              <w:t>TARGET CHAIN</w:t>
            </w:r>
          </w:p>
        </w:tc>
      </w:tr>
      <w:tr>
        <w:tc>
          <w:tcPr>
            <w:tcW w:type="dxa" w:w="2324"/>
          </w:tcPr>
          <w:p>
            <w:pPr>
              <w:spacing w:after="0"/>
            </w:pPr>
            <w:r>
              <w:rPr>
                <w:rFonts w:ascii="Georgia" w:hAnsi="Georgia"/>
                <w:color w:val="131C1B"/>
                <w:sz w:val="19"/>
              </w:rPr>
              <w:t>……………………</w:t>
            </w:r>
          </w:p>
        </w:tc>
        <w:tc>
          <w:tcPr>
            <w:tcW w:type="dxa" w:w="2324"/>
          </w:tcPr>
          <w:p>
            <w:pPr>
              <w:spacing w:after="0"/>
            </w:pPr>
            <w:r>
              <w:rPr>
                <w:rFonts w:ascii="Georgia" w:hAnsi="Georgia"/>
                <w:color w:val="131C1B"/>
                <w:sz w:val="19"/>
              </w:rPr>
              <w:t>Calea Digital</w:t>
            </w:r>
          </w:p>
        </w:tc>
        <w:tc>
          <w:tcPr>
            <w:tcW w:type="dxa" w:w="2324"/>
          </w:tcPr>
          <w:p>
            <w:pPr>
              <w:spacing w:after="0"/>
            </w:pPr>
            <w:r>
              <w:rPr>
                <w:rFonts w:ascii="Georgia" w:hAnsi="Georgia"/>
                <w:color w:val="131C1B"/>
                <w:sz w:val="19"/>
              </w:rPr>
              <w:t>……………………</w:t>
            </w:r>
          </w:p>
        </w:tc>
        <w:tc>
          <w:tcPr>
            <w:tcW w:type="dxa" w:w="2324"/>
          </w:tcPr>
          <w:p>
            <w:pPr>
              <w:spacing w:after="0"/>
            </w:pPr>
            <w:r>
              <w:rPr>
                <w:rFonts w:ascii="Georgia" w:hAnsi="Georgia"/>
                <w:color w:val="131C1B"/>
                <w:sz w:val="19"/>
              </w:rPr>
              <w:t>Robinhood Chain · 4663</w:t>
            </w:r>
          </w:p>
        </w:tc>
      </w:tr>
    </w:tbl>
    <w:p>
      <w:pPr>
        <w:spacing w:after="200"/>
      </w:pPr>
    </w:p>
    <w:p>
      <w:pPr>
        <w:keepNext/>
        <w:keepLines/>
        <w:spacing w:after="60" w:before="0"/>
      </w:pPr>
      <w:r>
        <w:rPr>
          <w:rFonts w:ascii="Calibri" w:hAnsi="Calibri"/>
          <w:b/>
          <w:color w:val="0E5A4F"/>
          <w:sz w:val="17"/>
          <w:spacing w:val="24"/>
        </w:rPr>
        <w:t>BEFORE YOU START</w:t>
      </w:r>
    </w:p>
    <w:p>
      <w:pPr>
        <w:spacing w:after="140"/>
      </w:pPr>
      <w:r>
        <w:rPr>
          <w:rFonts w:ascii="Georgia" w:hAnsi="Georgia"/>
          <w:color w:val="131C1B"/>
          <w:sz w:val="20"/>
        </w:rPr>
        <w:t xml:space="preserve">This version folds in your email of 10 September. Where that email and the original specification sheet disagree, </w:t>
      </w:r>
      <w:r>
        <w:rPr>
          <w:rFonts w:ascii="Georgia" w:hAnsi="Georgia"/>
          <w:b/>
          <w:color w:val="131C1B"/>
          <w:sz w:val="20"/>
        </w:rPr>
        <w:t>the email wins</w:t>
      </w:r>
      <w:r>
        <w:rPr>
          <w:rFonts w:ascii="Georgia" w:hAnsi="Georgia"/>
          <w:color w:val="131C1B"/>
          <w:sz w:val="20"/>
        </w:rPr>
        <w:t xml:space="preserve"> — the sheet was written before the architecture was settled, so its placement decisions are stale even where its requirements are not. Where the email is silent, the sheet still governs: the 4,444 cap, the fully on-chain image and eleven visual traits, and every security row.</w:t>
      </w:r>
    </w:p>
    <w:p>
      <w:pPr>
        <w:spacing w:after="140"/>
      </w:pPr>
      <w:r>
        <w:rPr>
          <w:rFonts w:ascii="Georgia" w:hAnsi="Georgia"/>
          <w:color w:val="131C1B"/>
          <w:sz w:val="20"/>
        </w:rPr>
        <w:t xml:space="preserve">Items marked </w:t>
      </w:r>
      <w:r>
        <w:rPr>
          <w:rFonts w:ascii="Georgia" w:hAnsi="Georgia"/>
          <w:b/>
          <w:color w:val="131C1B"/>
          <w:sz w:val="20"/>
        </w:rPr>
        <w:t>Answered</w:t>
      </w:r>
      <w:r>
        <w:rPr>
          <w:rFonts w:ascii="Georgia" w:hAnsi="Georgia"/>
          <w:color w:val="131C1B"/>
          <w:sz w:val="20"/>
        </w:rPr>
        <w:t xml:space="preserve"> record what we took from your email. Please read them — if we have misread anything, correcting it now is much cheaper than later. Items marked </w:t>
      </w:r>
      <w:r>
        <w:rPr>
          <w:rFonts w:ascii="Georgia" w:hAnsi="Georgia"/>
          <w:b/>
          <w:color w:val="131C1B"/>
          <w:sz w:val="20"/>
        </w:rPr>
        <w:t>New</w:t>
      </w:r>
      <w:r>
        <w:rPr>
          <w:rFonts w:ascii="Georgia" w:hAnsi="Georgia"/>
          <w:color w:val="131C1B"/>
          <w:sz w:val="20"/>
        </w:rPr>
        <w:t xml:space="preserve"> are questions your chosen architecture creates that did not exist in v1.0.</w:t>
      </w:r>
    </w:p>
    <w:p>
      <w:pPr>
        <w:spacing w:after="140"/>
      </w:pPr>
      <w:r>
        <w:rPr>
          <w:rFonts w:ascii="Georgia" w:hAnsi="Georgia"/>
          <w:b/>
          <w:color w:val="131C1B"/>
          <w:sz w:val="20"/>
        </w:rPr>
        <w:t>How to use this in the meeting:</w:t>
      </w:r>
      <w:r>
        <w:rPr>
          <w:rFonts w:ascii="Georgia" w:hAnsi="Georgia"/>
          <w:color w:val="131C1B"/>
          <w:sz w:val="20"/>
        </w:rPr>
        <w:t xml:space="preserve"> tick an option box or write in the answer field. Where you accept a recommendation, saying so is enough. Four items are blocking: </w:t>
      </w:r>
      <w:r>
        <w:rPr>
          <w:rFonts w:ascii="Georgia" w:hAnsi="Georgia"/>
          <w:b/>
          <w:color w:val="131C1B"/>
          <w:sz w:val="20"/>
        </w:rPr>
        <w:t>Q1, Q5, Q8 and Q23</w:t>
      </w:r>
      <w:r>
        <w:rPr>
          <w:rFonts w:ascii="Georgia" w:hAnsi="Georgia"/>
          <w:color w:val="131C1B"/>
          <w:sz w:val="20"/>
        </w:rPr>
        <w:t>. Q1 is a product and budget call rather than a technical one, and Q23 needs compliance sign-off — please route those two rather than guessing.</w:t>
      </w:r>
    </w:p>
    <w:p>
      <w:pPr>
        <w:keepNext/>
        <w:keepLines/>
        <w:spacing w:after="60" w:before="0"/>
      </w:pPr>
      <w:r>
        <w:rPr>
          <w:rFonts w:ascii="Calibri" w:hAnsi="Calibri"/>
          <w:b/>
          <w:color w:val="0E5A4F"/>
          <w:sz w:val="17"/>
          <w:spacing w:val="24"/>
        </w:rPr>
        <w:t>CONTENTS</w:t>
      </w:r>
    </w:p>
    <w:p>
      <w:pPr>
        <w:spacing w:after="40"/>
        <w:ind w:left="113"/>
      </w:pPr>
      <w:r>
        <w:rPr>
          <w:rFonts w:ascii="Calibri" w:hAnsi="Calibri"/>
          <w:color w:val="131C1B"/>
          <w:sz w:val="20"/>
        </w:rPr>
        <w:t>A · Information we need</w:t>
      </w:r>
      <w:r>
        <w:rPr>
          <w:rFonts w:ascii="Consolas" w:hAnsi="Consolas"/>
          <w:color w:val="788884"/>
          <w:sz w:val="17"/>
        </w:rPr>
        <w:t xml:space="preserve">   7 items · no decisions required</w:t>
      </w:r>
    </w:p>
    <w:p>
      <w:pPr>
        <w:spacing w:after="40"/>
        <w:ind w:left="113"/>
      </w:pPr>
      <w:r>
        <w:rPr>
          <w:rFonts w:ascii="Calibri" w:hAnsi="Calibri"/>
          <w:color w:val="131C1B"/>
          <w:sz w:val="20"/>
        </w:rPr>
        <w:t>1 · Mint architecture</w:t>
      </w:r>
      <w:r>
        <w:rPr>
          <w:rFonts w:ascii="Consolas" w:hAnsi="Consolas"/>
          <w:color w:val="788884"/>
          <w:sz w:val="17"/>
        </w:rPr>
        <w:t xml:space="preserve">   Q1–Q4 · the biggest change from your plan</w:t>
      </w:r>
    </w:p>
    <w:p>
      <w:pPr>
        <w:spacing w:after="40"/>
        <w:ind w:left="113"/>
      </w:pPr>
      <w:r>
        <w:rPr>
          <w:rFonts w:ascii="Calibri" w:hAnsi="Calibri"/>
          <w:color w:val="131C1B"/>
          <w:sz w:val="20"/>
        </w:rPr>
        <w:t>2 · The token contract</w:t>
      </w:r>
      <w:r>
        <w:rPr>
          <w:rFonts w:ascii="Consolas" w:hAnsi="Consolas"/>
          <w:color w:val="788884"/>
          <w:sz w:val="17"/>
        </w:rPr>
        <w:t xml:space="preserve">   Q5–Q7</w:t>
      </w:r>
    </w:p>
    <w:p>
      <w:pPr>
        <w:spacing w:after="40"/>
        <w:ind w:left="113"/>
      </w:pPr>
      <w:r>
        <w:rPr>
          <w:rFonts w:ascii="Calibri" w:hAnsi="Calibri"/>
          <w:color w:val="131C1B"/>
          <w:sz w:val="20"/>
        </w:rPr>
        <w:t>3 · Artwork and metadata</w:t>
      </w:r>
      <w:r>
        <w:rPr>
          <w:rFonts w:ascii="Consolas" w:hAnsi="Consolas"/>
          <w:color w:val="788884"/>
          <w:sz w:val="17"/>
        </w:rPr>
        <w:t xml:space="preserve">   Q8–Q10</w:t>
      </w:r>
    </w:p>
    <w:p>
      <w:pPr>
        <w:spacing w:after="40"/>
        <w:ind w:left="113"/>
      </w:pPr>
      <w:r>
        <w:rPr>
          <w:rFonts w:ascii="Calibri" w:hAnsi="Calibri"/>
          <w:color w:val="131C1B"/>
          <w:sz w:val="20"/>
        </w:rPr>
        <w:t>4 · Activation and rewards</w:t>
      </w:r>
      <w:r>
        <w:rPr>
          <w:rFonts w:ascii="Consolas" w:hAnsi="Consolas"/>
          <w:color w:val="788884"/>
          <w:sz w:val="17"/>
        </w:rPr>
        <w:t xml:space="preserve">   Q11–Q15</w:t>
      </w:r>
    </w:p>
    <w:p>
      <w:pPr>
        <w:spacing w:after="40"/>
        <w:ind w:left="113"/>
      </w:pPr>
      <w:r>
        <w:rPr>
          <w:rFonts w:ascii="Calibri" w:hAnsi="Calibri"/>
          <w:color w:val="131C1B"/>
          <w:sz w:val="20"/>
        </w:rPr>
        <w:t>5 · Bear wallets</w:t>
      </w:r>
      <w:r>
        <w:rPr>
          <w:rFonts w:ascii="Consolas" w:hAnsi="Consolas"/>
          <w:color w:val="788884"/>
          <w:sz w:val="17"/>
        </w:rPr>
        <w:t xml:space="preserve">   Q16–Q20</w:t>
      </w:r>
    </w:p>
    <w:p>
      <w:pPr>
        <w:spacing w:after="40"/>
        <w:ind w:left="113"/>
      </w:pPr>
      <w:r>
        <w:rPr>
          <w:rFonts w:ascii="Calibri" w:hAnsi="Calibri"/>
          <w:color w:val="131C1B"/>
          <w:sz w:val="20"/>
        </w:rPr>
        <w:t>6 · Security, admin and compliance</w:t>
      </w:r>
      <w:r>
        <w:rPr>
          <w:rFonts w:ascii="Consolas" w:hAnsi="Consolas"/>
          <w:color w:val="788884"/>
          <w:sz w:val="17"/>
        </w:rPr>
        <w:t xml:space="preserve">   Q21–Q24</w:t>
      </w:r>
    </w:p>
    <w:p>
      <w:pPr>
        <w:spacing w:after="40"/>
        <w:ind w:left="113"/>
      </w:pPr>
      <w:r>
        <w:rPr>
          <w:rFonts w:ascii="Calibri" w:hAnsi="Calibri"/>
          <w:color w:val="131C1B"/>
          <w:sz w:val="20"/>
        </w:rPr>
        <w:t>7 · Delivery and assurance</w:t>
      </w:r>
      <w:r>
        <w:rPr>
          <w:rFonts w:ascii="Consolas" w:hAnsi="Consolas"/>
          <w:color w:val="788884"/>
          <w:sz w:val="17"/>
        </w:rPr>
        <w:t xml:space="preserve">   Q25–Q27</w:t>
      </w:r>
    </w:p>
    <w:p>
      <w:r>
        <w:br w:type="page"/>
      </w:r>
    </w:p>
    <w:p>
      <w:pPr>
        <w:keepNext/>
        <w:keepLines/>
        <w:spacing w:after="60" w:before="0"/>
      </w:pPr>
      <w:r>
        <w:rPr>
          <w:rFonts w:ascii="Calibri" w:hAnsi="Calibri"/>
          <w:b/>
          <w:color w:val="0E5A4F"/>
          <w:sz w:val="17"/>
          <w:spacing w:val="24"/>
        </w:rPr>
        <w:t>WHAT CHANGED SINCE V1.0</w:t>
      </w:r>
    </w:p>
    <w:p>
      <w:pPr>
        <w:spacing w:after="200"/>
      </w:pPr>
      <w:r>
        <w:rPr>
          <w:rFonts w:ascii="Consolas" w:hAnsi="Consolas"/>
          <w:b/>
          <w:color w:val="0E5A4F"/>
          <w:sz w:val="15"/>
        </w:rPr>
        <w:t>VERIFIED ON-CHAIN, 10 SEPTEMBER 2026</w:t>
      </w:r>
    </w:p>
    <w:p>
      <w:pPr>
        <w:keepNext/>
        <w:keepLines/>
        <w:spacing w:before="160" w:after="40"/>
      </w:pPr>
      <w:r>
        <w:rPr>
          <w:rFonts w:ascii="Consolas" w:hAnsi="Consolas"/>
          <w:color w:val="0E5A4F"/>
          <w:sz w:val="18"/>
        </w:rPr>
        <w:t xml:space="preserve">—   </w:t>
      </w:r>
      <w:r>
        <w:rPr>
          <w:rFonts w:ascii="Calibri" w:hAnsi="Calibri"/>
          <w:b/>
          <w:color w:val="131C1B"/>
          <w:sz w:val="22"/>
        </w:rPr>
        <w:t>OpenSea does support Robinhood Chain, and Studio drops are live there</w:t>
      </w:r>
    </w:p>
    <w:p>
      <w:pPr>
        <w:spacing w:after="140"/>
        <w:ind w:left="425"/>
      </w:pPr>
      <w:r>
        <w:rPr>
          <w:rFonts w:ascii="Georgia" w:hAnsi="Georgia"/>
          <w:color w:val="131C1B"/>
          <w:sz w:val="20"/>
        </w:rPr>
        <w:t xml:space="preserve">We confirmed this two ways: OpenSea's public API lists the chain, and on chain 4663 we found </w:t>
      </w:r>
      <w:r>
        <w:rPr>
          <w:rFonts w:ascii="Georgia" w:hAnsi="Georgia"/>
          <w:b/>
          <w:color w:val="131C1B"/>
          <w:sz w:val="20"/>
        </w:rPr>
        <w:t>6,035 mint events in a 2.8-hour window</w:t>
      </w:r>
      <w:r>
        <w:rPr>
          <w:rFonts w:ascii="Georgia" w:hAnsi="Georgia"/>
          <w:color w:val="131C1B"/>
          <w:sz w:val="20"/>
        </w:rPr>
        <w:t xml:space="preserve"> across </w:t>
      </w:r>
      <w:r>
        <w:rPr>
          <w:rFonts w:ascii="Georgia" w:hAnsi="Georgia"/>
          <w:b/>
          <w:color w:val="131C1B"/>
          <w:sz w:val="20"/>
        </w:rPr>
        <w:t>115 SeaDrop contracts</w:t>
      </w:r>
      <w:r>
        <w:rPr>
          <w:rFonts w:ascii="Georgia" w:hAnsi="Georgia"/>
          <w:color w:val="131C1B"/>
          <w:sz w:val="20"/>
        </w:rPr>
        <w:t>, every one carrying OpenSea's canonical fee recipient, OpenSea's 10% mint fee setting and the same OpenSea server signing key. Your SeaDrop premise is sound. Note the 10% fee applies to the mint price, and yours is zero, so it costs nothing.</w:t>
      </w:r>
    </w:p>
    <w:p>
      <w:pPr>
        <w:keepNext/>
        <w:keepLines/>
        <w:spacing w:before="160" w:after="40"/>
      </w:pPr>
      <w:r>
        <w:rPr>
          <w:rFonts w:ascii="Consolas" w:hAnsi="Consolas"/>
          <w:color w:val="0E5A4F"/>
          <w:sz w:val="18"/>
        </w:rPr>
        <w:t xml:space="preserve">—   </w:t>
      </w:r>
      <w:r>
        <w:rPr>
          <w:rFonts w:ascii="Calibri" w:hAnsi="Calibri"/>
          <w:b/>
          <w:color w:val="131C1B"/>
          <w:sz w:val="22"/>
        </w:rPr>
        <w:t>But a Studio-deployed contract cannot do three things this project needs</w:t>
      </w:r>
    </w:p>
    <w:p>
      <w:pPr>
        <w:spacing w:after="140"/>
        <w:ind w:left="425"/>
      </w:pPr>
      <w:r>
        <w:rPr>
          <w:rFonts w:ascii="Georgia" w:hAnsi="Georgia"/>
          <w:color w:val="131C1B"/>
          <w:sz w:val="20"/>
        </w:rPr>
        <w:t xml:space="preserve">Studio deploys minimal-proxy clones of one shared implementation whose </w:t>
      </w:r>
      <w:r>
        <w:rPr>
          <w:rFonts w:ascii="Consolas" w:hAnsi="Consolas"/>
          <w:color w:val="131C1B"/>
          <w:sz w:val="19"/>
        </w:rPr>
        <w:t>tokenURI</w:t>
      </w:r>
      <w:r>
        <w:rPr>
          <w:rFonts w:ascii="Georgia" w:hAnsi="Georgia"/>
          <w:color w:val="131C1B"/>
          <w:sz w:val="20"/>
        </w:rPr>
        <w:t xml:space="preserve"> is hardcoded to </w:t>
      </w:r>
      <w:r>
        <w:rPr>
          <w:rFonts w:ascii="Consolas" w:hAnsi="Consolas"/>
          <w:color w:val="131C1B"/>
          <w:sz w:val="19"/>
        </w:rPr>
        <w:t>baseURI + tokenId</w:t>
      </w:r>
      <w:r>
        <w:rPr>
          <w:rFonts w:ascii="Georgia" w:hAnsi="Georgia"/>
          <w:color w:val="131C1B"/>
          <w:sz w:val="20"/>
        </w:rPr>
        <w:t xml:space="preserve"> — we called it on all 67 live drops on the chain and </w:t>
      </w:r>
      <w:r>
        <w:rPr>
          <w:rFonts w:ascii="Georgia" w:hAnsi="Georgia"/>
          <w:b/>
          <w:color w:val="131C1B"/>
          <w:sz w:val="20"/>
        </w:rPr>
        <w:t>not one returned on-chain metadata</w:t>
      </w:r>
      <w:r>
        <w:rPr>
          <w:rFonts w:ascii="Georgia" w:hAnsi="Georgia"/>
          <w:color w:val="131C1B"/>
          <w:sz w:val="20"/>
        </w:rPr>
        <w:t xml:space="preserve">. Its allowlists are static CSV uploads, capped at 30,000 addresses per stage, </w:t>
      </w:r>
      <w:r>
        <w:rPr>
          <w:rFonts w:ascii="Georgia" w:hAnsi="Georgia"/>
          <w:b/>
          <w:color w:val="131C1B"/>
          <w:sz w:val="20"/>
        </w:rPr>
        <w:t>frozen once minting begins</w:t>
      </w:r>
      <w:r>
        <w:rPr>
          <w:rFonts w:ascii="Georgia" w:hAnsi="Georgia"/>
          <w:color w:val="131C1B"/>
          <w:sz w:val="20"/>
        </w:rPr>
        <w:t xml:space="preserve">, and signed with OpenSea's key rather than yours. And its mint page offers no gas sponsorship. On-chain art, daily-changing eligibility and a free-to-the-customer mint are all incompatible with a Studio-run mint. </w:t>
      </w:r>
      <w:r>
        <w:rPr>
          <w:rFonts w:ascii="Georgia" w:hAnsi="Georgia"/>
          <w:b/>
          <w:color w:val="131C1B"/>
          <w:sz w:val="20"/>
        </w:rPr>
        <w:t>This is Q1.</w:t>
      </w:r>
    </w:p>
    <w:p>
      <w:pPr>
        <w:keepNext/>
        <w:keepLines/>
        <w:spacing w:before="160" w:after="40"/>
      </w:pPr>
      <w:r>
        <w:rPr>
          <w:rFonts w:ascii="Consolas" w:hAnsi="Consolas"/>
          <w:color w:val="0E5A4F"/>
          <w:sz w:val="18"/>
        </w:rPr>
        <w:t xml:space="preserve">—   </w:t>
      </w:r>
      <w:r>
        <w:rPr>
          <w:rFonts w:ascii="Calibri" w:hAnsi="Calibri"/>
          <w:b/>
          <w:color w:val="131C1B"/>
          <w:sz w:val="22"/>
        </w:rPr>
        <w:t>ERC-721C at its default setting would break the product</w:t>
      </w:r>
    </w:p>
    <w:p>
      <w:pPr>
        <w:spacing w:after="140"/>
        <w:ind w:left="425"/>
      </w:pPr>
      <w:r>
        <w:rPr>
          <w:rFonts w:ascii="Georgia" w:hAnsi="Georgia"/>
          <w:color w:val="131C1B"/>
          <w:sz w:val="20"/>
        </w:rPr>
        <w:t xml:space="preserve">Verified by live simulation against the validator on 4663: a </w:t>
      </w:r>
      <w:r>
        <w:rPr>
          <w:rFonts w:ascii="Georgia" w:hAnsi="Georgia"/>
          <w:b/>
          <w:color w:val="131C1B"/>
          <w:sz w:val="20"/>
        </w:rPr>
        <w:t>mint reverts</w:t>
      </w:r>
      <w:r>
        <w:rPr>
          <w:rFonts w:ascii="Georgia" w:hAnsi="Georgia"/>
          <w:color w:val="131C1B"/>
          <w:sz w:val="20"/>
        </w:rPr>
        <w:t xml:space="preserve"> when the caller is not allowlisted (there is no exemption for minting), a </w:t>
      </w:r>
      <w:r>
        <w:rPr>
          <w:rFonts w:ascii="Georgia" w:hAnsi="Georgia"/>
          <w:b/>
          <w:color w:val="131C1B"/>
          <w:sz w:val="20"/>
        </w:rPr>
        <w:t>smart wallet or token-bound account cannot transfer the token out</w:t>
      </w:r>
      <w:r>
        <w:rPr>
          <w:rFonts w:ascii="Georgia" w:hAnsi="Georgia"/>
          <w:color w:val="131C1B"/>
          <w:sz w:val="20"/>
        </w:rPr>
        <w:t xml:space="preserve"> purely because it has code, and OpenSea's conduit is </w:t>
      </w:r>
      <w:r>
        <w:rPr>
          <w:rFonts w:ascii="Georgia" w:hAnsi="Georgia"/>
          <w:b/>
          <w:color w:val="131C1B"/>
          <w:sz w:val="20"/>
        </w:rPr>
        <w:t>not on the chain's default allowlist</w:t>
      </w:r>
      <w:r>
        <w:rPr>
          <w:rFonts w:ascii="Georgia" w:hAnsi="Georgia"/>
          <w:color w:val="131C1B"/>
          <w:sz w:val="20"/>
        </w:rPr>
        <w:t xml:space="preserve">. Doing nothing is the restrictive setting, because ruleset 0 and the whitelist ruleset resolve to the same contract. </w:t>
      </w:r>
      <w:r>
        <w:rPr>
          <w:rFonts w:ascii="Georgia" w:hAnsi="Georgia"/>
          <w:b/>
          <w:color w:val="131C1B"/>
          <w:sz w:val="20"/>
        </w:rPr>
        <w:t>This is Q6.</w:t>
      </w:r>
    </w:p>
    <w:p>
      <w:pPr>
        <w:keepNext/>
        <w:keepLines/>
        <w:spacing w:before="160" w:after="40"/>
      </w:pPr>
      <w:r>
        <w:rPr>
          <w:rFonts w:ascii="Consolas" w:hAnsi="Consolas"/>
          <w:color w:val="0E5A4F"/>
          <w:sz w:val="18"/>
        </w:rPr>
        <w:t xml:space="preserve">—   </w:t>
      </w:r>
      <w:r>
        <w:rPr>
          <w:rFonts w:ascii="Calibri" w:hAnsi="Calibri"/>
          <w:b/>
          <w:color w:val="131C1B"/>
          <w:sz w:val="22"/>
        </w:rPr>
        <w:t>The good news on ERC-721C: SeaDrop already provides it, safely</w:t>
      </w:r>
    </w:p>
    <w:p>
      <w:pPr>
        <w:spacing w:after="140"/>
        <w:ind w:left="425"/>
      </w:pPr>
      <w:r>
        <w:rPr>
          <w:rFonts w:ascii="Georgia" w:hAnsi="Georgia"/>
          <w:color w:val="131C1B"/>
          <w:sz w:val="20"/>
        </w:rPr>
        <w:t xml:space="preserve">There is no </w:t>
      </w:r>
      <w:r>
        <w:rPr>
          <w:rFonts w:ascii="Consolas" w:hAnsi="Consolas"/>
          <w:color w:val="131C1B"/>
          <w:sz w:val="19"/>
        </w:rPr>
        <w:t>ERC721CSeaDrop</w:t>
      </w:r>
      <w:r>
        <w:rPr>
          <w:rFonts w:ascii="Georgia" w:hAnsi="Georgia"/>
          <w:color w:val="131C1B"/>
          <w:sz w:val="20"/>
        </w:rPr>
        <w:t xml:space="preserve"> and none is needed. OpenSea's own base contract already implements the </w:t>
      </w:r>
      <w:r>
        <w:rPr>
          <w:rFonts w:ascii="Consolas" w:hAnsi="Consolas"/>
          <w:color w:val="131C1B"/>
          <w:sz w:val="19"/>
        </w:rPr>
        <w:t>ICreatorToken</w:t>
      </w:r>
      <w:r>
        <w:rPr>
          <w:rFonts w:ascii="Georgia" w:hAnsi="Georgia"/>
          <w:color w:val="131C1B"/>
          <w:sz w:val="20"/>
        </w:rPr>
        <w:t xml:space="preserve"> interface and </w:t>
      </w:r>
      <w:r>
        <w:rPr>
          <w:rFonts w:ascii="Consolas" w:hAnsi="Consolas"/>
          <w:color w:val="131C1B"/>
          <w:sz w:val="19"/>
        </w:rPr>
        <w:t>setTransferValidator</w:t>
      </w:r>
      <w:r>
        <w:rPr>
          <w:rFonts w:ascii="Georgia" w:hAnsi="Georgia"/>
          <w:color w:val="131C1B"/>
          <w:sz w:val="20"/>
        </w:rPr>
        <w:t xml:space="preserve">, and its validator field </w:t>
      </w:r>
      <w:r>
        <w:rPr>
          <w:rFonts w:ascii="Georgia" w:hAnsi="Georgia"/>
          <w:b/>
          <w:color w:val="131C1B"/>
          <w:sz w:val="20"/>
        </w:rPr>
        <w:t>defaults to the zero address</w:t>
      </w:r>
      <w:r>
        <w:rPr>
          <w:rFonts w:ascii="Georgia" w:hAnsi="Georgia"/>
          <w:color w:val="131C1B"/>
          <w:sz w:val="20"/>
        </w:rPr>
        <w:t xml:space="preserve"> — no validation, free transfers, no gas overhead. So we get the ERC-721C interface that tooling looks for, on code audited by Spearbit and updated this week, without inheriting Limit Break's default-on whitelist or its governance key. </w:t>
      </w:r>
      <w:r>
        <w:rPr>
          <w:rFonts w:ascii="Georgia" w:hAnsi="Georgia"/>
          <w:b/>
          <w:color w:val="131C1B"/>
          <w:sz w:val="20"/>
        </w:rPr>
        <w:t>This is Q5.</w:t>
      </w:r>
    </w:p>
    <w:p>
      <w:pPr>
        <w:keepNext/>
        <w:keepLines/>
        <w:spacing w:before="160" w:after="40"/>
      </w:pPr>
      <w:r>
        <w:rPr>
          <w:rFonts w:ascii="Consolas" w:hAnsi="Consolas"/>
          <w:color w:val="0E5A4F"/>
          <w:sz w:val="18"/>
        </w:rPr>
        <w:t xml:space="preserve">—   </w:t>
      </w:r>
      <w:r>
        <w:rPr>
          <w:rFonts w:ascii="Calibri" w:hAnsi="Calibri"/>
          <w:b/>
          <w:color w:val="131C1B"/>
          <w:sz w:val="22"/>
        </w:rPr>
        <w:t>The reference project is not ERC-721C, and not SeaDrop-compatible</w:t>
      </w:r>
    </w:p>
    <w:p>
      <w:pPr>
        <w:spacing w:after="140"/>
        <w:ind w:left="425"/>
      </w:pPr>
      <w:r>
        <w:rPr>
          <w:rFonts w:ascii="Georgia" w:hAnsi="Georgia"/>
          <w:color w:val="131C1B"/>
          <w:sz w:val="20"/>
        </w:rPr>
        <w:t xml:space="preserve">stonkbrokers.cash is OpenZeppelin ERC-721 with three Limit Break </w:t>
      </w:r>
      <w:r>
        <w:rPr>
          <w:rFonts w:ascii="Georgia" w:hAnsi="Georgia"/>
          <w:b/>
          <w:color w:val="131C1B"/>
          <w:sz w:val="20"/>
        </w:rPr>
        <w:t>interfaces</w:t>
      </w:r>
      <w:r>
        <w:rPr>
          <w:rFonts w:ascii="Georgia" w:hAnsi="Georgia"/>
          <w:color w:val="131C1B"/>
          <w:sz w:val="20"/>
        </w:rPr>
        <w:t xml:space="preserve"> vendored in and a remapping that makes the imports read like the real package. Live check: its transfer validator is the zero address, so there is </w:t>
      </w:r>
      <w:r>
        <w:rPr>
          <w:rFonts w:ascii="Georgia" w:hAnsi="Georgia"/>
          <w:b/>
          <w:color w:val="131C1B"/>
          <w:sz w:val="20"/>
        </w:rPr>
        <w:t>no royalty enforcement</w:t>
      </w:r>
      <w:r>
        <w:rPr>
          <w:rFonts w:ascii="Georgia" w:hAnsi="Georgia"/>
          <w:color w:val="131C1B"/>
          <w:sz w:val="20"/>
        </w:rPr>
        <w:t>, while the on-chain description it serves to marketplaces says “ERC-721C with enforceable royalties”. It contains no SeaDrop functions at all. It is straightforward precisely because the ERC-721C part is not real.</w:t>
      </w:r>
    </w:p>
    <w:p>
      <w:pPr>
        <w:keepNext/>
        <w:keepLines/>
        <w:spacing w:before="160" w:after="40"/>
      </w:pPr>
      <w:r>
        <w:rPr>
          <w:rFonts w:ascii="Consolas" w:hAnsi="Consolas"/>
          <w:color w:val="0E5A4F"/>
          <w:sz w:val="18"/>
        </w:rPr>
        <w:t xml:space="preserve">—   </w:t>
      </w:r>
      <w:r>
        <w:rPr>
          <w:rFonts w:ascii="Calibri" w:hAnsi="Calibri"/>
          <w:b/>
          <w:color w:val="131C1B"/>
          <w:sz w:val="22"/>
        </w:rPr>
        <w:t>Two things in that reference we are deliberately not copying</w:t>
      </w:r>
    </w:p>
    <w:p>
      <w:pPr>
        <w:spacing w:after="140"/>
        <w:ind w:left="425"/>
      </w:pPr>
      <w:r>
        <w:rPr>
          <w:rFonts w:ascii="Georgia" w:hAnsi="Georgia"/>
          <w:color w:val="131C1B"/>
          <w:sz w:val="20"/>
        </w:rPr>
        <w:t xml:space="preserve">Its ERC-6551 registry is </w:t>
      </w:r>
      <w:r>
        <w:rPr>
          <w:rFonts w:ascii="Georgia" w:hAnsi="Georgia"/>
          <w:b/>
          <w:color w:val="131C1B"/>
          <w:sz w:val="20"/>
        </w:rPr>
        <w:t>custom rather than canonical</w:t>
      </w:r>
      <w:r>
        <w:rPr>
          <w:rFonts w:ascii="Georgia" w:hAnsi="Georgia"/>
          <w:color w:val="131C1B"/>
          <w:sz w:val="20"/>
        </w:rPr>
        <w:t xml:space="preserve"> — we confirmed the divergence, which means generic wallets and indexers cannot discover its bears' accounts. And its activation reset is a </w:t>
      </w:r>
      <w:r>
        <w:rPr>
          <w:rFonts w:ascii="Consolas" w:hAnsi="Consolas"/>
          <w:color w:val="131C1B"/>
          <w:sz w:val="19"/>
        </w:rPr>
        <w:t>try … catch {}</w:t>
      </w:r>
      <w:r>
        <w:rPr>
          <w:rFonts w:ascii="Georgia" w:hAnsi="Georgia"/>
          <w:color w:val="131C1B"/>
          <w:sz w:val="20"/>
        </w:rPr>
        <w:t xml:space="preserve"> into a separate manager, which </w:t>
      </w:r>
      <w:r>
        <w:rPr>
          <w:rFonts w:ascii="Georgia" w:hAnsi="Georgia"/>
          <w:b/>
          <w:color w:val="131C1B"/>
          <w:sz w:val="20"/>
        </w:rPr>
        <w:t>fails open</w:t>
      </w:r>
      <w:r>
        <w:rPr>
          <w:rFonts w:ascii="Georgia" w:hAnsi="Georgia"/>
          <w:color w:val="131C1B"/>
          <w:sz w:val="20"/>
        </w:rPr>
        <w:t xml:space="preserve">: if that manager misbehaves, the sale completes and the seller's level survives on the buyer's bear. </w:t>
      </w:r>
      <w:r>
        <w:rPr>
          <w:rFonts w:ascii="Georgia" w:hAnsi="Georgia"/>
          <w:b/>
          <w:color w:val="131C1B"/>
          <w:sz w:val="20"/>
        </w:rPr>
        <w:t>This is Q14.</w:t>
      </w:r>
    </w:p>
    <w:p>
      <w:r>
        <w:br w:type="page"/>
      </w:r>
    </w:p>
    <w:p>
      <w:pPr>
        <w:keepNext/>
        <w:keepLines/>
        <w:spacing w:after="40"/>
      </w:pPr>
      <w:r>
        <w:rPr>
          <w:rFonts w:ascii="Calibri" w:hAnsi="Calibri"/>
          <w:b/>
          <w:color w:val="0E5A4F"/>
          <w:sz w:val="34"/>
        </w:rPr>
        <w:t>A · Information we need</w:t>
      </w:r>
    </w:p>
    <w:p>
      <w:pPr>
        <w:spacing w:after="320"/>
        <w:keepNext/>
        <w:keepLines/>
        <w:pBdr>
          <w:bottom w:val="single" w:sz="6" w:space="6" w:color="D6DEDB"/>
        </w:pBdr>
      </w:pPr>
      <w:r>
        <w:rPr>
          <w:rFonts w:ascii="Consolas" w:hAnsi="Consolas"/>
          <w:color w:val="788884"/>
          <w:sz w:val="16"/>
        </w:rPr>
        <w:t>7 items · no decisions required</w:t>
      </w:r>
    </w:p>
    <w:p>
      <w:pPr>
        <w:keepNext/>
        <w:keepLines/>
        <w:spacing w:before="300" w:after="40"/>
      </w:pPr>
      <w:r>
        <w:rPr>
          <w:rFonts w:ascii="Consolas" w:hAnsi="Consolas"/>
          <w:b/>
          <w:color w:val="7E5C0E"/>
          <w:sz w:val="18"/>
        </w:rPr>
        <w:t>A1</w:t>
      </w:r>
      <w:r>
        <w:rPr>
          <w:rFonts w:ascii="Calibri" w:hAnsi="Calibri"/>
          <w:b/>
          <w:color w:val="7E5C0E"/>
          <w:sz w:val="15"/>
          <w:spacing w:val="26"/>
        </w:rPr>
        <w:t xml:space="preserve">   INFORMATION</w:t>
      </w:r>
    </w:p>
    <w:p>
      <w:pPr>
        <w:keepNext/>
        <w:keepLines/>
        <w:spacing w:after="140"/>
      </w:pPr>
      <w:r>
        <w:rPr>
          <w:rFonts w:ascii="Calibri" w:hAnsi="Calibri"/>
          <w:b/>
          <w:color w:val="131C1B"/>
          <w:sz w:val="26"/>
        </w:rPr>
        <w:t>The $MNTD token</w:t>
      </w:r>
    </w:p>
    <w:p>
      <w:pPr>
        <w:spacing w:after="140"/>
      </w:pPr>
      <w:r>
        <w:rPr>
          <w:rFonts w:ascii="Georgia" w:hAnsi="Georgia"/>
          <w:color w:val="131C1B"/>
          <w:sz w:val="20"/>
        </w:rPr>
        <w:t xml:space="preserve">We need its deployed address on Robinhood Chain, its decimals, and specifically </w:t>
      </w:r>
      <w:r>
        <w:rPr>
          <w:rFonts w:ascii="Georgia" w:hAnsi="Georgia"/>
          <w:b/>
          <w:color w:val="131C1B"/>
          <w:sz w:val="20"/>
        </w:rPr>
        <w:t>which burn function it exposes</w:t>
      </w:r>
      <w:r>
        <w:rPr>
          <w:rFonts w:ascii="Georgia" w:hAnsi="Georgia"/>
          <w:color w:val="131C1B"/>
          <w:sz w:val="20"/>
        </w:rPr>
        <w:t>: one the holder calls on their own balance, one that lets an approved contract burn on their behalf, or none. Also: who can create new supply, and is the total fixed?</w:t>
      </w:r>
    </w:p>
    <w:p>
      <w:pPr>
        <w:spacing w:after="140"/>
      </w:pPr>
      <w:r>
        <w:rPr>
          <w:rFonts w:ascii="Georgia" w:hAnsi="Georgia"/>
          <w:color w:val="4B5A57"/>
          <w:sz w:val="19"/>
        </w:rPr>
        <w:t>Why it matters: activation must permanently remove tokens from supply. If the token only allows holders to burn their own balance, activation becomes a two-transaction process for the customer. That changes the portal's user experience, so we need it settled before designing the flow.</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7E5C0E"/>
          <w:sz w:val="18"/>
        </w:rPr>
        <w:t>A2</w:t>
      </w:r>
      <w:r>
        <w:rPr>
          <w:rFonts w:ascii="Calibri" w:hAnsi="Calibri"/>
          <w:b/>
          <w:color w:val="7E5C0E"/>
          <w:sz w:val="15"/>
          <w:spacing w:val="26"/>
        </w:rPr>
        <w:t xml:space="preserve">   INFORMATION</w:t>
      </w:r>
    </w:p>
    <w:p>
      <w:pPr>
        <w:keepNext/>
        <w:keepLines/>
        <w:spacing w:after="140"/>
      </w:pPr>
      <w:r>
        <w:rPr>
          <w:rFonts w:ascii="Calibri" w:hAnsi="Calibri"/>
          <w:b/>
          <w:color w:val="131C1B"/>
          <w:sz w:val="26"/>
        </w:rPr>
        <w:t>MINT Status</w:t>
      </w:r>
    </w:p>
    <w:p>
      <w:pPr>
        <w:spacing w:after="140"/>
      </w:pPr>
      <w:r>
        <w:rPr>
          <w:rFonts w:ascii="Georgia" w:hAnsi="Georgia"/>
          <w:color w:val="131C1B"/>
          <w:sz w:val="20"/>
        </w:rPr>
        <w:t>Is MINT Status represented on-chain? If so, the contract address and the function that returns a customer's current tier. If not, confirm that the boost is applied entirely inside your platform and that the contracts only need to publish the bear's level for your backend to read.</w:t>
      </w:r>
    </w:p>
    <w:p>
      <w:pPr>
        <w:spacing w:after="140"/>
      </w:pPr>
      <w:r>
        <w:rPr>
          <w:rFonts w:ascii="Georgia" w:hAnsi="Georgia"/>
          <w:color w:val="4B5A57"/>
          <w:sz w:val="19"/>
        </w:rPr>
        <w:t>Your email describes a “MINT Status / Rewards integration” contract, which implies there is something on-chain to integrate with. If there isn't, that fourth contract may reduce to a couple of read functions on the activation contract — a saving worth knowing about now.</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7E5C0E"/>
          <w:sz w:val="18"/>
        </w:rPr>
        <w:t>A3</w:t>
      </w:r>
      <w:r>
        <w:rPr>
          <w:rFonts w:ascii="Calibri" w:hAnsi="Calibri"/>
          <w:b/>
          <w:color w:val="7E5C0E"/>
          <w:sz w:val="15"/>
          <w:spacing w:val="26"/>
        </w:rPr>
        <w:t xml:space="preserve">   INFORMATION</w:t>
      </w:r>
    </w:p>
    <w:p>
      <w:pPr>
        <w:keepNext/>
        <w:keepLines/>
        <w:spacing w:after="140"/>
      </w:pPr>
      <w:r>
        <w:rPr>
          <w:rFonts w:ascii="Calibri" w:hAnsi="Calibri"/>
          <w:b/>
          <w:color w:val="131C1B"/>
          <w:sz w:val="26"/>
        </w:rPr>
        <w:t>Confirm the tier table</w:t>
      </w:r>
    </w:p>
    <w:p>
      <w:pPr>
        <w:spacing w:after="140"/>
      </w:pPr>
      <w:r>
        <w:rPr>
          <w:rFonts w:ascii="Georgia" w:hAnsi="Georgia"/>
          <w:color w:val="131C1B"/>
          <w:sz w:val="20"/>
        </w:rPr>
        <w:t>Please confirm the five cumulative burn thresholds (5,000 / 15,000 / 40,000 / 100,000 / 250,000 $MNTD), the five weights (100 / 120 / 175 / 240 / 350) and the five Status multipliers (+2% / +4% / +6% / +8% / +10%). We will store the cumulative figures only and derive each step cost from them, so the two columns can never disagree.</w:t>
      </w:r>
    </w:p>
    <w:p>
      <w:pPr>
        <w:spacing w:after="140"/>
      </w:pPr>
      <w:r>
        <w:rPr>
          <w:rFonts w:ascii="Georgia" w:hAnsi="Georgia"/>
          <w:color w:val="4B5A57"/>
          <w:sz w:val="19"/>
        </w:rPr>
        <w:t>We read your illustrative rewards (approximately $4.19 rising to $14.68, a 3.5× spread) as confirming that 100 to 350 are raw share units rather than percentage multipliers. Please confirm.</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7E5C0E"/>
          <w:sz w:val="18"/>
        </w:rPr>
        <w:t>A4</w:t>
      </w:r>
      <w:r>
        <w:rPr>
          <w:rFonts w:ascii="Calibri" w:hAnsi="Calibri"/>
          <w:b/>
          <w:color w:val="7E5C0E"/>
          <w:sz w:val="15"/>
          <w:spacing w:val="26"/>
        </w:rPr>
        <w:t xml:space="preserve">   INFORMATION</w:t>
      </w:r>
    </w:p>
    <w:p>
      <w:pPr>
        <w:keepNext/>
        <w:keepLines/>
        <w:spacing w:after="140"/>
      </w:pPr>
      <w:r>
        <w:rPr>
          <w:rFonts w:ascii="Calibri" w:hAnsi="Calibri"/>
          <w:b/>
          <w:color w:val="131C1B"/>
          <w:sz w:val="26"/>
        </w:rPr>
        <w:t>Exact names and text</w:t>
      </w:r>
    </w:p>
    <w:p>
      <w:pPr>
        <w:spacing w:after="140"/>
      </w:pPr>
      <w:r>
        <w:rPr>
          <w:rFonts w:ascii="Georgia" w:hAnsi="Georgia"/>
          <w:color w:val="131C1B"/>
          <w:sz w:val="20"/>
        </w:rPr>
        <w:t>Three variants appear across your documents: “MintABear” in the brief, “MINTaBear NFTs” as the specification's title, and “MINT Bear #1234” / “MINT Bears” in the requirement rows. These strings are permanent once deployed, so we need the final versions: collection name, symbol, per-token name format, description, and the external link — presumably the getminted.io NFT tab.</w:t>
      </w:r>
    </w:p>
    <w:p>
      <w:pPr>
        <w:spacing w:after="140"/>
      </w:pPr>
      <w:r>
        <w:rPr>
          <w:rFonts w:ascii="Georgia" w:hAnsi="Georgia"/>
          <w:color w:val="4B5A57"/>
          <w:sz w:val="19"/>
        </w:rPr>
        <w:t xml:space="preserve">One hard constraint from OpenSea: the token symbol and the chain </w:t>
      </w:r>
      <w:r>
        <w:rPr>
          <w:rFonts w:ascii="Georgia" w:hAnsi="Georgia"/>
          <w:b/>
          <w:color w:val="4B5A57"/>
          <w:sz w:val="19"/>
        </w:rPr>
        <w:t>cannot be changed after deployment</w:t>
      </w:r>
      <w:r>
        <w:rPr>
          <w:rFonts w:ascii="Georgia" w:hAnsi="Georgia"/>
          <w:color w:val="4B5A57"/>
          <w:sz w:val="19"/>
        </w:rPr>
        <w:t>. Neither can the maximum supply once minting has begun.</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7E5C0E"/>
          <w:sz w:val="18"/>
        </w:rPr>
        <w:t>A5</w:t>
      </w:r>
      <w:r>
        <w:rPr>
          <w:rFonts w:ascii="Calibri" w:hAnsi="Calibri"/>
          <w:b/>
          <w:color w:val="7E5C0E"/>
          <w:sz w:val="15"/>
          <w:spacing w:val="26"/>
        </w:rPr>
        <w:t xml:space="preserve">   INFORMATION</w:t>
      </w:r>
    </w:p>
    <w:p>
      <w:pPr>
        <w:keepNext/>
        <w:keepLines/>
        <w:spacing w:after="140"/>
      </w:pPr>
      <w:r>
        <w:rPr>
          <w:rFonts w:ascii="Calibri" w:hAnsi="Calibri"/>
          <w:b/>
          <w:color w:val="131C1B"/>
          <w:sz w:val="26"/>
        </w:rPr>
        <w:t>Who controls the contracts</w:t>
      </w:r>
    </w:p>
    <w:p>
      <w:pPr>
        <w:spacing w:after="140"/>
      </w:pPr>
      <w:r>
        <w:rPr>
          <w:rFonts w:ascii="Georgia" w:hAnsi="Georgia"/>
          <w:color w:val="131C1B"/>
          <w:sz w:val="20"/>
        </w:rPr>
        <w:t>The address that will own the deployed contracts, and if it is a multisig, its signing threshold.</w:t>
      </w:r>
    </w:p>
    <w:p>
      <w:pPr>
        <w:spacing w:after="140"/>
      </w:pPr>
      <w:r>
        <w:rPr>
          <w:rFonts w:ascii="Georgia" w:hAnsi="Georgia"/>
          <w:color w:val="4B5A57"/>
          <w:sz w:val="19"/>
        </w:rPr>
        <w:t xml:space="preserve">Worth seeing what the reference project did here, as a counter-example: its owner is a </w:t>
      </w:r>
      <w:r>
        <w:rPr>
          <w:rFonts w:ascii="Georgia" w:hAnsi="Georgia"/>
          <w:b/>
          <w:color w:val="4B5A57"/>
          <w:sz w:val="19"/>
        </w:rPr>
        <w:t>plain single-key wallet, not a multisig</w:t>
      </w:r>
      <w:r>
        <w:rPr>
          <w:rFonts w:ascii="Georgia" w:hAnsi="Georgia"/>
          <w:color w:val="4B5A57"/>
          <w:sz w:val="19"/>
        </w:rPr>
        <w:t>, holding ten separate powers including a global switch that can disable all transfers. We would not recommend shipping that. Also: the Safe multisig contracts are deployed on this chain, but we could not confirm Safe's web interface supports it — verify before we hand over ownership.</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7E5C0E"/>
          <w:sz w:val="18"/>
        </w:rPr>
        <w:t>A6</w:t>
      </w:r>
      <w:r>
        <w:rPr>
          <w:rFonts w:ascii="Calibri" w:hAnsi="Calibri"/>
          <w:b/>
          <w:color w:val="7E5C0E"/>
          <w:sz w:val="15"/>
          <w:spacing w:val="26"/>
        </w:rPr>
        <w:t xml:space="preserve">   INFORMATION</w:t>
      </w:r>
    </w:p>
    <w:p>
      <w:pPr>
        <w:keepNext/>
        <w:keepLines/>
        <w:spacing w:after="140"/>
      </w:pPr>
      <w:r>
        <w:rPr>
          <w:rFonts w:ascii="Calibri" w:hAnsi="Calibri"/>
          <w:b/>
          <w:color w:val="131C1B"/>
          <w:sz w:val="26"/>
        </w:rPr>
        <w:t>How the artwork will be delivered</w:t>
      </w:r>
    </w:p>
    <w:p>
      <w:pPr>
        <w:spacing w:after="140"/>
      </w:pPr>
      <w:r>
        <w:rPr>
          <w:rFonts w:ascii="Georgia" w:hAnsi="Georgia"/>
          <w:color w:val="131C1B"/>
          <w:sz w:val="20"/>
        </w:rPr>
        <w:t>For 4,444 bears across eleven visual traits: the delivery format — layered vector files per trait, flat raster images, or trait assignments only — who owns rarity assignment, and whether the layer set is final.</w:t>
      </w:r>
    </w:p>
    <w:p>
      <w:pPr>
        <w:spacing w:after="140"/>
      </w:pPr>
      <w:r>
        <w:rPr>
          <w:rFonts w:ascii="Georgia" w:hAnsi="Georgia"/>
          <w:color w:val="4B5A57"/>
          <w:sz w:val="19"/>
        </w:rPr>
        <w:t>This is the largest work item and the one most likely to move the timeline; it cannot start without the assets. For scale: the reference project's on-chain renderer is 45,546 bytes of contract code, which is only possible because this chain allows contracts roughly four times Ethereum's limit.</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7E5C0E"/>
          <w:sz w:val="18"/>
        </w:rPr>
        <w:t>A7</w:t>
      </w:r>
      <w:r>
        <w:rPr>
          <w:rFonts w:ascii="Calibri" w:hAnsi="Calibri"/>
          <w:b/>
          <w:color w:val="7E5C0E"/>
          <w:sz w:val="15"/>
          <w:spacing w:val="26"/>
        </w:rPr>
        <w:t xml:space="preserve">   INFORMATION</w:t>
      </w:r>
    </w:p>
    <w:p>
      <w:pPr>
        <w:keepNext/>
        <w:keepLines/>
        <w:spacing w:after="140"/>
      </w:pPr>
      <w:r>
        <w:rPr>
          <w:rFonts w:ascii="Calibri" w:hAnsi="Calibri"/>
          <w:b/>
          <w:color w:val="131C1B"/>
          <w:sz w:val="26"/>
        </w:rPr>
        <w:t>Timeline, audit and compiler</w:t>
      </w:r>
    </w:p>
    <w:p>
      <w:pPr>
        <w:spacing w:after="140"/>
      </w:pPr>
      <w:r>
        <w:rPr>
          <w:rFonts w:ascii="Georgia" w:hAnsi="Georgia"/>
          <w:color w:val="131C1B"/>
          <w:sz w:val="20"/>
        </w:rPr>
        <w:t>Target mint date; whether an external audit is budgeted and whether a firm has been chosen; and whether that firm requires a specific compiler version.</w:t>
      </w:r>
    </w:p>
    <w:p>
      <w:pPr>
        <w:spacing w:after="140"/>
      </w:pPr>
      <w:r>
        <w:rPr>
          <w:rFonts w:ascii="Georgia" w:hAnsi="Georgia"/>
          <w:color w:val="4B5A57"/>
          <w:sz w:val="19"/>
        </w:rPr>
        <w:t>A caution on audit claims generally: the reference project's documentation cites an audit with “zero findings” on a 621-line bespoke contract, with no report linked and the firm's name spelled two different ways. Zero findings is a warning sign, not a reassurance.</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r>
        <w:br w:type="page"/>
      </w:r>
    </w:p>
    <w:p>
      <w:pPr>
        <w:keepNext/>
        <w:keepLines/>
        <w:spacing w:after="40"/>
      </w:pPr>
      <w:r>
        <w:rPr>
          <w:rFonts w:ascii="Calibri" w:hAnsi="Calibri"/>
          <w:b/>
          <w:color w:val="0E5A4F"/>
          <w:sz w:val="34"/>
        </w:rPr>
        <w:t>1 · Mint architecture</w:t>
      </w:r>
    </w:p>
    <w:p>
      <w:pPr>
        <w:spacing w:after="320"/>
        <w:keepNext/>
        <w:keepLines/>
        <w:pBdr>
          <w:bottom w:val="single" w:sz="6" w:space="6" w:color="D6DEDB"/>
        </w:pBdr>
      </w:pPr>
      <w:r>
        <w:rPr>
          <w:rFonts w:ascii="Consolas" w:hAnsi="Consolas"/>
          <w:color w:val="788884"/>
          <w:sz w:val="16"/>
        </w:rPr>
        <w:t>Q1–Q4 · the biggest change from your plan</w:t>
      </w:r>
    </w:p>
    <w:p>
      <w:pPr>
        <w:keepNext/>
        <w:keepLines/>
        <w:spacing w:before="300" w:after="40"/>
      </w:pPr>
      <w:r>
        <w:rPr>
          <w:rFonts w:ascii="Consolas" w:hAnsi="Consolas"/>
          <w:b/>
          <w:color w:val="9C3B2C"/>
          <w:sz w:val="18"/>
        </w:rPr>
        <w:t>Q1</w:t>
      </w:r>
      <w:r>
        <w:rPr>
          <w:rFonts w:ascii="Calibri" w:hAnsi="Calibri"/>
          <w:b/>
          <w:color w:val="9C3B2C"/>
          <w:sz w:val="15"/>
          <w:spacing w:val="26"/>
        </w:rPr>
        <w:t xml:space="preserve">   BLOCKING</w:t>
      </w:r>
    </w:p>
    <w:p>
      <w:pPr>
        <w:keepNext/>
        <w:keepLines/>
        <w:spacing w:after="140"/>
      </w:pPr>
      <w:r>
        <w:rPr>
          <w:rFonts w:ascii="Calibri" w:hAnsi="Calibri"/>
          <w:b/>
          <w:color w:val="131C1B"/>
          <w:sz w:val="26"/>
        </w:rPr>
        <w:t>Who runs the mint — OpenSea Studio, or getminted.io?</w:t>
      </w:r>
    </w:p>
    <w:p>
      <w:pPr>
        <w:spacing w:after="140"/>
      </w:pPr>
      <w:r>
        <w:rPr>
          <w:rFonts w:ascii="Georgia" w:hAnsi="Georgia"/>
          <w:color w:val="131C1B"/>
          <w:sz w:val="20"/>
        </w:rPr>
        <w:t>Your plan delegates the mint to OpenSea Studio, which is what saves the most work. Our verification says Studio can genuinely do that on this chain — but not while also delivering three things this project has committed to. You have to give up one side or the other.</w:t>
      </w:r>
    </w:p>
    <w:p>
      <w:pPr>
        <w:spacing w:after="140"/>
      </w:pPr>
      <w:r>
        <w:rPr>
          <w:rFonts w:ascii="Georgia" w:hAnsi="Georgia"/>
          <w:color w:val="131C1B"/>
          <w:sz w:val="20"/>
        </w:rPr>
        <w:t xml:space="preserve">The three collisions, each confirmed rather than inferred: </w:t>
      </w:r>
      <w:r>
        <w:rPr>
          <w:rFonts w:ascii="Georgia" w:hAnsi="Georgia"/>
          <w:b/>
          <w:color w:val="131C1B"/>
          <w:sz w:val="20"/>
        </w:rPr>
        <w:t>on-chain images</w:t>
      </w:r>
      <w:r>
        <w:rPr>
          <w:rFonts w:ascii="Georgia" w:hAnsi="Georgia"/>
          <w:color w:val="131C1B"/>
          <w:sz w:val="20"/>
        </w:rPr>
        <w:t xml:space="preserve"> are impossible in a Studio-deployed contract, because Studio deploys clones of one shared implementation whose </w:t>
      </w:r>
      <w:r>
        <w:rPr>
          <w:rFonts w:ascii="Consolas" w:hAnsi="Consolas"/>
          <w:color w:val="131C1B"/>
          <w:sz w:val="19"/>
        </w:rPr>
        <w:t>tokenURI</w:t>
      </w:r>
      <w:r>
        <w:rPr>
          <w:rFonts w:ascii="Georgia" w:hAnsi="Georgia"/>
          <w:color w:val="131C1B"/>
          <w:sz w:val="20"/>
        </w:rPr>
        <w:t xml:space="preserve"> is fixed to an off-chain address. </w:t>
      </w:r>
      <w:r>
        <w:rPr>
          <w:rFonts w:ascii="Georgia" w:hAnsi="Georgia"/>
          <w:b/>
          <w:color w:val="131C1B"/>
          <w:sz w:val="20"/>
        </w:rPr>
        <w:t>Daily-changing eligibility</w:t>
      </w:r>
      <w:r>
        <w:rPr>
          <w:rFonts w:ascii="Georgia" w:hAnsi="Georgia"/>
          <w:color w:val="131C1B"/>
          <w:sz w:val="20"/>
        </w:rPr>
        <w:t xml:space="preserve"> is impossible, because Studio's allowlist is a static file, capped at 30,000 addresses per stage, frozen once minting starts, and signed with OpenSea's key. </w:t>
      </w:r>
      <w:r>
        <w:rPr>
          <w:rFonts w:ascii="Georgia" w:hAnsi="Georgia"/>
          <w:b/>
          <w:color w:val="131C1B"/>
          <w:sz w:val="20"/>
        </w:rPr>
        <w:t>Sponsored gas</w:t>
      </w:r>
      <w:r>
        <w:rPr>
          <w:rFonts w:ascii="Georgia" w:hAnsi="Georgia"/>
          <w:color w:val="131C1B"/>
          <w:sz w:val="20"/>
        </w:rPr>
        <w:t xml:space="preserve"> is not offered on OpenSea's mint page, so every customer needs a funded wallet.</w:t>
      </w:r>
    </w:p>
    <w:p>
      <w:pPr>
        <w:keepLines/>
        <w:spacing w:before="40" w:after="40"/>
        <w:ind w:left="283"/>
        <w:shd w:val="clear" w:fill="F2F5F4"/>
      </w:pPr>
      <w:r>
        <w:rPr>
          <w:rFonts w:ascii="Consolas" w:hAnsi="Consolas"/>
          <w:b/>
          <w:color w:val="0E5A4F"/>
          <w:sz w:val="19"/>
        </w:rPr>
        <w:t xml:space="preserve">[   ]  a   </w:t>
      </w:r>
      <w:r>
        <w:rPr>
          <w:rFonts w:ascii="Georgia" w:hAnsi="Georgia"/>
          <w:b/>
          <w:color w:val="131C1B"/>
          <w:sz w:val="20"/>
        </w:rPr>
        <w:t>Studio runs the mint.</w:t>
      </w:r>
      <w:r>
        <w:rPr>
          <w:rFonts w:ascii="Georgia" w:hAnsi="Georgia"/>
          <w:color w:val="131C1B"/>
          <w:sz w:val="20"/>
        </w:rPr>
        <w:t xml:space="preserve"> Give up on-chain images (use conventional off-chain metadata), accept a frozen snapshot allowlist, and let customers pay their own gas. Least work by a wide margin; the mint page, stages, dates and limits all come free.</w:t>
      </w:r>
    </w:p>
    <w:p>
      <w:pPr>
        <w:keepLines/>
        <w:spacing w:before="40" w:after="40"/>
        <w:ind w:left="283"/>
        <w:shd w:val="clear" w:fill="F2F5F4"/>
      </w:pPr>
      <w:r>
        <w:rPr>
          <w:rFonts w:ascii="Consolas" w:hAnsi="Consolas"/>
          <w:b/>
          <w:color w:val="0E5A4F"/>
          <w:sz w:val="19"/>
        </w:rPr>
        <w:t xml:space="preserve">[   ]  b   </w:t>
      </w:r>
      <w:r>
        <w:rPr>
          <w:rFonts w:ascii="Georgia" w:hAnsi="Georgia"/>
          <w:b/>
          <w:color w:val="131C1B"/>
          <w:sz w:val="20"/>
        </w:rPr>
        <w:t>We run the mint on getminted.io.</w:t>
      </w:r>
      <w:r>
        <w:rPr>
          <w:rFonts w:ascii="Georgia" w:hAnsi="Georgia"/>
          <w:color w:val="131C1B"/>
          <w:sz w:val="20"/>
        </w:rPr>
        <w:t xml:space="preserve"> Deploy our own SeaDrop-compatible contract with our own signing key. Keeps on-chain images, daily eligibility from your customer database, and a genuinely free mint. OpenSea remains the secondary market and can still host the drop landing page. Adds a mint page and a signing service to scope.</w:t>
      </w:r>
    </w:p>
    <w:p>
      <w:pPr>
        <w:keepLines/>
        <w:spacing w:before="40" w:after="40"/>
        <w:ind w:left="283"/>
        <w:shd w:val="clear" w:fill="F2F5F4"/>
      </w:pPr>
      <w:r>
        <w:rPr>
          <w:rFonts w:ascii="Consolas" w:hAnsi="Consolas"/>
          <w:b/>
          <w:color w:val="0E5A4F"/>
          <w:sz w:val="19"/>
        </w:rPr>
        <w:t xml:space="preserve">[   ]  c   </w:t>
      </w:r>
      <w:r>
        <w:rPr>
          <w:rFonts w:ascii="Georgia" w:hAnsi="Georgia"/>
          <w:b/>
          <w:color w:val="131C1B"/>
          <w:sz w:val="20"/>
        </w:rPr>
        <w:t>Split it.</w:t>
      </w:r>
      <w:r>
        <w:rPr>
          <w:rFonts w:ascii="Georgia" w:hAnsi="Georgia"/>
          <w:color w:val="131C1B"/>
          <w:sz w:val="20"/>
        </w:rPr>
        <w:t xml:space="preserve"> We run a signed allowlist phase for casino customers; Studio runs a public phase afterwards for whatever is left.</w:t>
      </w:r>
    </w:p>
    <w:p>
      <w:pPr>
        <w:keepNext/>
        <w:keepLines/>
        <w:spacing w:after="60" w:before="0"/>
        <w:ind w:left="57"/>
      </w:pPr>
      <w:r>
        <w:rPr>
          <w:rFonts w:ascii="Calibri" w:hAnsi="Calibri"/>
          <w:b/>
          <w:color w:val="0E5A4F"/>
          <w:sz w:val="15"/>
          <w:spacing w:val="24"/>
        </w:rPr>
        <w:t>OUR RECOMMENDATION</w:t>
      </w:r>
    </w:p>
    <w:p>
      <w:pPr>
        <w:spacing w:after="100"/>
        <w:ind w:left="142"/>
        <w:shd w:val="clear" w:fill="EEF5F2"/>
        <w:pBdr>
          <w:left w:val="single" w:sz="18" w:space="8" w:color="0E5A4F"/>
        </w:pBdr>
      </w:pPr>
      <w:r>
        <w:rPr>
          <w:rFonts w:ascii="Georgia" w:hAnsi="Georgia"/>
          <w:color w:val="131C1B"/>
          <w:sz w:val="20"/>
        </w:rPr>
        <w:t>Option (b). This is the pattern SeaDrop's own documentation names — “a drop is hosted on OpenSea, with an optional mint hosted elsewhere” — and OpenSea explicitly supports contracts you deployed yourself, provided we do not modify the SeaDrop minting functions.</w:t>
      </w:r>
    </w:p>
    <w:p>
      <w:pPr>
        <w:spacing w:after="100"/>
        <w:ind w:left="142"/>
        <w:shd w:val="clear" w:fill="EEF5F2"/>
        <w:pBdr>
          <w:left w:val="single" w:sz="18" w:space="8" w:color="0E5A4F"/>
        </w:pBdr>
      </w:pPr>
      <w:r>
        <w:rPr>
          <w:rFonts w:ascii="Georgia" w:hAnsi="Georgia"/>
          <w:color w:val="131C1B"/>
          <w:sz w:val="20"/>
        </w:rPr>
        <w:t>It is the honest reading of your own requirements: an allowlist drawn from a live casino customer database cannot be a file uploaded before the drop opens, and you are already building the getminted.io portal, so the mint page is an addition to a frontend that exists rather than a new product. Sponsored gas matters more here than on a typical drop, because your audience is casino customers who may never have funded a wallet.</w:t>
      </w:r>
    </w:p>
    <w:p>
      <w:pPr>
        <w:spacing w:after="100"/>
        <w:ind w:left="142"/>
        <w:shd w:val="clear" w:fill="EEF5F2"/>
        <w:pBdr>
          <w:left w:val="single" w:sz="18" w:space="8" w:color="0E5A4F"/>
        </w:pBdr>
      </w:pPr>
      <w:r>
        <w:rPr>
          <w:rFonts w:ascii="Georgia" w:hAnsi="Georgia"/>
          <w:color w:val="131C1B"/>
          <w:sz w:val="20"/>
        </w:rPr>
        <w:t>Be clear about the cost, because it is the largest change to your plan: the mint page, the stage logic and the signing service come back into scope. If reach on launch day matters less than shipping quickly, (a) is a legitimate answer — but then the on-chain image requirement has to be formally dropped, and we should hear that explicitly rather than discover it later.</w:t>
      </w:r>
    </w:p>
    <w:p>
      <w:pPr>
        <w:spacing w:after="160"/>
        <w:ind w:left="142"/>
        <w:shd w:val="clear" w:fill="EEF5F2"/>
        <w:pBdr>
          <w:left w:val="single" w:sz="18" w:space="8" w:color="0E5A4F"/>
        </w:pBdr>
      </w:pPr>
      <w:r>
        <w:rPr>
          <w:rFonts w:ascii="Georgia" w:hAnsi="Georgia"/>
          <w:color w:val="131C1B"/>
          <w:sz w:val="20"/>
        </w:rPr>
        <w:t>Two open items we will test on testnet either way, because public documentation does not settle them: whether Studio will attach to and manage a contract we deployed ourselves, and whether on-chain metadata renders correctly in a Studio-managed drop.</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Q2</w:t>
      </w:r>
      <w:r>
        <w:rPr>
          <w:rFonts w:ascii="Calibri" w:hAnsi="Calibri"/>
          <w:b/>
          <w:color w:val="0E5A4F"/>
          <w:sz w:val="15"/>
          <w:spacing w:val="26"/>
        </w:rPr>
        <w:t xml:space="preserve">   DECISION</w:t>
      </w:r>
    </w:p>
    <w:p>
      <w:pPr>
        <w:keepNext/>
        <w:keepLines/>
        <w:spacing w:after="140"/>
      </w:pPr>
      <w:r>
        <w:rPr>
          <w:rFonts w:ascii="Calibri" w:hAnsi="Calibri"/>
          <w:b/>
          <w:color w:val="131C1B"/>
          <w:sz w:val="26"/>
        </w:rPr>
        <w:t>Where does mint eligibility come from?</w:t>
      </w:r>
    </w:p>
    <w:p>
      <w:pPr>
        <w:spacing w:after="140"/>
      </w:pPr>
      <w:r>
        <w:rPr>
          <w:rFonts w:ascii="Georgia" w:hAnsi="Georgia"/>
          <w:color w:val="131C1B"/>
          <w:sz w:val="20"/>
        </w:rPr>
        <w:t>Assuming any allowlist at all: what defines it, and what is the limit per person?</w:t>
      </w:r>
    </w:p>
    <w:p>
      <w:pPr>
        <w:keepLines/>
        <w:spacing w:before="40" w:after="40"/>
        <w:ind w:left="283"/>
        <w:shd w:val="clear" w:fill="F2F5F4"/>
      </w:pPr>
      <w:r>
        <w:rPr>
          <w:rFonts w:ascii="Consolas" w:hAnsi="Consolas"/>
          <w:b/>
          <w:color w:val="0E5A4F"/>
          <w:sz w:val="19"/>
        </w:rPr>
        <w:t xml:space="preserve">[   ]  a   </w:t>
      </w:r>
      <w:r>
        <w:rPr>
          <w:rFonts w:ascii="Georgia" w:hAnsi="Georgia"/>
          <w:color w:val="131C1B"/>
          <w:sz w:val="20"/>
        </w:rPr>
        <w:t>One bear per casino account, checked against your live customer database at the moment of minting. Requires option (b) or (c) in Q1.</w:t>
      </w:r>
    </w:p>
    <w:p>
      <w:pPr>
        <w:keepLines/>
        <w:spacing w:before="40" w:after="40"/>
        <w:ind w:left="283"/>
        <w:shd w:val="clear" w:fill="F2F5F4"/>
      </w:pPr>
      <w:r>
        <w:rPr>
          <w:rFonts w:ascii="Consolas" w:hAnsi="Consolas"/>
          <w:b/>
          <w:color w:val="0E5A4F"/>
          <w:sz w:val="19"/>
        </w:rPr>
        <w:t xml:space="preserve">[   ]  b   </w:t>
      </w:r>
      <w:r>
        <w:rPr>
          <w:rFonts w:ascii="Georgia" w:hAnsi="Georgia"/>
          <w:color w:val="131C1B"/>
          <w:sz w:val="20"/>
        </w:rPr>
        <w:t>One bear per wallet from a snapshot exported before the drop opens. Works with Studio.</w:t>
      </w:r>
    </w:p>
    <w:p>
      <w:pPr>
        <w:keepLines/>
        <w:spacing w:before="40" w:after="40"/>
        <w:ind w:left="283"/>
        <w:shd w:val="clear" w:fill="F2F5F4"/>
      </w:pPr>
      <w:r>
        <w:rPr>
          <w:rFonts w:ascii="Consolas" w:hAnsi="Consolas"/>
          <w:b/>
          <w:color w:val="0E5A4F"/>
          <w:sz w:val="19"/>
        </w:rPr>
        <w:t xml:space="preserve">[   ]  c   </w:t>
      </w:r>
      <w:r>
        <w:rPr>
          <w:rFonts w:ascii="Georgia" w:hAnsi="Georgia"/>
          <w:color w:val="131C1B"/>
          <w:sz w:val="20"/>
        </w:rPr>
        <w:t>No allowlist — open public mint.</w:t>
      </w:r>
    </w:p>
    <w:p>
      <w:pPr>
        <w:keepNext/>
        <w:keepLines/>
        <w:spacing w:after="60" w:before="0"/>
        <w:ind w:left="57"/>
      </w:pPr>
      <w:r>
        <w:rPr>
          <w:rFonts w:ascii="Calibri" w:hAnsi="Calibri"/>
          <w:b/>
          <w:color w:val="0E5A4F"/>
          <w:sz w:val="15"/>
          <w:spacing w:val="24"/>
        </w:rPr>
        <w:t>OUR RECOMMENDATION</w:t>
      </w:r>
    </w:p>
    <w:p>
      <w:pPr>
        <w:spacing w:after="160"/>
        <w:ind w:left="142"/>
        <w:shd w:val="clear" w:fill="EEF5F2"/>
        <w:pBdr>
          <w:left w:val="single" w:sz="18" w:space="8" w:color="0E5A4F"/>
        </w:pBdr>
      </w:pPr>
      <w:r>
        <w:rPr>
          <w:rFonts w:ascii="Georgia" w:hAnsi="Georgia"/>
          <w:color w:val="131C1B"/>
          <w:sz w:val="20"/>
        </w:rPr>
        <w:t>Option (a), one per casino account rather than per wallet. Per-wallet limits are trivially defeated by using more wallets, which on a free mint means a handful of people take a meaningful share of 4,444 bears and the retention purpose of the launch is lost. Account-level eligibility is the thing you actually have and OpenSea does not.</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Q3</w:t>
      </w:r>
      <w:r>
        <w:rPr>
          <w:rFonts w:ascii="Calibri" w:hAnsi="Calibri"/>
          <w:b/>
          <w:color w:val="0E5A4F"/>
          <w:sz w:val="15"/>
          <w:spacing w:val="26"/>
        </w:rPr>
        <w:t xml:space="preserve">   DECISION</w:t>
      </w:r>
    </w:p>
    <w:p>
      <w:pPr>
        <w:keepNext/>
        <w:keepLines/>
        <w:spacing w:after="140"/>
      </w:pPr>
      <w:r>
        <w:rPr>
          <w:rFonts w:ascii="Calibri" w:hAnsi="Calibri"/>
          <w:b/>
          <w:color w:val="131C1B"/>
          <w:sz w:val="26"/>
        </w:rPr>
        <w:t>Who pays the gas to mint?</w:t>
      </w:r>
    </w:p>
    <w:p>
      <w:pPr>
        <w:spacing w:after="140"/>
      </w:pPr>
      <w:r>
        <w:rPr>
          <w:rFonts w:ascii="Georgia" w:hAnsi="Georgia"/>
          <w:color w:val="131C1B"/>
          <w:sz w:val="20"/>
        </w:rPr>
        <w:t>Both mechanisms exist on this chain: SeaDrop has a native third-party payer feature — which OpenSea itself uses here — and all three versions of the account-abstraction entry point are deployed, with commercial sponsorship providers available.</w:t>
      </w:r>
    </w:p>
    <w:p>
      <w:pPr>
        <w:keepLines/>
        <w:spacing w:before="40" w:after="40"/>
        <w:ind w:left="283"/>
        <w:shd w:val="clear" w:fill="F2F5F4"/>
      </w:pPr>
      <w:r>
        <w:rPr>
          <w:rFonts w:ascii="Consolas" w:hAnsi="Consolas"/>
          <w:b/>
          <w:color w:val="0E5A4F"/>
          <w:sz w:val="19"/>
        </w:rPr>
        <w:t xml:space="preserve">[   ]  a   </w:t>
      </w:r>
      <w:r>
        <w:rPr>
          <w:rFonts w:ascii="Georgia" w:hAnsi="Georgia"/>
          <w:color w:val="131C1B"/>
          <w:sz w:val="20"/>
        </w:rPr>
        <w:t>The customer pays. Nothing extra to build. Required if Q1 is (a).</w:t>
      </w:r>
    </w:p>
    <w:p>
      <w:pPr>
        <w:keepLines/>
        <w:spacing w:before="40" w:after="40"/>
        <w:ind w:left="283"/>
        <w:shd w:val="clear" w:fill="F2F5F4"/>
      </w:pPr>
      <w:r>
        <w:rPr>
          <w:rFonts w:ascii="Consolas" w:hAnsi="Consolas"/>
          <w:b/>
          <w:color w:val="0E5A4F"/>
          <w:sz w:val="19"/>
        </w:rPr>
        <w:t xml:space="preserve">[   ]  b   </w:t>
      </w:r>
      <w:r>
        <w:rPr>
          <w:rFonts w:ascii="Georgia" w:hAnsi="Georgia"/>
          <w:color w:val="131C1B"/>
          <w:sz w:val="20"/>
        </w:rPr>
        <w:t>You sponsor it, so the mint is genuinely free and needs no funded wallet.</w:t>
      </w:r>
    </w:p>
    <w:p>
      <w:pPr>
        <w:keepNext/>
        <w:keepLines/>
        <w:spacing w:after="60" w:before="0"/>
        <w:ind w:left="57"/>
      </w:pPr>
      <w:r>
        <w:rPr>
          <w:rFonts w:ascii="Calibri" w:hAnsi="Calibri"/>
          <w:b/>
          <w:color w:val="0E5A4F"/>
          <w:sz w:val="15"/>
          <w:spacing w:val="24"/>
        </w:rPr>
        <w:t>OUR RECOMMENDATION</w:t>
      </w:r>
    </w:p>
    <w:p>
      <w:pPr>
        <w:spacing w:after="160"/>
        <w:ind w:left="142"/>
        <w:shd w:val="clear" w:fill="EEF5F2"/>
        <w:pBdr>
          <w:left w:val="single" w:sz="18" w:space="8" w:color="0E5A4F"/>
        </w:pBdr>
      </w:pPr>
      <w:r>
        <w:rPr>
          <w:rFonts w:ascii="Georgia" w:hAnsi="Georgia"/>
          <w:color w:val="131C1B"/>
          <w:sz w:val="20"/>
        </w:rPr>
        <w:t>Option (b), if this launch is measured on reach. A mint costs roughly half a cent here, so the sponsorship budget for the entire collection is negligible; the cost is the integration, not the gas. “Fund a wallet first” is the single biggest point of drop-off for a customer who has never used one, and a free mint that costs the customer a step they do not understand is not free.</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Q4</w:t>
      </w:r>
      <w:r>
        <w:rPr>
          <w:rFonts w:ascii="Calibri" w:hAnsi="Calibri"/>
          <w:b/>
          <w:color w:val="0E5A4F"/>
          <w:sz w:val="15"/>
          <w:spacing w:val="26"/>
        </w:rPr>
        <w:t xml:space="preserve">   DECISION</w:t>
      </w:r>
    </w:p>
    <w:p>
      <w:pPr>
        <w:keepNext/>
        <w:keepLines/>
        <w:spacing w:after="140"/>
      </w:pPr>
      <w:r>
        <w:rPr>
          <w:rFonts w:ascii="Calibri" w:hAnsi="Calibri"/>
          <w:b/>
          <w:color w:val="131C1B"/>
          <w:sz w:val="26"/>
        </w:rPr>
        <w:t>Is any supply reserved?</w:t>
      </w:r>
    </w:p>
    <w:p>
      <w:pPr>
        <w:spacing w:after="140"/>
      </w:pPr>
      <w:r>
        <w:rPr>
          <w:rFonts w:ascii="Georgia" w:hAnsi="Georgia"/>
          <w:color w:val="131C1B"/>
          <w:sz w:val="20"/>
        </w:rPr>
        <w:t>Does the team, treasury or marketing need bears held back from the 4,444? If so, how many and to which address?</w:t>
      </w:r>
    </w:p>
    <w:p>
      <w:pPr>
        <w:keepNext/>
        <w:keepLines/>
        <w:spacing w:after="60" w:before="0"/>
        <w:ind w:left="57"/>
      </w:pPr>
      <w:r>
        <w:rPr>
          <w:rFonts w:ascii="Calibri" w:hAnsi="Calibri"/>
          <w:b/>
          <w:color w:val="0E5A4F"/>
          <w:sz w:val="15"/>
          <w:spacing w:val="24"/>
        </w:rPr>
        <w:t>OUR RECOMMENDATION</w:t>
      </w:r>
    </w:p>
    <w:p>
      <w:pPr>
        <w:spacing w:after="160"/>
        <w:ind w:left="142"/>
        <w:shd w:val="clear" w:fill="EEF5F2"/>
        <w:pBdr>
          <w:left w:val="single" w:sz="18" w:space="8" w:color="0E5A4F"/>
        </w:pBdr>
      </w:pPr>
      <w:r>
        <w:rPr>
          <w:rFonts w:ascii="Georgia" w:hAnsi="Georgia"/>
          <w:color w:val="131C1B"/>
          <w:sz w:val="20"/>
        </w:rPr>
        <w:t>Reserve none. If you need bears for marketing or partnerships, issue them through the same mint path as everyone else. Supply accounting then has no special case, which is one less thing to get wrong and one less thing an auditor has to reason about.</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r>
        <w:br w:type="page"/>
      </w:r>
    </w:p>
    <w:p>
      <w:pPr>
        <w:keepNext/>
        <w:keepLines/>
        <w:spacing w:after="40"/>
      </w:pPr>
      <w:r>
        <w:rPr>
          <w:rFonts w:ascii="Calibri" w:hAnsi="Calibri"/>
          <w:b/>
          <w:color w:val="0E5A4F"/>
          <w:sz w:val="34"/>
        </w:rPr>
        <w:t>2 · The token contract</w:t>
      </w:r>
    </w:p>
    <w:p>
      <w:pPr>
        <w:spacing w:after="320"/>
        <w:keepNext/>
        <w:keepLines/>
        <w:pBdr>
          <w:bottom w:val="single" w:sz="6" w:space="6" w:color="D6DEDB"/>
        </w:pBdr>
      </w:pPr>
      <w:r>
        <w:rPr>
          <w:rFonts w:ascii="Consolas" w:hAnsi="Consolas"/>
          <w:color w:val="788884"/>
          <w:sz w:val="16"/>
        </w:rPr>
        <w:t>Q5–Q7</w:t>
      </w:r>
    </w:p>
    <w:p>
      <w:pPr>
        <w:keepNext/>
        <w:keepLines/>
        <w:spacing w:before="300" w:after="40"/>
      </w:pPr>
      <w:r>
        <w:rPr>
          <w:rFonts w:ascii="Consolas" w:hAnsi="Consolas"/>
          <w:b/>
          <w:color w:val="9C3B2C"/>
          <w:sz w:val="18"/>
        </w:rPr>
        <w:t>Q5</w:t>
      </w:r>
      <w:r>
        <w:rPr>
          <w:rFonts w:ascii="Calibri" w:hAnsi="Calibri"/>
          <w:b/>
          <w:color w:val="9C3B2C"/>
          <w:sz w:val="15"/>
          <w:spacing w:val="26"/>
        </w:rPr>
        <w:t xml:space="preserve">   BLOCKING</w:t>
      </w:r>
    </w:p>
    <w:p>
      <w:pPr>
        <w:keepNext/>
        <w:keepLines/>
        <w:spacing w:after="140"/>
      </w:pPr>
      <w:r>
        <w:rPr>
          <w:rFonts w:ascii="Calibri" w:hAnsi="Calibri"/>
          <w:b/>
          <w:color w:val="131C1B"/>
          <w:sz w:val="26"/>
        </w:rPr>
        <w:t>Which base contract does the NFT inherit?</w:t>
      </w:r>
    </w:p>
    <w:p>
      <w:pPr>
        <w:spacing w:after="140"/>
      </w:pPr>
      <w:r>
        <w:rPr>
          <w:rFonts w:ascii="Georgia" w:hAnsi="Georgia"/>
          <w:color w:val="131C1B"/>
          <w:sz w:val="20"/>
        </w:rPr>
        <w:t>You asked for an ERC-721C that is SeaDrop-compatible. It turns out those are the same contract, and the safe route is not the one the name suggests.</w:t>
      </w:r>
    </w:p>
    <w:p>
      <w:pPr>
        <w:keepLines/>
        <w:spacing w:before="40" w:after="40"/>
        <w:ind w:left="283"/>
        <w:shd w:val="clear" w:fill="F2F5F4"/>
      </w:pPr>
      <w:r>
        <w:rPr>
          <w:rFonts w:ascii="Consolas" w:hAnsi="Consolas"/>
          <w:b/>
          <w:color w:val="0E5A4F"/>
          <w:sz w:val="19"/>
        </w:rPr>
        <w:t xml:space="preserve">[   ]  a   </w:t>
      </w:r>
      <w:r>
        <w:rPr>
          <w:rFonts w:ascii="Georgia" w:hAnsi="Georgia"/>
          <w:b/>
          <w:color w:val="131C1B"/>
          <w:sz w:val="20"/>
        </w:rPr>
        <w:t>OpenSea's ERC721SeaDrop</w:t>
      </w:r>
      <w:r>
        <w:rPr>
          <w:rFonts w:ascii="Georgia" w:hAnsi="Georgia"/>
          <w:color w:val="131C1B"/>
          <w:sz w:val="20"/>
        </w:rPr>
        <w:t xml:space="preserve">, extended with our own </w:t>
      </w:r>
      <w:r>
        <w:rPr>
          <w:rFonts w:ascii="Consolas" w:hAnsi="Consolas"/>
          <w:color w:val="131C1B"/>
          <w:sz w:val="19"/>
        </w:rPr>
        <w:t>tokenURI</w:t>
      </w:r>
      <w:r>
        <w:rPr>
          <w:rFonts w:ascii="Georgia" w:hAnsi="Georgia"/>
          <w:color w:val="131C1B"/>
          <w:sz w:val="20"/>
        </w:rPr>
        <w:t xml:space="preserve"> and transfer counter. Already implements the ERC-721C interface. Audited by Spearbit; the repository was updated this week. Its transfer validator defaults to off.</w:t>
      </w:r>
    </w:p>
    <w:p>
      <w:pPr>
        <w:keepLines/>
        <w:spacing w:before="40" w:after="40"/>
        <w:ind w:left="283"/>
        <w:shd w:val="clear" w:fill="F2F5F4"/>
      </w:pPr>
      <w:r>
        <w:rPr>
          <w:rFonts w:ascii="Consolas" w:hAnsi="Consolas"/>
          <w:b/>
          <w:color w:val="0E5A4F"/>
          <w:sz w:val="19"/>
        </w:rPr>
        <w:t xml:space="preserve">[   ]  b   </w:t>
      </w:r>
      <w:r>
        <w:rPr>
          <w:rFonts w:ascii="Georgia" w:hAnsi="Georgia"/>
          <w:b/>
          <w:color w:val="131C1B"/>
          <w:sz w:val="20"/>
        </w:rPr>
        <w:t>Limit Break's ERC721C / CreatorTokenBase</w:t>
      </w:r>
      <w:r>
        <w:rPr>
          <w:rFonts w:ascii="Georgia" w:hAnsi="Georgia"/>
          <w:color w:val="131C1B"/>
          <w:sz w:val="20"/>
        </w:rPr>
        <w:t>, the “real” ERC-721C, made SeaDrop-compatible by hand.</w:t>
      </w:r>
    </w:p>
    <w:p>
      <w:pPr>
        <w:keepLines/>
        <w:spacing w:before="40" w:after="40"/>
        <w:ind w:left="283"/>
        <w:shd w:val="clear" w:fill="F2F5F4"/>
      </w:pPr>
      <w:r>
        <w:rPr>
          <w:rFonts w:ascii="Consolas" w:hAnsi="Consolas"/>
          <w:b/>
          <w:color w:val="0E5A4F"/>
          <w:sz w:val="19"/>
        </w:rPr>
        <w:t xml:space="preserve">[   ]  c   </w:t>
      </w:r>
      <w:r>
        <w:rPr>
          <w:rFonts w:ascii="Georgia" w:hAnsi="Georgia"/>
          <w:b/>
          <w:color w:val="131C1B"/>
          <w:sz w:val="20"/>
        </w:rPr>
        <w:t>A Studio-deployed clone</w:t>
      </w:r>
      <w:r>
        <w:rPr>
          <w:rFonts w:ascii="Georgia" w:hAnsi="Georgia"/>
          <w:color w:val="131C1B"/>
          <w:sz w:val="20"/>
        </w:rPr>
        <w:t>, with no custom logic at all. Only viable if Q1 is (a) and the on-chain image requirement is dropped.</w:t>
      </w:r>
    </w:p>
    <w:p>
      <w:pPr>
        <w:keepNext/>
        <w:keepLines/>
        <w:spacing w:after="60" w:before="0"/>
        <w:ind w:left="57"/>
      </w:pPr>
      <w:r>
        <w:rPr>
          <w:rFonts w:ascii="Calibri" w:hAnsi="Calibri"/>
          <w:b/>
          <w:color w:val="0E5A4F"/>
          <w:sz w:val="15"/>
          <w:spacing w:val="24"/>
        </w:rPr>
        <w:t>OUR RECOMMENDATION</w:t>
      </w:r>
    </w:p>
    <w:p>
      <w:pPr>
        <w:spacing w:after="100"/>
        <w:ind w:left="142"/>
        <w:shd w:val="clear" w:fill="EEF5F2"/>
        <w:pBdr>
          <w:left w:val="single" w:sz="18" w:space="8" w:color="0E5A4F"/>
        </w:pBdr>
      </w:pPr>
      <w:r>
        <w:rPr>
          <w:rFonts w:ascii="Georgia" w:hAnsi="Georgia"/>
          <w:color w:val="131C1B"/>
          <w:sz w:val="20"/>
        </w:rPr>
        <w:t xml:space="preserve">Option (a). It satisfies “ERC-721C” in the sense that matters — marketplaces and tooling detect the </w:t>
      </w:r>
      <w:r>
        <w:rPr>
          <w:rFonts w:ascii="Consolas" w:hAnsi="Consolas"/>
          <w:color w:val="131C1B"/>
          <w:sz w:val="19"/>
        </w:rPr>
        <w:t>ICreatorToken</w:t>
      </w:r>
      <w:r>
        <w:rPr>
          <w:rFonts w:ascii="Georgia" w:hAnsi="Georgia"/>
          <w:color w:val="131C1B"/>
          <w:sz w:val="20"/>
        </w:rPr>
        <w:t xml:space="preserve"> interface, and royalty enforcement can be switched on later with one owner call — while starting from safe defaults and audited code.</w:t>
      </w:r>
    </w:p>
    <w:p>
      <w:pPr>
        <w:spacing w:after="100"/>
        <w:ind w:left="142"/>
        <w:shd w:val="clear" w:fill="EEF5F2"/>
        <w:pBdr>
          <w:left w:val="single" w:sz="18" w:space="8" w:color="0E5A4F"/>
        </w:pBdr>
      </w:pPr>
      <w:r>
        <w:rPr>
          <w:rFonts w:ascii="Georgia" w:hAnsi="Georgia"/>
          <w:color w:val="131C1B"/>
          <w:sz w:val="20"/>
        </w:rPr>
        <w:t xml:space="preserve">Option (b) is the one to avoid, for three verified reasons. Its base contract hardcodes a fallback validator, so an unconfigured collection is </w:t>
      </w:r>
      <w:r>
        <w:rPr>
          <w:rFonts w:ascii="Georgia" w:hAnsi="Georgia"/>
          <w:b/>
          <w:color w:val="131C1B"/>
          <w:sz w:val="20"/>
        </w:rPr>
        <w:t>operator-gated rather than free</w:t>
      </w:r>
      <w:r>
        <w:rPr>
          <w:rFonts w:ascii="Georgia" w:hAnsi="Georgia"/>
          <w:color w:val="131C1B"/>
          <w:sz w:val="20"/>
        </w:rPr>
        <w:t xml:space="preserve">. We confirmed by live simulation on this chain that in that state </w:t>
      </w:r>
      <w:r>
        <w:rPr>
          <w:rFonts w:ascii="Georgia" w:hAnsi="Georgia"/>
          <w:b/>
          <w:color w:val="131C1B"/>
          <w:sz w:val="20"/>
        </w:rPr>
        <w:t>mints revert</w:t>
      </w:r>
      <w:r>
        <w:rPr>
          <w:rFonts w:ascii="Georgia" w:hAnsi="Georgia"/>
          <w:color w:val="131C1B"/>
          <w:sz w:val="20"/>
        </w:rPr>
        <w:t xml:space="preserve"> and </w:t>
      </w:r>
      <w:r>
        <w:rPr>
          <w:rFonts w:ascii="Georgia" w:hAnsi="Georgia"/>
          <w:b/>
          <w:color w:val="131C1B"/>
          <w:sz w:val="20"/>
        </w:rPr>
        <w:t>a token-bound account cannot transfer the token out</w:t>
      </w:r>
      <w:r>
        <w:rPr>
          <w:rFonts w:ascii="Georgia" w:hAnsi="Georgia"/>
          <w:color w:val="131C1B"/>
          <w:sz w:val="20"/>
        </w:rPr>
        <w:t>. And the token-side library has had no protocol changes in about sixteen months and ships with no published audit — its own README says using it is not a substitute for an audit.</w:t>
      </w:r>
    </w:p>
    <w:p>
      <w:pPr>
        <w:spacing w:after="160"/>
        <w:ind w:left="142"/>
        <w:shd w:val="clear" w:fill="EEF5F2"/>
        <w:pBdr>
          <w:left w:val="single" w:sz="18" w:space="8" w:color="0E5A4F"/>
        </w:pBdr>
      </w:pPr>
      <w:r>
        <w:rPr>
          <w:rFonts w:ascii="Georgia" w:hAnsi="Georgia"/>
          <w:color w:val="131C1B"/>
          <w:sz w:val="20"/>
        </w:rPr>
        <w:t>One constraint on (a) worth recording: OpenSea permits extending their contract but asks that the minting functions and mint-statistics function are not modified. Everything we need to add — the on-chain renderer and the transfer counter — sits outside those.</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7E5C0E"/>
          <w:sz w:val="18"/>
        </w:rPr>
        <w:t>Q6</w:t>
      </w:r>
      <w:r>
        <w:rPr>
          <w:rFonts w:ascii="Calibri" w:hAnsi="Calibri"/>
          <w:b/>
          <w:color w:val="7E5C0E"/>
          <w:sz w:val="15"/>
          <w:spacing w:val="26"/>
        </w:rPr>
        <w:t xml:space="preserve">   NEW</w:t>
      </w:r>
    </w:p>
    <w:p>
      <w:pPr>
        <w:keepNext/>
        <w:keepLines/>
        <w:spacing w:after="140"/>
      </w:pPr>
      <w:r>
        <w:rPr>
          <w:rFonts w:ascii="Calibri" w:hAnsi="Calibri"/>
          <w:b/>
          <w:color w:val="131C1B"/>
          <w:sz w:val="26"/>
        </w:rPr>
        <w:t>Should transfers be policed by a validator?</w:t>
      </w:r>
    </w:p>
    <w:p>
      <w:pPr>
        <w:spacing w:after="140"/>
      </w:pPr>
      <w:r>
        <w:rPr>
          <w:rFonts w:ascii="Georgia" w:hAnsi="Georgia"/>
          <w:color w:val="131C1B"/>
          <w:sz w:val="20"/>
        </w:rPr>
        <w:t>This is the switch that makes ERC-721C mean something. It is also the switch that can break the product, so it needs a deliberate answer rather than a default.</w:t>
      </w:r>
    </w:p>
    <w:p>
      <w:pPr>
        <w:spacing w:after="140"/>
      </w:pPr>
      <w:r>
        <w:rPr>
          <w:rFonts w:ascii="Georgia" w:hAnsi="Georgia"/>
          <w:color w:val="131C1B"/>
          <w:sz w:val="20"/>
        </w:rPr>
        <w:t xml:space="preserve">Cost, measured on this chain: roughly </w:t>
      </w:r>
      <w:r>
        <w:rPr>
          <w:rFonts w:ascii="Georgia" w:hAnsi="Georgia"/>
          <w:b/>
          <w:color w:val="131C1B"/>
          <w:sz w:val="20"/>
        </w:rPr>
        <w:t>15,000 to 17,000 gas on every transfer</w:t>
      </w:r>
      <w:r>
        <w:rPr>
          <w:rFonts w:ascii="Georgia" w:hAnsi="Georgia"/>
          <w:color w:val="131C1B"/>
          <w:sz w:val="20"/>
        </w:rPr>
        <w:t xml:space="preserve"> when a validator is active, and zero when it is not.</w:t>
      </w:r>
    </w:p>
    <w:p>
      <w:pPr>
        <w:keepLines/>
        <w:spacing w:before="40" w:after="40"/>
        <w:ind w:left="283"/>
        <w:shd w:val="clear" w:fill="F2F5F4"/>
      </w:pPr>
      <w:r>
        <w:rPr>
          <w:rFonts w:ascii="Consolas" w:hAnsi="Consolas"/>
          <w:b/>
          <w:color w:val="0E5A4F"/>
          <w:sz w:val="19"/>
        </w:rPr>
        <w:t xml:space="preserve">[   ]  a   </w:t>
      </w:r>
      <w:r>
        <w:rPr>
          <w:rFonts w:ascii="Georgia" w:hAnsi="Georgia"/>
          <w:b/>
          <w:color w:val="131C1B"/>
          <w:sz w:val="20"/>
        </w:rPr>
        <w:t>No validator.</w:t>
      </w:r>
      <w:r>
        <w:rPr>
          <w:rFonts w:ascii="Georgia" w:hAnsi="Georgia"/>
          <w:color w:val="131C1B"/>
          <w:sz w:val="20"/>
        </w:rPr>
        <w:t xml:space="preserve"> Transfers are free and unrestricted; no gas overhead; nobody outside your organisation can change the rules.</w:t>
      </w:r>
    </w:p>
    <w:p>
      <w:pPr>
        <w:keepLines/>
        <w:spacing w:before="40" w:after="40"/>
        <w:ind w:left="283"/>
        <w:shd w:val="clear" w:fill="F2F5F4"/>
      </w:pPr>
      <w:r>
        <w:rPr>
          <w:rFonts w:ascii="Consolas" w:hAnsi="Consolas"/>
          <w:b/>
          <w:color w:val="0E5A4F"/>
          <w:sz w:val="19"/>
        </w:rPr>
        <w:t xml:space="preserve">[   ]  b   </w:t>
      </w:r>
      <w:r>
        <w:rPr>
          <w:rFonts w:ascii="Georgia" w:hAnsi="Georgia"/>
          <w:b/>
          <w:color w:val="131C1B"/>
          <w:sz w:val="20"/>
        </w:rPr>
        <w:t>A validator set to its permissive ruleset.</w:t>
      </w:r>
      <w:r>
        <w:rPr>
          <w:rFonts w:ascii="Georgia" w:hAnsi="Georgia"/>
          <w:color w:val="131C1B"/>
          <w:sz w:val="20"/>
        </w:rPr>
        <w:t xml:space="preserve"> Same freedom, but the ERC-721C plumbing is live and can be tightened later without redeploying.</w:t>
      </w:r>
    </w:p>
    <w:p>
      <w:pPr>
        <w:keepLines/>
        <w:spacing w:before="40" w:after="40"/>
        <w:ind w:left="283"/>
        <w:shd w:val="clear" w:fill="F2F5F4"/>
      </w:pPr>
      <w:r>
        <w:rPr>
          <w:rFonts w:ascii="Consolas" w:hAnsi="Consolas"/>
          <w:b/>
          <w:color w:val="0E5A4F"/>
          <w:sz w:val="19"/>
        </w:rPr>
        <w:t xml:space="preserve">[   ]  c   </w:t>
      </w:r>
      <w:r>
        <w:rPr>
          <w:rFonts w:ascii="Georgia" w:hAnsi="Georgia"/>
          <w:b/>
          <w:color w:val="131C1B"/>
          <w:sz w:val="20"/>
        </w:rPr>
        <w:t>Enforcement on.</w:t>
      </w:r>
      <w:r>
        <w:rPr>
          <w:rFonts w:ascii="Georgia" w:hAnsi="Georgia"/>
          <w:color w:val="131C1B"/>
          <w:sz w:val="20"/>
        </w:rPr>
        <w:t xml:space="preserve"> Only marketplaces that provably pay your royalty can move a bear.</w:t>
      </w:r>
    </w:p>
    <w:p>
      <w:pPr>
        <w:keepNext/>
        <w:keepLines/>
        <w:spacing w:after="60" w:before="0"/>
        <w:ind w:left="57"/>
      </w:pPr>
      <w:r>
        <w:rPr>
          <w:rFonts w:ascii="Calibri" w:hAnsi="Calibri"/>
          <w:b/>
          <w:color w:val="0E5A4F"/>
          <w:sz w:val="15"/>
          <w:spacing w:val="24"/>
        </w:rPr>
        <w:t>OUR RECOMMENDATION</w:t>
      </w:r>
    </w:p>
    <w:p>
      <w:pPr>
        <w:spacing w:after="100"/>
        <w:ind w:left="142"/>
        <w:shd w:val="clear" w:fill="EEF5F2"/>
        <w:pBdr>
          <w:left w:val="single" w:sz="18" w:space="8" w:color="0E5A4F"/>
        </w:pBdr>
      </w:pPr>
      <w:r>
        <w:rPr>
          <w:rFonts w:ascii="Georgia" w:hAnsi="Georgia"/>
          <w:color w:val="131C1B"/>
          <w:sz w:val="20"/>
        </w:rPr>
        <w:t>Option (a) at launch.</w:t>
      </w:r>
    </w:p>
    <w:p>
      <w:pPr>
        <w:spacing w:after="100"/>
        <w:ind w:left="142"/>
        <w:shd w:val="clear" w:fill="EEF5F2"/>
        <w:pBdr>
          <w:left w:val="single" w:sz="18" w:space="8" w:color="0E5A4F"/>
        </w:pBdr>
      </w:pPr>
      <w:r>
        <w:rPr>
          <w:rFonts w:ascii="Georgia" w:hAnsi="Georgia"/>
          <w:color w:val="131C1B"/>
          <w:sz w:val="20"/>
        </w:rPr>
        <w:t xml:space="preserve">Option (c) is not currently viable here even if you want it: OpenSea's transfer route is </w:t>
      </w:r>
      <w:r>
        <w:rPr>
          <w:rFonts w:ascii="Georgia" w:hAnsi="Georgia"/>
          <w:b/>
          <w:color w:val="131C1B"/>
          <w:sz w:val="20"/>
        </w:rPr>
        <w:t>not on this chain's default allowlist</w:t>
      </w:r>
      <w:r>
        <w:rPr>
          <w:rFonts w:ascii="Georgia" w:hAnsi="Georgia"/>
          <w:color w:val="131C1B"/>
          <w:sz w:val="20"/>
        </w:rPr>
        <w:t>, so enforcement would make bears unsellable on the one marketplace that lists them. It would also require deliberately allowlisting our token-bound wallet code, because otherwise a bear held in any smart wallet could not be moved out.</w:t>
      </w:r>
    </w:p>
    <w:p>
      <w:pPr>
        <w:spacing w:after="160"/>
        <w:ind w:left="142"/>
        <w:shd w:val="clear" w:fill="EEF5F2"/>
        <w:pBdr>
          <w:left w:val="single" w:sz="18" w:space="8" w:color="0E5A4F"/>
        </w:pBdr>
      </w:pPr>
      <w:r>
        <w:rPr>
          <w:rFonts w:ascii="Georgia" w:hAnsi="Georgia"/>
          <w:color w:val="131C1B"/>
          <w:sz w:val="20"/>
        </w:rPr>
        <w:t xml:space="preserve">There is a governance reason too, and it is the same objection we raised against the third-party wallet code in Q16: while a collection sits on the shared default configuration, the rules are controlled by </w:t>
      </w:r>
      <w:r>
        <w:rPr>
          <w:rFonts w:ascii="Georgia" w:hAnsi="Georgia"/>
          <w:b/>
          <w:color w:val="131C1B"/>
          <w:sz w:val="20"/>
        </w:rPr>
        <w:t>Limit Break's key, not yours</w:t>
      </w:r>
      <w:r>
        <w:rPr>
          <w:rFonts w:ascii="Georgia" w:hAnsi="Georgia"/>
          <w:color w:val="131C1B"/>
          <w:sz w:val="20"/>
        </w:rPr>
        <w:t>. A third party could change how your transfers behave after launch. Setting no validator removes that dependency entirely.</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Q7</w:t>
      </w:r>
      <w:r>
        <w:rPr>
          <w:rFonts w:ascii="Calibri" w:hAnsi="Calibri"/>
          <w:b/>
          <w:color w:val="0E5A4F"/>
          <w:sz w:val="15"/>
          <w:spacing w:val="26"/>
        </w:rPr>
        <w:t xml:space="preserve">   DECISION</w:t>
      </w:r>
    </w:p>
    <w:p>
      <w:pPr>
        <w:keepNext/>
        <w:keepLines/>
        <w:spacing w:after="140"/>
      </w:pPr>
      <w:r>
        <w:rPr>
          <w:rFonts w:ascii="Calibri" w:hAnsi="Calibri"/>
          <w:b/>
          <w:color w:val="131C1B"/>
          <w:sz w:val="26"/>
        </w:rPr>
        <w:t>Do you want resale royalties, and at what rate?</w:t>
      </w:r>
    </w:p>
    <w:p>
      <w:pPr>
        <w:spacing w:after="140"/>
      </w:pPr>
      <w:r>
        <w:rPr>
          <w:rFonts w:ascii="Georgia" w:hAnsi="Georgia"/>
          <w:color w:val="131C1B"/>
          <w:sz w:val="20"/>
        </w:rPr>
        <w:t>Your email is silent on royalties while selecting the one standard whose purpose is enforcing them, so we need a number and a receiving address. Note that under Q6(a) the royalty is a declared preference that marketplaces may honour or ignore, not a rule.</w:t>
      </w:r>
    </w:p>
    <w:p>
      <w:pPr>
        <w:keepNext/>
        <w:keepLines/>
        <w:spacing w:after="60" w:before="0"/>
        <w:ind w:left="57"/>
      </w:pPr>
      <w:r>
        <w:rPr>
          <w:rFonts w:ascii="Calibri" w:hAnsi="Calibri"/>
          <w:b/>
          <w:color w:val="0E5A4F"/>
          <w:sz w:val="15"/>
          <w:spacing w:val="24"/>
        </w:rPr>
        <w:t>OUR RECOMMENDATION</w:t>
      </w:r>
    </w:p>
    <w:p>
      <w:pPr>
        <w:spacing w:after="100"/>
        <w:ind w:left="142"/>
        <w:shd w:val="clear" w:fill="EEF5F2"/>
        <w:pBdr>
          <w:left w:val="single" w:sz="18" w:space="8" w:color="0E5A4F"/>
        </w:pBdr>
      </w:pPr>
      <w:r>
        <w:rPr>
          <w:rFonts w:ascii="Georgia" w:hAnsi="Georgia"/>
          <w:color w:val="131C1B"/>
          <w:sz w:val="20"/>
        </w:rPr>
        <w:t xml:space="preserve">Declare 5% to your treasury, with enforcement off. Two cautions from the reference project, which is a useful illustration of how this goes wrong: its code charges </w:t>
      </w:r>
      <w:r>
        <w:rPr>
          <w:rFonts w:ascii="Georgia" w:hAnsi="Georgia"/>
          <w:b/>
          <w:color w:val="131C1B"/>
          <w:sz w:val="20"/>
        </w:rPr>
        <w:t>6.66%</w:t>
      </w:r>
      <w:r>
        <w:rPr>
          <w:rFonts w:ascii="Georgia" w:hAnsi="Georgia"/>
          <w:color w:val="131C1B"/>
          <w:sz w:val="20"/>
        </w:rPr>
        <w:t xml:space="preserve"> while its own documentation claims 3.33% with a 5% cap, there is no cap enforced anywhere in the code, and the receiving address is one its documentation labels as a retired contract. Whatever number you choose, it should be stated once, in the contract, and match what you publish.</w:t>
      </w:r>
    </w:p>
    <w:p>
      <w:pPr>
        <w:spacing w:after="160"/>
        <w:ind w:left="142"/>
        <w:shd w:val="clear" w:fill="EEF5F2"/>
        <w:pBdr>
          <w:left w:val="single" w:sz="18" w:space="8" w:color="0E5A4F"/>
        </w:pBdr>
      </w:pPr>
      <w:r>
        <w:rPr>
          <w:rFonts w:ascii="Georgia" w:hAnsi="Georgia"/>
          <w:color w:val="131C1B"/>
          <w:sz w:val="20"/>
        </w:rPr>
        <w:t>Also worth noting: under Q13, resale is a rare event by design, so royalty revenue is unlikely to be material either way. That is an argument for keeping enforcement off rather than accepting its costs.</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r>
        <w:br w:type="page"/>
      </w:r>
    </w:p>
    <w:p>
      <w:pPr>
        <w:keepNext/>
        <w:keepLines/>
        <w:spacing w:after="40"/>
      </w:pPr>
      <w:r>
        <w:rPr>
          <w:rFonts w:ascii="Calibri" w:hAnsi="Calibri"/>
          <w:b/>
          <w:color w:val="0E5A4F"/>
          <w:sz w:val="34"/>
        </w:rPr>
        <w:t>3 · Artwork and metadata</w:t>
      </w:r>
    </w:p>
    <w:p>
      <w:pPr>
        <w:spacing w:after="320"/>
        <w:keepNext/>
        <w:keepLines/>
        <w:pBdr>
          <w:bottom w:val="single" w:sz="6" w:space="6" w:color="D6DEDB"/>
        </w:pBdr>
      </w:pPr>
      <w:r>
        <w:rPr>
          <w:rFonts w:ascii="Consolas" w:hAnsi="Consolas"/>
          <w:color w:val="788884"/>
          <w:sz w:val="16"/>
        </w:rPr>
        <w:t>Q8–Q10</w:t>
      </w:r>
    </w:p>
    <w:p>
      <w:pPr>
        <w:keepNext/>
        <w:keepLines/>
        <w:spacing w:before="300" w:after="40"/>
      </w:pPr>
      <w:r>
        <w:rPr>
          <w:rFonts w:ascii="Consolas" w:hAnsi="Consolas"/>
          <w:b/>
          <w:color w:val="9C3B2C"/>
          <w:sz w:val="18"/>
        </w:rPr>
        <w:t>Q8</w:t>
      </w:r>
      <w:r>
        <w:rPr>
          <w:rFonts w:ascii="Calibri" w:hAnsi="Calibri"/>
          <w:b/>
          <w:color w:val="9C3B2C"/>
          <w:sz w:val="15"/>
          <w:spacing w:val="26"/>
        </w:rPr>
        <w:t xml:space="preserve">   BLOCKING</w:t>
      </w:r>
    </w:p>
    <w:p>
      <w:pPr>
        <w:keepNext/>
        <w:keepLines/>
        <w:spacing w:after="140"/>
      </w:pPr>
      <w:r>
        <w:rPr>
          <w:rFonts w:ascii="Calibri" w:hAnsi="Calibri"/>
          <w:b/>
          <w:color w:val="131C1B"/>
          <w:sz w:val="26"/>
        </w:rPr>
        <w:t>Is the image stored fully on-chain?</w:t>
      </w:r>
    </w:p>
    <w:p>
      <w:pPr>
        <w:spacing w:after="140"/>
      </w:pPr>
      <w:r>
        <w:rPr>
          <w:rFonts w:ascii="Georgia" w:hAnsi="Georgia"/>
          <w:color w:val="131C1B"/>
          <w:sz w:val="20"/>
        </w:rPr>
        <w:t>The original specification requires it, your email is silent on it, and Q1 decides whether it is even possible. If Studio runs the mint, the answer is forced to (c).</w:t>
      </w:r>
    </w:p>
    <w:p>
      <w:pPr>
        <w:keepLines/>
        <w:spacing w:before="40" w:after="40"/>
        <w:ind w:left="283"/>
        <w:shd w:val="clear" w:fill="F2F5F4"/>
      </w:pPr>
      <w:r>
        <w:rPr>
          <w:rFonts w:ascii="Consolas" w:hAnsi="Consolas"/>
          <w:b/>
          <w:color w:val="0E5A4F"/>
          <w:sz w:val="19"/>
        </w:rPr>
        <w:t xml:space="preserve">[   ]  a   </w:t>
      </w:r>
      <w:r>
        <w:rPr>
          <w:rFonts w:ascii="Georgia" w:hAnsi="Georgia"/>
          <w:b/>
          <w:color w:val="131C1B"/>
          <w:sz w:val="20"/>
        </w:rPr>
        <w:t>Fully on-chain.</w:t>
      </w:r>
      <w:r>
        <w:rPr>
          <w:rFonts w:ascii="Georgia" w:hAnsi="Georgia"/>
          <w:color w:val="131C1B"/>
          <w:sz w:val="20"/>
        </w:rPr>
        <w:t xml:space="preserve"> Traits and artwork layers live in contract storage; the metadata is self-contained and depends on no server, permanently.</w:t>
      </w:r>
    </w:p>
    <w:p>
      <w:pPr>
        <w:keepLines/>
        <w:spacing w:before="40" w:after="40"/>
        <w:ind w:left="283"/>
        <w:shd w:val="clear" w:fill="F2F5F4"/>
      </w:pPr>
      <w:r>
        <w:rPr>
          <w:rFonts w:ascii="Consolas" w:hAnsi="Consolas"/>
          <w:b/>
          <w:color w:val="0E5A4F"/>
          <w:sz w:val="19"/>
        </w:rPr>
        <w:t xml:space="preserve">[   ]  b   </w:t>
      </w:r>
      <w:r>
        <w:rPr>
          <w:rFonts w:ascii="Georgia" w:hAnsi="Georgia"/>
          <w:b/>
          <w:color w:val="131C1B"/>
          <w:sz w:val="20"/>
        </w:rPr>
        <w:t>Hybrid.</w:t>
      </w:r>
      <w:r>
        <w:rPr>
          <w:rFonts w:ascii="Georgia" w:hAnsi="Georgia"/>
          <w:color w:val="131C1B"/>
          <w:sz w:val="20"/>
        </w:rPr>
        <w:t xml:space="preserve"> An on-chain renderer for the image, with metadata served from an endpoint you run, which can also inject live data.</w:t>
      </w:r>
    </w:p>
    <w:p>
      <w:pPr>
        <w:keepLines/>
        <w:spacing w:before="40" w:after="40"/>
        <w:ind w:left="283"/>
        <w:shd w:val="clear" w:fill="F2F5F4"/>
      </w:pPr>
      <w:r>
        <w:rPr>
          <w:rFonts w:ascii="Consolas" w:hAnsi="Consolas"/>
          <w:b/>
          <w:color w:val="0E5A4F"/>
          <w:sz w:val="19"/>
        </w:rPr>
        <w:t xml:space="preserve">[   ]  c   </w:t>
      </w:r>
      <w:r>
        <w:rPr>
          <w:rFonts w:ascii="Georgia" w:hAnsi="Georgia"/>
          <w:b/>
          <w:color w:val="131C1B"/>
          <w:sz w:val="20"/>
        </w:rPr>
        <w:t>Conventional off-chain storage.</w:t>
      </w:r>
      <w:r>
        <w:rPr>
          <w:rFonts w:ascii="Georgia" w:hAnsi="Georgia"/>
          <w:color w:val="131C1B"/>
          <w:sz w:val="20"/>
        </w:rPr>
        <w:t xml:space="preserve"> What every Studio drop on this chain does today.</w:t>
      </w:r>
    </w:p>
    <w:p>
      <w:pPr>
        <w:keepNext/>
        <w:keepLines/>
        <w:spacing w:after="60" w:before="0"/>
        <w:ind w:left="57"/>
      </w:pPr>
      <w:r>
        <w:rPr>
          <w:rFonts w:ascii="Calibri" w:hAnsi="Calibri"/>
          <w:b/>
          <w:color w:val="0E5A4F"/>
          <w:sz w:val="15"/>
          <w:spacing w:val="24"/>
        </w:rPr>
        <w:t>OUR RECOMMENDATION</w:t>
      </w:r>
    </w:p>
    <w:p>
      <w:pPr>
        <w:spacing w:after="100"/>
        <w:ind w:left="142"/>
        <w:shd w:val="clear" w:fill="EEF5F2"/>
        <w:pBdr>
          <w:left w:val="single" w:sz="18" w:space="8" w:color="0E5A4F"/>
        </w:pBdr>
      </w:pPr>
      <w:r>
        <w:rPr>
          <w:rFonts w:ascii="Georgia" w:hAnsi="Georgia"/>
          <w:color w:val="131C1B"/>
          <w:sz w:val="20"/>
        </w:rPr>
        <w:t>Option (a), with the renderer as a separate replaceable contract so a visual bug can be corrected without touching the NFT.</w:t>
      </w:r>
    </w:p>
    <w:p>
      <w:pPr>
        <w:spacing w:after="100"/>
        <w:ind w:left="142"/>
        <w:shd w:val="clear" w:fill="EEF5F2"/>
        <w:pBdr>
          <w:left w:val="single" w:sz="18" w:space="8" w:color="0E5A4F"/>
        </w:pBdr>
      </w:pPr>
      <w:r>
        <w:rPr>
          <w:rFonts w:ascii="Georgia" w:hAnsi="Georgia"/>
          <w:color w:val="131C1B"/>
          <w:sz w:val="20"/>
        </w:rPr>
        <w:t>It is feasible here in a way it is not on most chains — contracts can be roughly four times Ethereum's size limit, and the reference project demonstrates a 45,546-byte on-chain renderer working in production on this exact chain. That is the one part of that project genuinely worth using as a reference.</w:t>
      </w:r>
    </w:p>
    <w:p>
      <w:pPr>
        <w:spacing w:after="160"/>
        <w:ind w:left="142"/>
        <w:shd w:val="clear" w:fill="EEF5F2"/>
        <w:pBdr>
          <w:left w:val="single" w:sz="18" w:space="8" w:color="0E5A4F"/>
        </w:pBdr>
      </w:pPr>
      <w:r>
        <w:rPr>
          <w:rFonts w:ascii="Georgia" w:hAnsi="Georgia"/>
          <w:color w:val="131C1B"/>
          <w:sz w:val="20"/>
        </w:rPr>
        <w:t xml:space="preserve">Two honest caveats. It is a substantial build and every visual detail is permanent once deployed. And whether a Studio-managed drop displays on-chain metadata correctly is </w:t>
      </w:r>
      <w:r>
        <w:rPr>
          <w:rFonts w:ascii="Georgia" w:hAnsi="Georgia"/>
          <w:b/>
          <w:color w:val="131C1B"/>
          <w:sz w:val="20"/>
        </w:rPr>
        <w:t>unverified</w:t>
      </w:r>
      <w:r>
        <w:rPr>
          <w:rFonts w:ascii="Georgia" w:hAnsi="Georgia"/>
          <w:color w:val="131C1B"/>
          <w:sz w:val="20"/>
        </w:rPr>
        <w:t xml:space="preserve"> — we found no counter-example and no confirmation, so if you pick Q1(c) we test this on testnet first.</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Q9</w:t>
      </w:r>
      <w:r>
        <w:rPr>
          <w:rFonts w:ascii="Calibri" w:hAnsi="Calibri"/>
          <w:b/>
          <w:color w:val="0E5A4F"/>
          <w:sz w:val="15"/>
          <w:spacing w:val="26"/>
        </w:rPr>
        <w:t xml:space="preserve">   DECISION</w:t>
      </w:r>
    </w:p>
    <w:p>
      <w:pPr>
        <w:keepNext/>
        <w:keepLines/>
        <w:spacing w:after="140"/>
      </w:pPr>
      <w:r>
        <w:rPr>
          <w:rFonts w:ascii="Calibri" w:hAnsi="Calibri"/>
          <w:b/>
          <w:color w:val="131C1B"/>
          <w:sz w:val="26"/>
        </w:rPr>
        <w:t>The two “contains assets” traits</w:t>
      </w:r>
    </w:p>
    <w:p>
      <w:pPr>
        <w:spacing w:after="140"/>
      </w:pPr>
      <w:r>
        <w:rPr>
          <w:rFonts w:ascii="Georgia" w:hAnsi="Georgia"/>
          <w:color w:val="131C1B"/>
          <w:sz w:val="20"/>
        </w:rPr>
        <w:t>The specification asks for traits showing whether a bear's wallet holds tokens and whether it holds NFTs. No contract can enumerate arbitrary holdings of an arbitrary wallet. Your portal needs the same data for its asset view, so this and the portal's inventory are one problem, not two — see Q26.</w:t>
      </w:r>
    </w:p>
    <w:p>
      <w:pPr>
        <w:keepLines/>
        <w:spacing w:before="40" w:after="40"/>
        <w:ind w:left="283"/>
        <w:shd w:val="clear" w:fill="F2F5F4"/>
      </w:pPr>
      <w:r>
        <w:rPr>
          <w:rFonts w:ascii="Consolas" w:hAnsi="Consolas"/>
          <w:b/>
          <w:color w:val="0E5A4F"/>
          <w:sz w:val="19"/>
        </w:rPr>
        <w:t xml:space="preserve">[   ]  a   </w:t>
      </w:r>
      <w:r>
        <w:rPr>
          <w:rFonts w:ascii="Georgia" w:hAnsi="Georgia"/>
          <w:color w:val="131C1B"/>
          <w:sz w:val="20"/>
        </w:rPr>
        <w:t>Drop both traits.</w:t>
      </w:r>
    </w:p>
    <w:p>
      <w:pPr>
        <w:keepLines/>
        <w:spacing w:before="40" w:after="40"/>
        <w:ind w:left="283"/>
        <w:shd w:val="clear" w:fill="F2F5F4"/>
      </w:pPr>
      <w:r>
        <w:rPr>
          <w:rFonts w:ascii="Consolas" w:hAnsi="Consolas"/>
          <w:b/>
          <w:color w:val="0E5A4F"/>
          <w:sz w:val="19"/>
        </w:rPr>
        <w:t xml:space="preserve">[   ]  b   </w:t>
      </w:r>
      <w:r>
        <w:rPr>
          <w:rFonts w:ascii="Georgia" w:hAnsi="Georgia"/>
          <w:color w:val="131C1B"/>
          <w:sz w:val="20"/>
        </w:rPr>
        <w:t>Report them accurately for a defined list of tracked assets that you can update.</w:t>
      </w:r>
    </w:p>
    <w:p>
      <w:pPr>
        <w:keepLines/>
        <w:spacing w:before="40" w:after="40"/>
        <w:ind w:left="283"/>
        <w:shd w:val="clear" w:fill="F2F5F4"/>
      </w:pPr>
      <w:r>
        <w:rPr>
          <w:rFonts w:ascii="Consolas" w:hAnsi="Consolas"/>
          <w:b/>
          <w:color w:val="0E5A4F"/>
          <w:sz w:val="19"/>
        </w:rPr>
        <w:t xml:space="preserve">[   ]  c   </w:t>
      </w:r>
      <w:r>
        <w:rPr>
          <w:rFonts w:ascii="Georgia" w:hAnsi="Georgia"/>
          <w:color w:val="131C1B"/>
          <w:sz w:val="20"/>
        </w:rPr>
        <w:t>Serve them from an indexer, which requires the hybrid metadata approach in Q8(b).</w:t>
      </w:r>
    </w:p>
    <w:p>
      <w:pPr>
        <w:keepNext/>
        <w:keepLines/>
        <w:spacing w:after="60" w:before="0"/>
        <w:ind w:left="57"/>
      </w:pPr>
      <w:r>
        <w:rPr>
          <w:rFonts w:ascii="Calibri" w:hAnsi="Calibri"/>
          <w:b/>
          <w:color w:val="0E5A4F"/>
          <w:sz w:val="15"/>
          <w:spacing w:val="24"/>
        </w:rPr>
        <w:t>OUR RECOMMENDATION</w:t>
      </w:r>
    </w:p>
    <w:p>
      <w:pPr>
        <w:spacing w:after="160"/>
        <w:ind w:left="142"/>
        <w:shd w:val="clear" w:fill="EEF5F2"/>
        <w:pBdr>
          <w:left w:val="single" w:sz="18" w:space="8" w:color="0E5A4F"/>
        </w:pBdr>
      </w:pPr>
      <w:r>
        <w:rPr>
          <w:rFonts w:ascii="Georgia" w:hAnsi="Georgia"/>
          <w:color w:val="131C1B"/>
          <w:sz w:val="20"/>
        </w:rPr>
        <w:t>Option (b). Honest, needs no server, and covers the assets that actually matter — the native currency, $MNTD, and a handful of chain assets you nominate. A trait claiming to detect “any asset” while silently missing most of them is worse for holders than a clearly scoped one.</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Q10</w:t>
      </w:r>
      <w:r>
        <w:rPr>
          <w:rFonts w:ascii="Calibri" w:hAnsi="Calibri"/>
          <w:b/>
          <w:color w:val="0E5A4F"/>
          <w:sz w:val="15"/>
          <w:spacing w:val="26"/>
        </w:rPr>
        <w:t xml:space="preserve">   DECISION</w:t>
      </w:r>
    </w:p>
    <w:p>
      <w:pPr>
        <w:keepNext/>
        <w:keepLines/>
        <w:spacing w:after="140"/>
      </w:pPr>
      <w:r>
        <w:rPr>
          <w:rFonts w:ascii="Calibri" w:hAnsi="Calibri"/>
          <w:b/>
          <w:color w:val="131C1B"/>
          <w:sz w:val="26"/>
        </w:rPr>
        <w:t>How are traits assigned, and is there a reveal?</w:t>
      </w:r>
    </w:p>
    <w:p>
      <w:pPr>
        <w:spacing w:after="140"/>
      </w:pPr>
      <w:r>
        <w:rPr>
          <w:rFonts w:ascii="Georgia" w:hAnsi="Georgia"/>
          <w:color w:val="131C1B"/>
          <w:sz w:val="20"/>
        </w:rPr>
        <w:t>This chain has no usable randomness: its on-chain random value is a fixed constant and Chainlink's randomness service is not available. Any “randomised on mint” mechanic is therefore either predictable or influenceable by the sequencer, which is Robinhood's.</w:t>
      </w:r>
    </w:p>
    <w:p>
      <w:pPr>
        <w:keepLines/>
        <w:spacing w:before="40" w:after="40"/>
        <w:ind w:left="283"/>
        <w:shd w:val="clear" w:fill="F2F5F4"/>
      </w:pPr>
      <w:r>
        <w:rPr>
          <w:rFonts w:ascii="Consolas" w:hAnsi="Consolas"/>
          <w:b/>
          <w:color w:val="0E5A4F"/>
          <w:sz w:val="19"/>
        </w:rPr>
        <w:t xml:space="preserve">[   ]  a   </w:t>
      </w:r>
      <w:r>
        <w:rPr>
          <w:rFonts w:ascii="Georgia" w:hAnsi="Georgia"/>
          <w:b/>
          <w:color w:val="131C1B"/>
          <w:sz w:val="20"/>
        </w:rPr>
        <w:t>Fixed and published.</w:t>
      </w:r>
      <w:r>
        <w:rPr>
          <w:rFonts w:ascii="Georgia" w:hAnsi="Georgia"/>
          <w:color w:val="131C1B"/>
          <w:sz w:val="20"/>
        </w:rPr>
        <w:t xml:space="preserve"> Assignments decided in advance and committed on-chain as a fingerprint before minting opens, so anyone can prove nothing changed afterwards.</w:t>
      </w:r>
    </w:p>
    <w:p>
      <w:pPr>
        <w:keepLines/>
        <w:spacing w:before="40" w:after="40"/>
        <w:ind w:left="283"/>
        <w:shd w:val="clear" w:fill="F2F5F4"/>
      </w:pPr>
      <w:r>
        <w:rPr>
          <w:rFonts w:ascii="Consolas" w:hAnsi="Consolas"/>
          <w:b/>
          <w:color w:val="0E5A4F"/>
          <w:sz w:val="19"/>
        </w:rPr>
        <w:t xml:space="preserve">[   ]  b   </w:t>
      </w:r>
      <w:r>
        <w:rPr>
          <w:rFonts w:ascii="Georgia" w:hAnsi="Georgia"/>
          <w:b/>
          <w:color w:val="131C1B"/>
          <w:sz w:val="20"/>
        </w:rPr>
        <w:t>Sequential.</w:t>
      </w:r>
      <w:r>
        <w:rPr>
          <w:rFonts w:ascii="Georgia" w:hAnsi="Georgia"/>
          <w:color w:val="131C1B"/>
          <w:sz w:val="20"/>
        </w:rPr>
        <w:t xml:space="preserve"> The first bear minted gets the first entry in the manifest.</w:t>
      </w:r>
    </w:p>
    <w:p>
      <w:pPr>
        <w:keepLines/>
        <w:spacing w:before="40" w:after="40"/>
        <w:ind w:left="283"/>
        <w:shd w:val="clear" w:fill="F2F5F4"/>
      </w:pPr>
      <w:r>
        <w:rPr>
          <w:rFonts w:ascii="Consolas" w:hAnsi="Consolas"/>
          <w:b/>
          <w:color w:val="0E5A4F"/>
          <w:sz w:val="19"/>
        </w:rPr>
        <w:t xml:space="preserve">[   ]  c   </w:t>
      </w:r>
      <w:r>
        <w:rPr>
          <w:rFonts w:ascii="Georgia" w:hAnsi="Georgia"/>
          <w:b/>
          <w:color w:val="131C1B"/>
          <w:sz w:val="20"/>
        </w:rPr>
        <w:t>Delayed reveal</w:t>
      </w:r>
      <w:r>
        <w:rPr>
          <w:rFonts w:ascii="Georgia" w:hAnsi="Georgia"/>
          <w:color w:val="131C1B"/>
          <w:sz w:val="20"/>
        </w:rPr>
        <w:t xml:space="preserve"> after minting closes, from a value committed in advance.</w:t>
      </w:r>
    </w:p>
    <w:p>
      <w:pPr>
        <w:keepNext/>
        <w:keepLines/>
        <w:spacing w:after="60" w:before="0"/>
        <w:ind w:left="57"/>
      </w:pPr>
      <w:r>
        <w:rPr>
          <w:rFonts w:ascii="Calibri" w:hAnsi="Calibri"/>
          <w:b/>
          <w:color w:val="0E5A4F"/>
          <w:sz w:val="15"/>
          <w:spacing w:val="24"/>
        </w:rPr>
        <w:t>OUR RECOMMENDATION</w:t>
      </w:r>
    </w:p>
    <w:p>
      <w:pPr>
        <w:spacing w:after="100"/>
        <w:ind w:left="142"/>
        <w:shd w:val="clear" w:fill="EEF5F2"/>
        <w:pBdr>
          <w:left w:val="single" w:sz="18" w:space="8" w:color="0E5A4F"/>
        </w:pBdr>
      </w:pPr>
      <w:r>
        <w:rPr>
          <w:rFonts w:ascii="Georgia" w:hAnsi="Georgia"/>
          <w:color w:val="131C1B"/>
          <w:sz w:val="20"/>
        </w:rPr>
        <w:t>Option (a). Publish the full trait manifest and its fingerprint before the mint opens.</w:t>
      </w:r>
    </w:p>
    <w:p>
      <w:pPr>
        <w:spacing w:after="100"/>
        <w:ind w:left="142"/>
        <w:shd w:val="clear" w:fill="EEF5F2"/>
        <w:pBdr>
          <w:left w:val="single" w:sz="18" w:space="8" w:color="0E5A4F"/>
        </w:pBdr>
      </w:pPr>
      <w:r>
        <w:rPr>
          <w:rFonts w:ascii="Georgia" w:hAnsi="Georgia"/>
          <w:color w:val="131C1B"/>
          <w:sz w:val="20"/>
        </w:rPr>
        <w:t>The reference project chose (c) and describes its block-hash reveal as “unmanipulable” in its own source comments. That does not hold on a chain with a single sequencer. A reveal that later turns out to have been influenced is a far worse story than an honest fixed assignment anyone can verify.</w:t>
      </w:r>
    </w:p>
    <w:p>
      <w:pPr>
        <w:spacing w:after="160"/>
        <w:ind w:left="142"/>
        <w:shd w:val="clear" w:fill="EEF5F2"/>
        <w:pBdr>
          <w:left w:val="single" w:sz="18" w:space="8" w:color="0E5A4F"/>
        </w:pBdr>
      </w:pPr>
      <w:r>
        <w:rPr>
          <w:rFonts w:ascii="Georgia" w:hAnsi="Georgia"/>
          <w:color w:val="131C1B"/>
          <w:sz w:val="20"/>
        </w:rPr>
        <w:t>Also a small confirmation: bears numbered 1 to 4444 rather than 0 to 4443, matching the “MINT Bear #1234” format.</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r>
        <w:br w:type="page"/>
      </w:r>
    </w:p>
    <w:p>
      <w:pPr>
        <w:keepNext/>
        <w:keepLines/>
        <w:spacing w:after="40"/>
      </w:pPr>
      <w:r>
        <w:rPr>
          <w:rFonts w:ascii="Calibri" w:hAnsi="Calibri"/>
          <w:b/>
          <w:color w:val="0E5A4F"/>
          <w:sz w:val="34"/>
        </w:rPr>
        <w:t>4 · Activation and rewards</w:t>
      </w:r>
    </w:p>
    <w:p>
      <w:pPr>
        <w:spacing w:after="320"/>
        <w:keepNext/>
        <w:keepLines/>
        <w:pBdr>
          <w:bottom w:val="single" w:sz="6" w:space="6" w:color="D6DEDB"/>
        </w:pBdr>
      </w:pPr>
      <w:r>
        <w:rPr>
          <w:rFonts w:ascii="Consolas" w:hAnsi="Consolas"/>
          <w:color w:val="788884"/>
          <w:sz w:val="16"/>
        </w:rPr>
        <w:t>Q11–Q15</w:t>
      </w:r>
    </w:p>
    <w:p>
      <w:pPr>
        <w:keepNext/>
        <w:keepLines/>
        <w:spacing w:before="300" w:after="40"/>
      </w:pPr>
      <w:r>
        <w:rPr>
          <w:rFonts w:ascii="Consolas" w:hAnsi="Consolas"/>
          <w:b/>
          <w:color w:val="0E5A4F"/>
          <w:sz w:val="18"/>
        </w:rPr>
        <w:t>Q11</w:t>
      </w:r>
      <w:r>
        <w:rPr>
          <w:rFonts w:ascii="Calibri" w:hAnsi="Calibri"/>
          <w:b/>
          <w:color w:val="0E5A4F"/>
          <w:sz w:val="15"/>
          <w:spacing w:val="26"/>
        </w:rPr>
        <w:t xml:space="preserve">   ANSWERED</w:t>
      </w:r>
    </w:p>
    <w:p>
      <w:pPr>
        <w:keepNext/>
        <w:keepLines/>
        <w:spacing w:after="140"/>
      </w:pPr>
      <w:r>
        <w:rPr>
          <w:rFonts w:ascii="Calibri" w:hAnsi="Calibri"/>
          <w:b/>
          <w:color w:val="131C1B"/>
          <w:sz w:val="26"/>
        </w:rPr>
        <w:t>The daily reward pool stays off-chain</w:t>
      </w:r>
    </w:p>
    <w:p>
      <w:pPr>
        <w:keepNext/>
        <w:keepLines/>
        <w:spacing w:after="60" w:before="0"/>
        <w:ind w:left="57"/>
      </w:pPr>
      <w:r>
        <w:rPr>
          <w:rFonts w:ascii="Calibri" w:hAnsi="Calibri"/>
          <w:b/>
          <w:color w:val="7E5C0E"/>
          <w:sz w:val="15"/>
          <w:spacing w:val="24"/>
        </w:rPr>
        <w:t>RECORDED FROM YOUR EMAIL</w:t>
      </w:r>
    </w:p>
    <w:p>
      <w:pPr>
        <w:spacing w:after="180"/>
        <w:ind w:left="142"/>
        <w:shd w:val="clear" w:fill="F7F2E4"/>
        <w:pBdr>
          <w:left w:val="single" w:sz="18" w:space="8" w:color="7E5C0E"/>
        </w:pBdr>
      </w:pPr>
      <w:r>
        <w:rPr>
          <w:rFonts w:ascii="Georgia" w:hAnsi="Georgia"/>
          <w:b/>
          <w:color w:val="131C1B"/>
          <w:sz w:val="20"/>
        </w:rPr>
        <w:t>Recorded from your email:</w:t>
      </w:r>
      <w:r>
        <w:rPr>
          <w:rFonts w:ascii="Georgia" w:hAnsi="Georgia"/>
          <w:color w:val="131C1B"/>
          <w:sz w:val="20"/>
        </w:rPr>
        <w:t xml:space="preserve"> the fourth contract “connects Bear level/ownership with the user's MINT Status and resulting reward boost” — an integration that publishes level and boost for your platform to read, not an on-chain pool that receives house revenue and pays it out.</w:t>
      </w:r>
    </w:p>
    <w:p>
      <w:pPr>
        <w:spacing w:after="140"/>
      </w:pPr>
      <w:r>
        <w:rPr>
          <w:rFonts w:ascii="Georgia" w:hAnsi="Georgia"/>
          <w:color w:val="131C1B"/>
          <w:sz w:val="20"/>
        </w:rPr>
        <w:t>We have taken that as option (c) from v1.0 and scoped accordingly: no funding operations, no daily periods, no claims, no unclaimed-reward policy on-chain. It roughly halves the contract surface and the audit cost.</w:t>
      </w:r>
    </w:p>
    <w:p>
      <w:pPr>
        <w:keepNext/>
        <w:keepLines/>
        <w:spacing w:after="60" w:before="0"/>
        <w:ind w:left="57"/>
      </w:pPr>
      <w:r>
        <w:rPr>
          <w:rFonts w:ascii="Calibri" w:hAnsi="Calibri"/>
          <w:b/>
          <w:color w:val="0E5A4F"/>
          <w:sz w:val="15"/>
          <w:spacing w:val="24"/>
        </w:rPr>
        <w:t>OUR RECOMMENDATION</w:t>
      </w:r>
    </w:p>
    <w:p>
      <w:pPr>
        <w:spacing w:after="100"/>
        <w:ind w:left="142"/>
        <w:shd w:val="clear" w:fill="EEF5F2"/>
        <w:pBdr>
          <w:left w:val="single" w:sz="18" w:space="8" w:color="0E5A4F"/>
        </w:pBdr>
      </w:pPr>
      <w:r>
        <w:rPr>
          <w:rFonts w:ascii="Georgia" w:hAnsi="Georgia"/>
          <w:color w:val="131C1B"/>
          <w:sz w:val="20"/>
        </w:rPr>
        <w:t>Please confirm explicitly, because your original brief made a daily pool funded from house edge the centre of the product and your email does not mention it. “Status and resulting reward boost” is not the same thing as a daily pool paid in $MNTD, and we would rather ask twice than discover later that a distributor was expected.</w:t>
      </w:r>
    </w:p>
    <w:p>
      <w:pPr>
        <w:spacing w:after="160"/>
        <w:ind w:left="142"/>
        <w:shd w:val="clear" w:fill="EEF5F2"/>
        <w:pBdr>
          <w:left w:val="single" w:sz="18" w:space="8" w:color="0E5A4F"/>
        </w:pBdr>
      </w:pPr>
      <w:r>
        <w:rPr>
          <w:rFonts w:ascii="Georgia" w:hAnsi="Georgia"/>
          <w:color w:val="131C1B"/>
          <w:sz w:val="20"/>
        </w:rPr>
        <w:t>If a pool is expected on-chain after all, it opens a short follow-up round: how a day is defined, what happens to unclaimed rewards, and who owns rewards accrued when a bear is sold mid-day.</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Q12</w:t>
      </w:r>
      <w:r>
        <w:rPr>
          <w:rFonts w:ascii="Calibri" w:hAnsi="Calibri"/>
          <w:b/>
          <w:color w:val="0E5A4F"/>
          <w:sz w:val="15"/>
          <w:spacing w:val="26"/>
        </w:rPr>
        <w:t xml:space="preserve">   DECISION</w:t>
      </w:r>
    </w:p>
    <w:p>
      <w:pPr>
        <w:keepNext/>
        <w:keepLines/>
        <w:spacing w:after="140"/>
      </w:pPr>
      <w:r>
        <w:rPr>
          <w:rFonts w:ascii="Calibri" w:hAnsi="Calibri"/>
          <w:b/>
          <w:color w:val="131C1B"/>
          <w:sz w:val="26"/>
        </w:rPr>
        <w:t>One boost figure per level, or two?</w:t>
      </w:r>
    </w:p>
    <w:p>
      <w:pPr>
        <w:spacing w:after="140"/>
      </w:pPr>
      <w:r>
        <w:rPr>
          <w:rFonts w:ascii="Georgia" w:hAnsi="Georgia"/>
          <w:color w:val="131C1B"/>
          <w:sz w:val="20"/>
        </w:rPr>
        <w:t>The specification stores a single boost value per level; the brief has two independent figures — a weight in the daily pool and a Status multiplier.</w:t>
      </w:r>
    </w:p>
    <w:p>
      <w:pPr>
        <w:keepLines/>
        <w:spacing w:before="40" w:after="40"/>
        <w:ind w:left="283"/>
        <w:shd w:val="clear" w:fill="F2F5F4"/>
      </w:pPr>
      <w:r>
        <w:rPr>
          <w:rFonts w:ascii="Consolas" w:hAnsi="Consolas"/>
          <w:b/>
          <w:color w:val="0E5A4F"/>
          <w:sz w:val="19"/>
        </w:rPr>
        <w:t xml:space="preserve">[   ]  a   </w:t>
      </w:r>
      <w:r>
        <w:rPr>
          <w:rFonts w:ascii="Georgia" w:hAnsi="Georgia"/>
          <w:color w:val="131C1B"/>
          <w:sz w:val="20"/>
        </w:rPr>
        <w:t>Store both on-chain: pool weight and Status multiplier.</w:t>
      </w:r>
    </w:p>
    <w:p>
      <w:pPr>
        <w:keepLines/>
        <w:spacing w:before="40" w:after="40"/>
        <w:ind w:left="283"/>
        <w:shd w:val="clear" w:fill="F2F5F4"/>
      </w:pPr>
      <w:r>
        <w:rPr>
          <w:rFonts w:ascii="Consolas" w:hAnsi="Consolas"/>
          <w:b/>
          <w:color w:val="0E5A4F"/>
          <w:sz w:val="19"/>
        </w:rPr>
        <w:t xml:space="preserve">[   ]  b   </w:t>
      </w:r>
      <w:r>
        <w:rPr>
          <w:rFonts w:ascii="Georgia" w:hAnsi="Georgia"/>
          <w:color w:val="131C1B"/>
          <w:sz w:val="20"/>
        </w:rPr>
        <w:t>Store the Status multiplier only; your platform derives the weight from the level.</w:t>
      </w:r>
    </w:p>
    <w:p>
      <w:pPr>
        <w:keepLines/>
        <w:spacing w:before="40" w:after="40"/>
        <w:ind w:left="283"/>
        <w:shd w:val="clear" w:fill="F2F5F4"/>
      </w:pPr>
      <w:r>
        <w:rPr>
          <w:rFonts w:ascii="Consolas" w:hAnsi="Consolas"/>
          <w:b/>
          <w:color w:val="0E5A4F"/>
          <w:sz w:val="19"/>
        </w:rPr>
        <w:t xml:space="preserve">[   ]  c   </w:t>
      </w:r>
      <w:r>
        <w:rPr>
          <w:rFonts w:ascii="Georgia" w:hAnsi="Georgia"/>
          <w:color w:val="131C1B"/>
          <w:sz w:val="20"/>
        </w:rPr>
        <w:t>Drop the weight concept from the contracts entirely.</w:t>
      </w:r>
    </w:p>
    <w:p>
      <w:pPr>
        <w:keepNext/>
        <w:keepLines/>
        <w:spacing w:after="60" w:before="0"/>
        <w:ind w:left="57"/>
      </w:pPr>
      <w:r>
        <w:rPr>
          <w:rFonts w:ascii="Calibri" w:hAnsi="Calibri"/>
          <w:b/>
          <w:color w:val="0E5A4F"/>
          <w:sz w:val="15"/>
          <w:spacing w:val="24"/>
        </w:rPr>
        <w:t>OUR RECOMMENDATION</w:t>
      </w:r>
    </w:p>
    <w:p>
      <w:pPr>
        <w:spacing w:after="160"/>
        <w:ind w:left="142"/>
        <w:shd w:val="clear" w:fill="EEF5F2"/>
        <w:pBdr>
          <w:left w:val="single" w:sz="18" w:space="8" w:color="0E5A4F"/>
        </w:pBdr>
      </w:pPr>
      <w:r>
        <w:rPr>
          <w:rFonts w:ascii="Georgia" w:hAnsi="Georgia"/>
          <w:color w:val="131C1B"/>
          <w:sz w:val="20"/>
        </w:rPr>
        <w:t>Option (a). Storing both keeps your two economic levers visible and independently auditable, and lets your platform, a future rewards contract and any third-party dashboard read the same authoritative numbers. Under (b) the same economics live in two places and will drift.</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Q13</w:t>
      </w:r>
      <w:r>
        <w:rPr>
          <w:rFonts w:ascii="Calibri" w:hAnsi="Calibri"/>
          <w:b/>
          <w:color w:val="0E5A4F"/>
          <w:sz w:val="15"/>
          <w:spacing w:val="26"/>
        </w:rPr>
        <w:t xml:space="preserve">   ANSWERED</w:t>
      </w:r>
    </w:p>
    <w:p>
      <w:pPr>
        <w:keepNext/>
        <w:keepLines/>
        <w:spacing w:after="140"/>
      </w:pPr>
      <w:r>
        <w:rPr>
          <w:rFonts w:ascii="Calibri" w:hAnsi="Calibri"/>
          <w:b/>
          <w:color w:val="131C1B"/>
          <w:sz w:val="26"/>
        </w:rPr>
        <w:t>The four activation rules</w:t>
      </w:r>
    </w:p>
    <w:p>
      <w:pPr>
        <w:keepNext/>
        <w:keepLines/>
        <w:spacing w:after="60" w:before="0"/>
        <w:ind w:left="57"/>
      </w:pPr>
      <w:r>
        <w:rPr>
          <w:rFonts w:ascii="Calibri" w:hAnsi="Calibri"/>
          <w:b/>
          <w:color w:val="7E5C0E"/>
          <w:sz w:val="15"/>
          <w:spacing w:val="24"/>
        </w:rPr>
        <w:t>RECORDED FROM YOUR EMAIL</w:t>
      </w:r>
    </w:p>
    <w:p>
      <w:pPr>
        <w:spacing w:after="180"/>
        <w:ind w:left="142"/>
        <w:shd w:val="clear" w:fill="F7F2E4"/>
        <w:pBdr>
          <w:left w:val="single" w:sz="18" w:space="8" w:color="7E5C0E"/>
        </w:pBdr>
      </w:pPr>
      <w:r>
        <w:rPr>
          <w:rFonts w:ascii="Georgia" w:hAnsi="Georgia"/>
          <w:b/>
          <w:color w:val="131C1B"/>
          <w:sz w:val="20"/>
        </w:rPr>
        <w:t>Recorded from your email:</w:t>
      </w:r>
      <w:r>
        <w:rPr>
          <w:rFonts w:ascii="Georgia" w:hAnsi="Georgia"/>
          <w:color w:val="131C1B"/>
          <w:sz w:val="20"/>
        </w:rPr>
        <w:t xml:space="preserve"> “On a sale, the Bear, its ERC-6551 wallet and the assets inside transfer to the buyer, while its activation level/reward boost and MINT Status link reset.” That confirms the reset, with no exemption for any kind of transfer.</w:t>
      </w:r>
    </w:p>
    <w:p>
      <w:pPr>
        <w:spacing w:after="140"/>
      </w:pPr>
      <w:r>
        <w:rPr>
          <w:rFonts w:ascii="Georgia" w:hAnsi="Georgia"/>
          <w:color w:val="131C1B"/>
          <w:sz w:val="20"/>
        </w:rPr>
        <w:t>Three details the email does not settle, which we intend to build as follows — please confirm or correct:</w:t>
      </w:r>
    </w:p>
    <w:p>
      <w:pPr>
        <w:keepLines/>
        <w:spacing w:before="40" w:after="40"/>
        <w:ind w:left="283"/>
        <w:shd w:val="clear" w:fill="F2F5F4"/>
      </w:pPr>
      <w:r>
        <w:rPr>
          <w:rFonts w:ascii="Consolas" w:hAnsi="Consolas"/>
          <w:b/>
          <w:color w:val="0E5A4F"/>
          <w:sz w:val="19"/>
        </w:rPr>
        <w:t xml:space="preserve">[   ]  i   </w:t>
      </w:r>
      <w:r>
        <w:rPr>
          <w:rFonts w:ascii="Georgia" w:hAnsi="Georgia"/>
          <w:b/>
          <w:color w:val="131C1B"/>
          <w:sz w:val="20"/>
        </w:rPr>
        <w:t>No partial credit.</w:t>
      </w:r>
      <w:r>
        <w:rPr>
          <w:rFonts w:ascii="Georgia" w:hAnsi="Georgia"/>
          <w:color w:val="131C1B"/>
          <w:sz w:val="20"/>
        </w:rPr>
        <w:t xml:space="preserve"> A holder pays the full step to reach the next level; burning less is rejected rather than banked as progress.</w:t>
      </w:r>
    </w:p>
    <w:p>
      <w:pPr>
        <w:keepLines/>
        <w:spacing w:before="40" w:after="40"/>
        <w:ind w:left="283"/>
        <w:shd w:val="clear" w:fill="F2F5F4"/>
      </w:pPr>
      <w:r>
        <w:rPr>
          <w:rFonts w:ascii="Consolas" w:hAnsi="Consolas"/>
          <w:b/>
          <w:color w:val="0E5A4F"/>
          <w:sz w:val="19"/>
        </w:rPr>
        <w:t xml:space="preserve">[   ]  ii   </w:t>
      </w:r>
      <w:r>
        <w:rPr>
          <w:rFonts w:ascii="Georgia" w:hAnsi="Georgia"/>
          <w:b/>
          <w:color w:val="131C1B"/>
          <w:sz w:val="20"/>
        </w:rPr>
        <w:t>Direct jumps allowed.</w:t>
      </w:r>
      <w:r>
        <w:rPr>
          <w:rFonts w:ascii="Georgia" w:hAnsi="Georgia"/>
          <w:color w:val="131C1B"/>
          <w:sz w:val="20"/>
        </w:rPr>
        <w:t xml:space="preserve"> Level 0 to level 5 in one transaction for 250,000 $MNTD.</w:t>
      </w:r>
    </w:p>
    <w:p>
      <w:pPr>
        <w:keepLines/>
        <w:spacing w:before="40" w:after="40"/>
        <w:ind w:left="283"/>
        <w:shd w:val="clear" w:fill="F2F5F4"/>
      </w:pPr>
      <w:r>
        <w:rPr>
          <w:rFonts w:ascii="Consolas" w:hAnsi="Consolas"/>
          <w:b/>
          <w:color w:val="0E5A4F"/>
          <w:sz w:val="19"/>
        </w:rPr>
        <w:t xml:space="preserve">[   ]  iii   </w:t>
      </w:r>
      <w:r>
        <w:rPr>
          <w:rFonts w:ascii="Georgia" w:hAnsi="Georgia"/>
          <w:b/>
          <w:color w:val="131C1B"/>
          <w:sz w:val="20"/>
        </w:rPr>
        <w:t>Only the owner can activate.</w:t>
      </w:r>
      <w:r>
        <w:rPr>
          <w:rFonts w:ascii="Georgia" w:hAnsi="Georgia"/>
          <w:color w:val="131C1B"/>
          <w:sz w:val="20"/>
        </w:rPr>
        <w:t xml:space="preserve"> An approved marketplace or operator cannot spend the owner's $MNTD, even while holding transfer approval.</w:t>
      </w:r>
    </w:p>
    <w:p>
      <w:pPr>
        <w:keepNext/>
        <w:keepLines/>
        <w:spacing w:after="60" w:before="0"/>
        <w:ind w:left="57"/>
      </w:pPr>
      <w:r>
        <w:rPr>
          <w:rFonts w:ascii="Calibri" w:hAnsi="Calibri"/>
          <w:b/>
          <w:color w:val="0E5A4F"/>
          <w:sz w:val="15"/>
          <w:spacing w:val="24"/>
        </w:rPr>
        <w:t>OUR RECOMMENDATION</w:t>
      </w:r>
    </w:p>
    <w:p>
      <w:pPr>
        <w:spacing w:after="100"/>
        <w:ind w:left="142"/>
        <w:shd w:val="clear" w:fill="EEF5F2"/>
        <w:pBdr>
          <w:left w:val="single" w:sz="18" w:space="8" w:color="0E5A4F"/>
        </w:pBdr>
      </w:pPr>
      <w:r>
        <w:rPr>
          <w:rFonts w:ascii="Georgia" w:hAnsi="Georgia"/>
          <w:color w:val="131C1B"/>
          <w:sz w:val="20"/>
        </w:rPr>
        <w:t>Confirm all three. We would also keep a lifetime burn total per bear that never resets — it costs nothing and gives you a permanent record for leaderboards after a bear changes hands.</w:t>
      </w:r>
    </w:p>
    <w:p>
      <w:pPr>
        <w:spacing w:after="100"/>
        <w:ind w:left="142"/>
        <w:shd w:val="clear" w:fill="EEF5F2"/>
        <w:pBdr>
          <w:left w:val="single" w:sz="18" w:space="8" w:color="0E5A4F"/>
        </w:pBdr>
      </w:pPr>
      <w:r>
        <w:rPr>
          <w:rFonts w:ascii="Georgia" w:hAnsi="Georgia"/>
          <w:color w:val="131C1B"/>
          <w:sz w:val="20"/>
        </w:rPr>
        <w:t xml:space="preserve">One consequence to confirm as deliberate: a level 5 bear is worth no more to a buyer than an unactivated one, so roughly </w:t>
      </w:r>
      <w:r>
        <w:rPr>
          <w:rFonts w:ascii="Georgia" w:hAnsi="Georgia"/>
          <w:b/>
          <w:color w:val="131C1B"/>
          <w:sz w:val="20"/>
        </w:rPr>
        <w:t>$8,250 of burned value is destroyed on every sale</w:t>
      </w:r>
      <w:r>
        <w:rPr>
          <w:rFonts w:ascii="Georgia" w:hAnsi="Georgia"/>
          <w:color w:val="131C1B"/>
          <w:sz w:val="20"/>
        </w:rPr>
        <w:t xml:space="preserve"> and activated bears are close to non-transferable in practice. We read that as the intended anti-flipping design, but it is a significant product position and we would rather hear you state it than assume it.</w:t>
      </w:r>
    </w:p>
    <w:p>
      <w:pPr>
        <w:spacing w:after="160"/>
        <w:ind w:left="142"/>
        <w:shd w:val="clear" w:fill="EEF5F2"/>
        <w:pBdr>
          <w:left w:val="single" w:sz="18" w:space="8" w:color="0E5A4F"/>
        </w:pBdr>
      </w:pPr>
      <w:r>
        <w:rPr>
          <w:rFonts w:ascii="Georgia" w:hAnsi="Georgia"/>
          <w:color w:val="131C1B"/>
          <w:sz w:val="20"/>
        </w:rPr>
        <w:t xml:space="preserve">Also note the interaction with your sale description: activation resets at the moment of transfer, which for a custodial marketplace means at </w:t>
      </w:r>
      <w:r>
        <w:rPr>
          <w:rFonts w:ascii="Georgia" w:hAnsi="Georgia"/>
          <w:b/>
          <w:color w:val="131C1B"/>
          <w:sz w:val="20"/>
        </w:rPr>
        <w:t>listing</w:t>
      </w:r>
      <w:r>
        <w:rPr>
          <w:rFonts w:ascii="Georgia" w:hAnsi="Georgia"/>
          <w:color w:val="131C1B"/>
          <w:sz w:val="20"/>
        </w:rPr>
        <w:t xml:space="preserve"> time, not sale time. Holders should be steered to approval-based listings in the portal.</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7E5C0E"/>
          <w:sz w:val="18"/>
        </w:rPr>
        <w:t>Q14</w:t>
      </w:r>
      <w:r>
        <w:rPr>
          <w:rFonts w:ascii="Calibri" w:hAnsi="Calibri"/>
          <w:b/>
          <w:color w:val="7E5C0E"/>
          <w:sz w:val="15"/>
          <w:spacing w:val="26"/>
        </w:rPr>
        <w:t xml:space="preserve">   NEW</w:t>
      </w:r>
    </w:p>
    <w:p>
      <w:pPr>
        <w:keepNext/>
        <w:keepLines/>
        <w:spacing w:after="140"/>
      </w:pPr>
      <w:r>
        <w:rPr>
          <w:rFonts w:ascii="Calibri" w:hAnsi="Calibri"/>
          <w:b/>
          <w:color w:val="131C1B"/>
          <w:sz w:val="26"/>
        </w:rPr>
        <w:t>How does the reset reach a separate activation contract?</w:t>
      </w:r>
    </w:p>
    <w:p>
      <w:pPr>
        <w:spacing w:after="140"/>
      </w:pPr>
      <w:r>
        <w:rPr>
          <w:rFonts w:ascii="Georgia" w:hAnsi="Georgia"/>
          <w:color w:val="131C1B"/>
          <w:sz w:val="20"/>
        </w:rPr>
        <w:t>Your architecture puts activation in its own contract, which the original specification had inside the NFT. That is fine, but a separate contract cannot observe transfers, so the reset needs a mechanism — and the obvious mechanism is the one that just failed in production.</w:t>
      </w:r>
    </w:p>
    <w:p>
      <w:pPr>
        <w:spacing w:after="140"/>
      </w:pPr>
      <w:r>
        <w:rPr>
          <w:rFonts w:ascii="Georgia" w:hAnsi="Georgia"/>
          <w:color w:val="131C1B"/>
          <w:sz w:val="20"/>
        </w:rPr>
        <w:t xml:space="preserve">The reference project calls its activation manager from the NFT inside a </w:t>
      </w:r>
      <w:r>
        <w:rPr>
          <w:rFonts w:ascii="Consolas" w:hAnsi="Consolas"/>
          <w:color w:val="131C1B"/>
          <w:sz w:val="19"/>
        </w:rPr>
        <w:t>try … catch {}</w:t>
      </w:r>
      <w:r>
        <w:rPr>
          <w:rFonts w:ascii="Georgia" w:hAnsi="Georgia"/>
          <w:color w:val="131C1B"/>
          <w:sz w:val="20"/>
        </w:rPr>
        <w:t xml:space="preserve">. Because the catch is empty, a manager that reverts means </w:t>
      </w:r>
      <w:r>
        <w:rPr>
          <w:rFonts w:ascii="Georgia" w:hAnsi="Georgia"/>
          <w:b/>
          <w:color w:val="131C1B"/>
          <w:sz w:val="20"/>
        </w:rPr>
        <w:t>the sale completes and the seller's level survives on the buyer's bear</w:t>
      </w:r>
      <w:r>
        <w:rPr>
          <w:rFonts w:ascii="Georgia" w:hAnsi="Georgia"/>
          <w:color w:val="131C1B"/>
          <w:sz w:val="20"/>
        </w:rPr>
        <w:t>. Removing the catch is worse: then a bug in the activation contract would block every bear transfer permanently.</w:t>
      </w:r>
    </w:p>
    <w:p>
      <w:pPr>
        <w:keepLines/>
        <w:spacing w:before="40" w:after="40"/>
        <w:ind w:left="283"/>
        <w:shd w:val="clear" w:fill="F2F5F4"/>
      </w:pPr>
      <w:r>
        <w:rPr>
          <w:rFonts w:ascii="Consolas" w:hAnsi="Consolas"/>
          <w:b/>
          <w:color w:val="0E5A4F"/>
          <w:sz w:val="19"/>
        </w:rPr>
        <w:t xml:space="preserve">[   ]  a   </w:t>
      </w:r>
      <w:r>
        <w:rPr>
          <w:rFonts w:ascii="Georgia" w:hAnsi="Georgia"/>
          <w:b/>
          <w:color w:val="131C1B"/>
          <w:sz w:val="20"/>
        </w:rPr>
        <w:t>Callback.</w:t>
      </w:r>
      <w:r>
        <w:rPr>
          <w:rFonts w:ascii="Georgia" w:hAnsi="Georgia"/>
          <w:color w:val="131C1B"/>
          <w:sz w:val="20"/>
        </w:rPr>
        <w:t xml:space="preserve"> The NFT calls the activation contract on every transfer, as the reference project does. Either it can fail silently, or it can brick transfers.</w:t>
      </w:r>
    </w:p>
    <w:p>
      <w:pPr>
        <w:keepLines/>
        <w:spacing w:before="40" w:after="40"/>
        <w:ind w:left="283"/>
        <w:shd w:val="clear" w:fill="F2F5F4"/>
      </w:pPr>
      <w:r>
        <w:rPr>
          <w:rFonts w:ascii="Consolas" w:hAnsi="Consolas"/>
          <w:b/>
          <w:color w:val="0E5A4F"/>
          <w:sz w:val="19"/>
        </w:rPr>
        <w:t xml:space="preserve">[   ]  b   </w:t>
      </w:r>
      <w:r>
        <w:rPr>
          <w:rFonts w:ascii="Georgia" w:hAnsi="Georgia"/>
          <w:b/>
          <w:color w:val="131C1B"/>
          <w:sz w:val="20"/>
        </w:rPr>
        <w:t>Counter.</w:t>
      </w:r>
      <w:r>
        <w:rPr>
          <w:rFonts w:ascii="Georgia" w:hAnsi="Georgia"/>
          <w:color w:val="131C1B"/>
          <w:sz w:val="20"/>
        </w:rPr>
        <w:t xml:space="preserve"> The NFT keeps one number per bear, incremented on every transfer. The activation contract stores the level together with the counter value it was set at, and treats the level as void if the counter has moved.</w:t>
      </w:r>
    </w:p>
    <w:p>
      <w:pPr>
        <w:keepNext/>
        <w:keepLines/>
        <w:spacing w:after="60" w:before="0"/>
        <w:ind w:left="57"/>
      </w:pPr>
      <w:r>
        <w:rPr>
          <w:rFonts w:ascii="Calibri" w:hAnsi="Calibri"/>
          <w:b/>
          <w:color w:val="0E5A4F"/>
          <w:sz w:val="15"/>
          <w:spacing w:val="24"/>
        </w:rPr>
        <w:t>OUR RECOMMENDATION</w:t>
      </w:r>
    </w:p>
    <w:p>
      <w:pPr>
        <w:spacing w:after="100"/>
        <w:ind w:left="142"/>
        <w:shd w:val="clear" w:fill="EEF5F2"/>
        <w:pBdr>
          <w:left w:val="single" w:sz="18" w:space="8" w:color="0E5A4F"/>
        </w:pBdr>
      </w:pPr>
      <w:r>
        <w:rPr>
          <w:rFonts w:ascii="Georgia" w:hAnsi="Georgia"/>
          <w:color w:val="131C1B"/>
          <w:sz w:val="20"/>
        </w:rPr>
        <w:t>Option (b), emphatically. It is one storage write on transfer with no external call, so there is no path by which the activation contract can either fail to reset or block a transfer — the reset is a consequence of the counter moving rather than an action that has to succeed. The MINT Status link resets from the same read, and it costs less gas than the callback.</w:t>
      </w:r>
    </w:p>
    <w:p>
      <w:pPr>
        <w:spacing w:after="160"/>
        <w:ind w:left="142"/>
        <w:shd w:val="clear" w:fill="EEF5F2"/>
        <w:pBdr>
          <w:left w:val="single" w:sz="18" w:space="8" w:color="0E5A4F"/>
        </w:pBdr>
      </w:pPr>
      <w:r>
        <w:rPr>
          <w:rFonts w:ascii="Georgia" w:hAnsi="Georgia"/>
          <w:color w:val="131C1B"/>
          <w:sz w:val="20"/>
        </w:rPr>
        <w:t>It also means the NFT has no dependency on the activation contract's address, so the activation contract could be replaced without touching the token.</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Q15</w:t>
      </w:r>
      <w:r>
        <w:rPr>
          <w:rFonts w:ascii="Calibri" w:hAnsi="Calibri"/>
          <w:b/>
          <w:color w:val="0E5A4F"/>
          <w:sz w:val="15"/>
          <w:spacing w:val="26"/>
        </w:rPr>
        <w:t xml:space="preserve">   DECISION</w:t>
      </w:r>
    </w:p>
    <w:p>
      <w:pPr>
        <w:keepNext/>
        <w:keepLines/>
        <w:spacing w:after="140"/>
      </w:pPr>
      <w:r>
        <w:rPr>
          <w:rFonts w:ascii="Calibri" w:hAnsi="Calibri"/>
          <w:b/>
          <w:color w:val="131C1B"/>
          <w:sz w:val="26"/>
        </w:rPr>
        <w:t>Are the thresholds and boosts frozen after launch?</w:t>
      </w:r>
    </w:p>
    <w:p>
      <w:pPr>
        <w:keepLines/>
        <w:spacing w:before="40" w:after="40"/>
        <w:ind w:left="283"/>
        <w:shd w:val="clear" w:fill="F2F5F4"/>
      </w:pPr>
      <w:r>
        <w:rPr>
          <w:rFonts w:ascii="Consolas" w:hAnsi="Consolas"/>
          <w:b/>
          <w:color w:val="0E5A4F"/>
          <w:sz w:val="19"/>
        </w:rPr>
        <w:t xml:space="preserve">[   ]  a   </w:t>
      </w:r>
      <w:r>
        <w:rPr>
          <w:rFonts w:ascii="Georgia" w:hAnsi="Georgia"/>
          <w:color w:val="131C1B"/>
          <w:sz w:val="20"/>
        </w:rPr>
        <w:t>Adjustable by admin indefinitely.</w:t>
      </w:r>
    </w:p>
    <w:p>
      <w:pPr>
        <w:keepLines/>
        <w:spacing w:before="40" w:after="40"/>
        <w:ind w:left="283"/>
        <w:shd w:val="clear" w:fill="F2F5F4"/>
      </w:pPr>
      <w:r>
        <w:rPr>
          <w:rFonts w:ascii="Consolas" w:hAnsi="Consolas"/>
          <w:b/>
          <w:color w:val="0E5A4F"/>
          <w:sz w:val="19"/>
        </w:rPr>
        <w:t xml:space="preserve">[   ]  b   </w:t>
      </w:r>
      <w:r>
        <w:rPr>
          <w:rFonts w:ascii="Georgia" w:hAnsi="Georgia"/>
          <w:color w:val="131C1B"/>
          <w:sz w:val="20"/>
        </w:rPr>
        <w:t>Adjustable until you call a one-way freeze, then permanently fixed.</w:t>
      </w:r>
    </w:p>
    <w:p>
      <w:pPr>
        <w:keepLines/>
        <w:spacing w:before="40" w:after="40"/>
        <w:ind w:left="283"/>
        <w:shd w:val="clear" w:fill="F2F5F4"/>
      </w:pPr>
      <w:r>
        <w:rPr>
          <w:rFonts w:ascii="Consolas" w:hAnsi="Consolas"/>
          <w:b/>
          <w:color w:val="0E5A4F"/>
          <w:sz w:val="19"/>
        </w:rPr>
        <w:t xml:space="preserve">[   ]  c   </w:t>
      </w:r>
      <w:r>
        <w:rPr>
          <w:rFonts w:ascii="Georgia" w:hAnsi="Georgia"/>
          <w:color w:val="131C1B"/>
          <w:sz w:val="20"/>
        </w:rPr>
        <w:t>Fixed at deployment.</w:t>
      </w:r>
    </w:p>
    <w:p>
      <w:pPr>
        <w:keepNext/>
        <w:keepLines/>
        <w:spacing w:after="60" w:before="0"/>
        <w:ind w:left="57"/>
      </w:pPr>
      <w:r>
        <w:rPr>
          <w:rFonts w:ascii="Calibri" w:hAnsi="Calibri"/>
          <w:b/>
          <w:color w:val="0E5A4F"/>
          <w:sz w:val="15"/>
          <w:spacing w:val="24"/>
        </w:rPr>
        <w:t>OUR RECOMMENDATION</w:t>
      </w:r>
    </w:p>
    <w:p>
      <w:pPr>
        <w:spacing w:after="160"/>
        <w:ind w:left="142"/>
        <w:shd w:val="clear" w:fill="EEF5F2"/>
        <w:pBdr>
          <w:left w:val="single" w:sz="18" w:space="8" w:color="0E5A4F"/>
        </w:pBdr>
      </w:pPr>
      <w:r>
        <w:rPr>
          <w:rFonts w:ascii="Georgia" w:hAnsi="Georgia"/>
          <w:color w:val="131C1B"/>
          <w:sz w:val="20"/>
        </w:rPr>
        <w:t>Option (b), with the freeze called as soon as launch is verified. This is what your specification asks for, and it gives you one chance to correct a deployment mistake without leaving a permanent power to rewrite the economics your customers burned real money against.</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r>
        <w:br w:type="page"/>
      </w:r>
    </w:p>
    <w:p>
      <w:pPr>
        <w:keepNext/>
        <w:keepLines/>
        <w:spacing w:after="40"/>
      </w:pPr>
      <w:r>
        <w:rPr>
          <w:rFonts w:ascii="Calibri" w:hAnsi="Calibri"/>
          <w:b/>
          <w:color w:val="0E5A4F"/>
          <w:sz w:val="34"/>
        </w:rPr>
        <w:t>5 · Bear wallets</w:t>
      </w:r>
    </w:p>
    <w:p>
      <w:pPr>
        <w:spacing w:after="320"/>
        <w:keepNext/>
        <w:keepLines/>
        <w:pBdr>
          <w:bottom w:val="single" w:sz="6" w:space="6" w:color="D6DEDB"/>
        </w:pBdr>
      </w:pPr>
      <w:r>
        <w:rPr>
          <w:rFonts w:ascii="Consolas" w:hAnsi="Consolas"/>
          <w:color w:val="788884"/>
          <w:sz w:val="16"/>
        </w:rPr>
        <w:t>Q16–Q20</w:t>
      </w:r>
    </w:p>
    <w:p>
      <w:pPr>
        <w:keepNext/>
        <w:keepLines/>
        <w:spacing w:before="300" w:after="40"/>
      </w:pPr>
      <w:r>
        <w:rPr>
          <w:rFonts w:ascii="Consolas" w:hAnsi="Consolas"/>
          <w:b/>
          <w:color w:val="0E5A4F"/>
          <w:sz w:val="18"/>
        </w:rPr>
        <w:t>Q16</w:t>
      </w:r>
      <w:r>
        <w:rPr>
          <w:rFonts w:ascii="Calibri" w:hAnsi="Calibri"/>
          <w:b/>
          <w:color w:val="0E5A4F"/>
          <w:sz w:val="15"/>
          <w:spacing w:val="26"/>
        </w:rPr>
        <w:t xml:space="preserve">   ANSWERED</w:t>
      </w:r>
    </w:p>
    <w:p>
      <w:pPr>
        <w:keepNext/>
        <w:keepLines/>
        <w:spacing w:after="140"/>
      </w:pPr>
      <w:r>
        <w:rPr>
          <w:rFonts w:ascii="Calibri" w:hAnsi="Calibri"/>
          <w:b/>
          <w:color w:val="131C1B"/>
          <w:sz w:val="26"/>
        </w:rPr>
        <w:t>The wallet implementation is ours to build</w:t>
      </w:r>
    </w:p>
    <w:p>
      <w:pPr>
        <w:keepNext/>
        <w:keepLines/>
        <w:spacing w:after="60" w:before="0"/>
        <w:ind w:left="57"/>
      </w:pPr>
      <w:r>
        <w:rPr>
          <w:rFonts w:ascii="Calibri" w:hAnsi="Calibri"/>
          <w:b/>
          <w:color w:val="7E5C0E"/>
          <w:sz w:val="15"/>
          <w:spacing w:val="24"/>
        </w:rPr>
        <w:t>RECORDED FROM YOUR EMAIL</w:t>
      </w:r>
    </w:p>
    <w:p>
      <w:pPr>
        <w:spacing w:after="180"/>
        <w:ind w:left="142"/>
        <w:shd w:val="clear" w:fill="F7F2E4"/>
        <w:pBdr>
          <w:left w:val="single" w:sz="18" w:space="8" w:color="7E5C0E"/>
        </w:pBdr>
      </w:pPr>
      <w:r>
        <w:rPr>
          <w:rFonts w:ascii="Georgia" w:hAnsi="Georgia"/>
          <w:b/>
          <w:color w:val="131C1B"/>
          <w:sz w:val="20"/>
        </w:rPr>
        <w:t>Recorded from your email:</w:t>
      </w:r>
      <w:r>
        <w:rPr>
          <w:rFonts w:ascii="Georgia" w:hAnsi="Georgia"/>
          <w:color w:val="131C1B"/>
          <w:sz w:val="20"/>
        </w:rPr>
        <w:t xml:space="preserve"> the token-bound account is one of the four contracts you are custom-building. That matches our v1.0 recommendation, and our verification since has strengthened the case.</w:t>
      </w:r>
    </w:p>
    <w:p>
      <w:pPr>
        <w:spacing w:after="140"/>
      </w:pPr>
      <w:r>
        <w:rPr>
          <w:rFonts w:ascii="Georgia" w:hAnsi="Georgia"/>
          <w:color w:val="131C1B"/>
          <w:sz w:val="20"/>
        </w:rPr>
        <w:t>Two decisions inside that, which we intend to take as follows:</w:t>
      </w:r>
    </w:p>
    <w:p>
      <w:pPr>
        <w:keepLines/>
        <w:spacing w:before="40" w:after="40"/>
        <w:ind w:left="283"/>
        <w:shd w:val="clear" w:fill="F2F5F4"/>
      </w:pPr>
      <w:r>
        <w:rPr>
          <w:rFonts w:ascii="Consolas" w:hAnsi="Consolas"/>
          <w:b/>
          <w:color w:val="0E5A4F"/>
          <w:sz w:val="19"/>
        </w:rPr>
        <w:t xml:space="preserve">[   ]  i   </w:t>
      </w:r>
      <w:r>
        <w:rPr>
          <w:rFonts w:ascii="Georgia" w:hAnsi="Georgia"/>
          <w:color w:val="131C1B"/>
          <w:sz w:val="20"/>
        </w:rPr>
        <w:t xml:space="preserve">Build on the </w:t>
      </w:r>
      <w:r>
        <w:rPr>
          <w:rFonts w:ascii="Georgia" w:hAnsi="Georgia"/>
          <w:b/>
          <w:color w:val="131C1B"/>
          <w:sz w:val="20"/>
        </w:rPr>
        <w:t>Solady</w:t>
      </w:r>
      <w:r>
        <w:rPr>
          <w:rFonts w:ascii="Georgia" w:hAnsi="Georgia"/>
          <w:color w:val="131C1B"/>
          <w:sz w:val="20"/>
        </w:rPr>
        <w:t xml:space="preserve"> account library — chain-ID protection against forks, full ownership-cycle detection, plain-call-only execution, and cross-chain signature-replay protection.</w:t>
      </w:r>
    </w:p>
    <w:p>
      <w:pPr>
        <w:keepLines/>
        <w:spacing w:before="40" w:after="40"/>
        <w:ind w:left="283"/>
        <w:shd w:val="clear" w:fill="F2F5F4"/>
      </w:pPr>
      <w:r>
        <w:rPr>
          <w:rFonts w:ascii="Consolas" w:hAnsi="Consolas"/>
          <w:b/>
          <w:color w:val="0E5A4F"/>
          <w:sz w:val="19"/>
        </w:rPr>
        <w:t xml:space="preserve">[   ]  ii   </w:t>
      </w:r>
      <w:r>
        <w:rPr>
          <w:rFonts w:ascii="Georgia" w:hAnsi="Georgia"/>
          <w:color w:val="131C1B"/>
          <w:sz w:val="20"/>
        </w:rPr>
        <w:t xml:space="preserve">Register against the </w:t>
      </w:r>
      <w:r>
        <w:rPr>
          <w:rFonts w:ascii="Georgia" w:hAnsi="Georgia"/>
          <w:b/>
          <w:color w:val="131C1B"/>
          <w:sz w:val="20"/>
        </w:rPr>
        <w:t>canonical ERC-6551 registry</w:t>
      </w:r>
      <w:r>
        <w:rPr>
          <w:rFonts w:ascii="Georgia" w:hAnsi="Georgia"/>
          <w:color w:val="131C1B"/>
          <w:sz w:val="20"/>
        </w:rPr>
        <w:t>, which is deployed on this chain and byte-for-byte identical to Ethereum's.</w:t>
      </w:r>
    </w:p>
    <w:p>
      <w:pPr>
        <w:keepNext/>
        <w:keepLines/>
        <w:spacing w:after="60" w:before="0"/>
        <w:ind w:left="57"/>
      </w:pPr>
      <w:r>
        <w:rPr>
          <w:rFonts w:ascii="Calibri" w:hAnsi="Calibri"/>
          <w:b/>
          <w:color w:val="0E5A4F"/>
          <w:sz w:val="15"/>
          <w:spacing w:val="24"/>
        </w:rPr>
        <w:t>OUR RECOMMENDATION</w:t>
      </w:r>
    </w:p>
    <w:p>
      <w:pPr>
        <w:spacing w:after="100"/>
        <w:ind w:left="142"/>
        <w:shd w:val="clear" w:fill="EEF5F2"/>
        <w:pBdr>
          <w:left w:val="single" w:sz="18" w:space="8" w:color="0E5A4F"/>
        </w:pBdr>
      </w:pPr>
      <w:r>
        <w:rPr>
          <w:rFonts w:ascii="Georgia" w:hAnsi="Georgia"/>
          <w:color w:val="131C1B"/>
          <w:sz w:val="20"/>
        </w:rPr>
        <w:t xml:space="preserve">Confirm both. Point (ii) is worth dwelling on, because the reference project did the opposite: it uses a </w:t>
      </w:r>
      <w:r>
        <w:rPr>
          <w:rFonts w:ascii="Georgia" w:hAnsi="Georgia"/>
          <w:b/>
          <w:color w:val="131C1B"/>
          <w:sz w:val="20"/>
        </w:rPr>
        <w:t>custom registry</w:t>
      </w:r>
      <w:r>
        <w:rPr>
          <w:rFonts w:ascii="Georgia" w:hAnsi="Georgia"/>
          <w:color w:val="131C1B"/>
          <w:sz w:val="20"/>
        </w:rPr>
        <w:t>, and we confirmed the addresses it produces differ from the canonical ones. The consequence is that generic ERC-6551 wallets, portfolio trackers and indexers cannot discover its bears' accounts at all. Using the canonical registry costs nothing and keeps the collection legible to every tool that understands the standard.</w:t>
      </w:r>
    </w:p>
    <w:p>
      <w:pPr>
        <w:spacing w:after="160"/>
        <w:ind w:left="142"/>
        <w:shd w:val="clear" w:fill="EEF5F2"/>
        <w:pBdr>
          <w:left w:val="single" w:sz="18" w:space="8" w:color="0E5A4F"/>
        </w:pBdr>
      </w:pPr>
      <w:r>
        <w:rPr>
          <w:rFonts w:ascii="Georgia" w:hAnsi="Georgia"/>
          <w:color w:val="131C1B"/>
          <w:sz w:val="20"/>
        </w:rPr>
        <w:t xml:space="preserve">For reference, the reasons we advise against the widely-deployed third-party wallet code: its account-abstraction support is an obsolete version, its upgrade switch is held by an unrelated party's multisig, and its documented guarantee that a previous owner's permissions clear on sale is </w:t>
      </w:r>
      <w:r>
        <w:rPr>
          <w:rFonts w:ascii="Georgia" w:hAnsi="Georgia"/>
          <w:b/>
          <w:color w:val="131C1B"/>
          <w:sz w:val="20"/>
        </w:rPr>
        <w:t>broken in exactly the configuration that is deployed</w:t>
      </w:r>
      <w:r>
        <w:rPr>
          <w:rFonts w:ascii="Georgia" w:hAnsi="Georgia"/>
          <w:color w:val="131C1B"/>
          <w:sz w:val="20"/>
        </w:rPr>
        <w:t xml:space="preserve"> — we confirmed that on-chain.</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Q17</w:t>
      </w:r>
      <w:r>
        <w:rPr>
          <w:rFonts w:ascii="Calibri" w:hAnsi="Calibri"/>
          <w:b/>
          <w:color w:val="0E5A4F"/>
          <w:sz w:val="15"/>
          <w:spacing w:val="26"/>
        </w:rPr>
        <w:t xml:space="preserve">   DECISION</w:t>
      </w:r>
    </w:p>
    <w:p>
      <w:pPr>
        <w:keepNext/>
        <w:keepLines/>
        <w:spacing w:after="140"/>
      </w:pPr>
      <w:r>
        <w:rPr>
          <w:rFonts w:ascii="Calibri" w:hAnsi="Calibri"/>
          <w:b/>
          <w:color w:val="131C1B"/>
          <w:sz w:val="26"/>
        </w:rPr>
        <w:t>Can the bear wallets be upgraded later?</w:t>
      </w:r>
    </w:p>
    <w:p>
      <w:pPr>
        <w:keepLines/>
        <w:spacing w:before="40" w:after="40"/>
        <w:ind w:left="283"/>
        <w:shd w:val="clear" w:fill="F2F5F4"/>
      </w:pPr>
      <w:r>
        <w:rPr>
          <w:rFonts w:ascii="Consolas" w:hAnsi="Consolas"/>
          <w:b/>
          <w:color w:val="0E5A4F"/>
          <w:sz w:val="19"/>
        </w:rPr>
        <w:t xml:space="preserve">[   ]  a   </w:t>
      </w:r>
      <w:r>
        <w:rPr>
          <w:rFonts w:ascii="Georgia" w:hAnsi="Georgia"/>
          <w:b/>
          <w:color w:val="131C1B"/>
          <w:sz w:val="20"/>
        </w:rPr>
        <w:t>Permanently fixed.</w:t>
      </w:r>
      <w:r>
        <w:rPr>
          <w:rFonts w:ascii="Georgia" w:hAnsi="Georgia"/>
          <w:color w:val="131C1B"/>
          <w:sz w:val="20"/>
        </w:rPr>
        <w:t xml:space="preserve"> Nobody, including you, can ever change the wallet code.</w:t>
      </w:r>
    </w:p>
    <w:p>
      <w:pPr>
        <w:keepLines/>
        <w:spacing w:before="40" w:after="40"/>
        <w:ind w:left="283"/>
        <w:shd w:val="clear" w:fill="F2F5F4"/>
      </w:pPr>
      <w:r>
        <w:rPr>
          <w:rFonts w:ascii="Consolas" w:hAnsi="Consolas"/>
          <w:b/>
          <w:color w:val="0E5A4F"/>
          <w:sz w:val="19"/>
        </w:rPr>
        <w:t xml:space="preserve">[   ]  b   </w:t>
      </w:r>
      <w:r>
        <w:rPr>
          <w:rFonts w:ascii="Georgia" w:hAnsi="Georgia"/>
          <w:b/>
          <w:color w:val="131C1B"/>
          <w:sz w:val="20"/>
        </w:rPr>
        <w:t>Upgradeable by you</w:t>
      </w:r>
      <w:r>
        <w:rPr>
          <w:rFonts w:ascii="Georgia" w:hAnsi="Georgia"/>
          <w:color w:val="131C1B"/>
          <w:sz w:val="20"/>
        </w:rPr>
        <w:t>, so a defect could be corrected after launch.</w:t>
      </w:r>
    </w:p>
    <w:p>
      <w:pPr>
        <w:keepNext/>
        <w:keepLines/>
        <w:spacing w:after="60" w:before="0"/>
        <w:ind w:left="57"/>
      </w:pPr>
      <w:r>
        <w:rPr>
          <w:rFonts w:ascii="Calibri" w:hAnsi="Calibri"/>
          <w:b/>
          <w:color w:val="0E5A4F"/>
          <w:sz w:val="15"/>
          <w:spacing w:val="24"/>
        </w:rPr>
        <w:t>OUR RECOMMENDATION</w:t>
      </w:r>
    </w:p>
    <w:p>
      <w:pPr>
        <w:spacing w:after="100"/>
        <w:ind w:left="142"/>
        <w:shd w:val="clear" w:fill="EEF5F2"/>
        <w:pBdr>
          <w:left w:val="single" w:sz="18" w:space="8" w:color="0E5A4F"/>
        </w:pBdr>
      </w:pPr>
      <w:r>
        <w:rPr>
          <w:rFonts w:ascii="Georgia" w:hAnsi="Georgia"/>
          <w:color w:val="131C1B"/>
          <w:sz w:val="20"/>
        </w:rPr>
        <w:t>Option (a). An upgrade switch over 4,444 asset-holding wallets is precisely the centralisation the specification's “no admin asset seizure” row exists to prevent, and it is our main criticism of the third-party wallet code — we should not reproduce it.</w:t>
      </w:r>
    </w:p>
    <w:p>
      <w:pPr>
        <w:spacing w:after="160"/>
        <w:ind w:left="142"/>
        <w:shd w:val="clear" w:fill="EEF5F2"/>
        <w:pBdr>
          <w:left w:val="single" w:sz="18" w:space="8" w:color="0E5A4F"/>
        </w:pBdr>
      </w:pPr>
      <w:r>
        <w:rPr>
          <w:rFonts w:ascii="Georgia" w:hAnsi="Georgia"/>
          <w:color w:val="131C1B"/>
          <w:sz w:val="20"/>
        </w:rPr>
        <w:t>The trade-off is real: a defect could not be fixed and assets could become stuck. We consider that acceptable because the wallet's job is narrow enough to review exhaustively. If migration is ever needed, the honest form is holders moving their own assets — never an administrator moving them.</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Q18</w:t>
      </w:r>
      <w:r>
        <w:rPr>
          <w:rFonts w:ascii="Calibri" w:hAnsi="Calibri"/>
          <w:b/>
          <w:color w:val="0E5A4F"/>
          <w:sz w:val="15"/>
          <w:spacing w:val="26"/>
        </w:rPr>
        <w:t xml:space="preserve">   DECISION</w:t>
      </w:r>
    </w:p>
    <w:p>
      <w:pPr>
        <w:keepNext/>
        <w:keepLines/>
        <w:spacing w:after="140"/>
      </w:pPr>
      <w:r>
        <w:rPr>
          <w:rFonts w:ascii="Calibri" w:hAnsi="Calibri"/>
          <w:b/>
          <w:color w:val="131C1B"/>
          <w:sz w:val="26"/>
        </w:rPr>
        <w:t>When is each bear's wallet created?</w:t>
      </w:r>
    </w:p>
    <w:p>
      <w:pPr>
        <w:spacing w:after="140"/>
      </w:pPr>
      <w:r>
        <w:rPr>
          <w:rFonts w:ascii="Georgia" w:hAnsi="Georgia"/>
          <w:color w:val="131C1B"/>
          <w:sz w:val="20"/>
        </w:rPr>
        <w:t>The address is fixed and knowable from the moment a bear exists, and assets sent to an uncreated wallet are safe. So this is only about when the cost is paid.</w:t>
      </w:r>
    </w:p>
    <w:p>
      <w:pPr>
        <w:keepLines/>
        <w:spacing w:before="40" w:after="40"/>
        <w:ind w:left="283"/>
        <w:shd w:val="clear" w:fill="F2F5F4"/>
      </w:pPr>
      <w:r>
        <w:rPr>
          <w:rFonts w:ascii="Consolas" w:hAnsi="Consolas"/>
          <w:b/>
          <w:color w:val="0E5A4F"/>
          <w:sz w:val="19"/>
        </w:rPr>
        <w:t xml:space="preserve">[   ]  a   </w:t>
      </w:r>
      <w:r>
        <w:rPr>
          <w:rFonts w:ascii="Georgia" w:hAnsi="Georgia"/>
          <w:color w:val="131C1B"/>
          <w:sz w:val="20"/>
        </w:rPr>
        <w:t>At mint, for every bear. Adds roughly 96,000 gas per mint.</w:t>
      </w:r>
    </w:p>
    <w:p>
      <w:pPr>
        <w:keepLines/>
        <w:spacing w:before="40" w:after="40"/>
        <w:ind w:left="283"/>
        <w:shd w:val="clear" w:fill="F2F5F4"/>
      </w:pPr>
      <w:r>
        <w:rPr>
          <w:rFonts w:ascii="Consolas" w:hAnsi="Consolas"/>
          <w:b/>
          <w:color w:val="0E5A4F"/>
          <w:sz w:val="19"/>
        </w:rPr>
        <w:t xml:space="preserve">[   ]  b   </w:t>
      </w:r>
      <w:r>
        <w:rPr>
          <w:rFonts w:ascii="Georgia" w:hAnsi="Georgia"/>
          <w:color w:val="131C1B"/>
          <w:sz w:val="20"/>
        </w:rPr>
        <w:t>On demand, with a function anyone can call when a wallet is first needed.</w:t>
      </w:r>
    </w:p>
    <w:p>
      <w:pPr>
        <w:keepNext/>
        <w:keepLines/>
        <w:spacing w:after="60" w:before="0"/>
        <w:ind w:left="57"/>
      </w:pPr>
      <w:r>
        <w:rPr>
          <w:rFonts w:ascii="Calibri" w:hAnsi="Calibri"/>
          <w:b/>
          <w:color w:val="0E5A4F"/>
          <w:sz w:val="15"/>
          <w:spacing w:val="24"/>
        </w:rPr>
        <w:t>OUR RECOMMENDATION</w:t>
      </w:r>
    </w:p>
    <w:p>
      <w:pPr>
        <w:spacing w:after="160"/>
        <w:ind w:left="142"/>
        <w:shd w:val="clear" w:fill="EEF5F2"/>
        <w:pBdr>
          <w:left w:val="single" w:sz="18" w:space="8" w:color="0E5A4F"/>
        </w:pBdr>
      </w:pPr>
      <w:r>
        <w:rPr>
          <w:rFonts w:ascii="Georgia" w:hAnsi="Georgia"/>
          <w:color w:val="131C1B"/>
          <w:sz w:val="20"/>
        </w:rPr>
        <w:t>Option (b). Of 44 comparable wallets we sampled, not one had ever sent a transaction. Creating all 4,444 in advance pays for wallets that will mostly stay empty, and the address appears in the metadata either way.</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Q19</w:t>
      </w:r>
      <w:r>
        <w:rPr>
          <w:rFonts w:ascii="Calibri" w:hAnsi="Calibri"/>
          <w:b/>
          <w:color w:val="0E5A4F"/>
          <w:sz w:val="15"/>
          <w:spacing w:val="26"/>
        </w:rPr>
        <w:t xml:space="preserve">   DECISION</w:t>
      </w:r>
    </w:p>
    <w:p>
      <w:pPr>
        <w:keepNext/>
        <w:keepLines/>
        <w:spacing w:after="140"/>
      </w:pPr>
      <w:r>
        <w:rPr>
          <w:rFonts w:ascii="Calibri" w:hAnsi="Calibri"/>
          <w:b/>
          <w:color w:val="131C1B"/>
          <w:sz w:val="26"/>
        </w:rPr>
        <w:t>How strictly do we block a bear inside a bear?</w:t>
      </w:r>
    </w:p>
    <w:p>
      <w:pPr>
        <w:spacing w:after="140"/>
      </w:pPr>
      <w:r>
        <w:rPr>
          <w:rFonts w:ascii="Georgia" w:hAnsi="Georgia"/>
          <w:color w:val="131C1B"/>
          <w:sz w:val="20"/>
        </w:rPr>
        <w:t>The specification requires rejecting a transfer that would send a bear into its own wallet. That covers the one-step case. It does not cover bear A being sent into bear B's wallet while bear B sits in bear A's — which locks both bears and everything inside them permanently, for everyone.</w:t>
      </w:r>
    </w:p>
    <w:p>
      <w:pPr>
        <w:keepLines/>
        <w:spacing w:before="40" w:after="40"/>
        <w:ind w:left="283"/>
        <w:shd w:val="clear" w:fill="F2F5F4"/>
      </w:pPr>
      <w:r>
        <w:rPr>
          <w:rFonts w:ascii="Consolas" w:hAnsi="Consolas"/>
          <w:b/>
          <w:color w:val="0E5A4F"/>
          <w:sz w:val="19"/>
        </w:rPr>
        <w:t xml:space="preserve">[   ]  a   </w:t>
      </w:r>
      <w:r>
        <w:rPr>
          <w:rFonts w:ascii="Georgia" w:hAnsi="Georgia"/>
          <w:color w:val="131C1B"/>
          <w:sz w:val="20"/>
        </w:rPr>
        <w:t>As specified: block a bear from entering its own wallet only.</w:t>
      </w:r>
    </w:p>
    <w:p>
      <w:pPr>
        <w:keepLines/>
        <w:spacing w:before="40" w:after="40"/>
        <w:ind w:left="283"/>
        <w:shd w:val="clear" w:fill="F2F5F4"/>
      </w:pPr>
      <w:r>
        <w:rPr>
          <w:rFonts w:ascii="Consolas" w:hAnsi="Consolas"/>
          <w:b/>
          <w:color w:val="0E5A4F"/>
          <w:sz w:val="19"/>
        </w:rPr>
        <w:t xml:space="preserve">[   ]  b   </w:t>
      </w:r>
      <w:r>
        <w:rPr>
          <w:rFonts w:ascii="Georgia" w:hAnsi="Georgia"/>
          <w:color w:val="131C1B"/>
          <w:sz w:val="20"/>
        </w:rPr>
        <w:t>Block any bear from being sent into any bear's wallet.</w:t>
      </w:r>
    </w:p>
    <w:p>
      <w:pPr>
        <w:keepNext/>
        <w:keepLines/>
        <w:spacing w:after="60" w:before="0"/>
        <w:ind w:left="57"/>
      </w:pPr>
      <w:r>
        <w:rPr>
          <w:rFonts w:ascii="Calibri" w:hAnsi="Calibri"/>
          <w:b/>
          <w:color w:val="0E5A4F"/>
          <w:sz w:val="15"/>
          <w:spacing w:val="24"/>
        </w:rPr>
        <w:t>OUR RECOMMENDATION</w:t>
      </w:r>
    </w:p>
    <w:p>
      <w:pPr>
        <w:spacing w:after="160"/>
        <w:ind w:left="142"/>
        <w:shd w:val="clear" w:fill="EEF5F2"/>
        <w:pBdr>
          <w:left w:val="single" w:sz="18" w:space="8" w:color="0E5A4F"/>
        </w:pBdr>
      </w:pPr>
      <w:r>
        <w:rPr>
          <w:rFonts w:ascii="Georgia" w:hAnsi="Georgia"/>
          <w:color w:val="131C1B"/>
          <w:sz w:val="20"/>
        </w:rPr>
        <w:t>Option (b). It costs a negligible amount of gas on a chain where a transfer costs a fraction of a cent, and closes every variant rather than the shortest one. Nesting bears is not a feature anyone asked for, and its failure mode is permanent unrecoverable loss from one wrong click.</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7E5C0E"/>
          <w:sz w:val="18"/>
        </w:rPr>
        <w:t>Q20</w:t>
      </w:r>
      <w:r>
        <w:rPr>
          <w:rFonts w:ascii="Calibri" w:hAnsi="Calibri"/>
          <w:b/>
          <w:color w:val="7E5C0E"/>
          <w:sz w:val="15"/>
          <w:spacing w:val="26"/>
        </w:rPr>
        <w:t xml:space="preserve">   NEW</w:t>
      </w:r>
    </w:p>
    <w:p>
      <w:pPr>
        <w:keepNext/>
        <w:keepLines/>
        <w:spacing w:after="140"/>
      </w:pPr>
      <w:r>
        <w:rPr>
          <w:rFonts w:ascii="Calibri" w:hAnsi="Calibri"/>
          <w:b/>
          <w:color w:val="131C1B"/>
          <w:sz w:val="26"/>
        </w:rPr>
        <w:t>“The assets inside transfer to the buyer” — nothing enforces that</w:t>
      </w:r>
    </w:p>
    <w:p>
      <w:pPr>
        <w:spacing w:after="140"/>
      </w:pPr>
      <w:r>
        <w:rPr>
          <w:rFonts w:ascii="Georgia" w:hAnsi="Georgia"/>
          <w:color w:val="131C1B"/>
          <w:sz w:val="20"/>
        </w:rPr>
        <w:t xml:space="preserve">Your sale description is mechanically true: the wallet follows the bear, so whatever is inside goes with it. But </w:t>
      </w:r>
      <w:r>
        <w:rPr>
          <w:rFonts w:ascii="Georgia" w:hAnsi="Georgia"/>
          <w:b/>
          <w:color w:val="131C1B"/>
          <w:sz w:val="20"/>
        </w:rPr>
        <w:t>no marketplace enforces the contents</w:t>
      </w:r>
      <w:r>
        <w:rPr>
          <w:rFonts w:ascii="Georgia" w:hAnsi="Georgia"/>
          <w:color w:val="131C1B"/>
          <w:sz w:val="20"/>
        </w:rPr>
        <w:t>. A seller can list a bear with a full wallet, empty it before the sale settles, and the buyer receives an empty wallet with no recourse. OpenSea does not escrow, lock or check token-bound account contents.</w:t>
      </w:r>
    </w:p>
    <w:p>
      <w:pPr>
        <w:spacing w:after="140"/>
      </w:pPr>
      <w:r>
        <w:rPr>
          <w:rFonts w:ascii="Georgia" w:hAnsi="Georgia"/>
          <w:color w:val="131C1B"/>
          <w:sz w:val="20"/>
        </w:rPr>
        <w:t>This matters because it is a promise the portal would be making on your behalf.</w:t>
      </w:r>
    </w:p>
    <w:p>
      <w:pPr>
        <w:keepLines/>
        <w:spacing w:before="40" w:after="40"/>
        <w:ind w:left="283"/>
        <w:shd w:val="clear" w:fill="F2F5F4"/>
      </w:pPr>
      <w:r>
        <w:rPr>
          <w:rFonts w:ascii="Consolas" w:hAnsi="Consolas"/>
          <w:b/>
          <w:color w:val="0E5A4F"/>
          <w:sz w:val="19"/>
        </w:rPr>
        <w:t xml:space="preserve">[   ]  a   </w:t>
      </w:r>
      <w:r>
        <w:rPr>
          <w:rFonts w:ascii="Georgia" w:hAnsi="Georgia"/>
          <w:b/>
          <w:color w:val="131C1B"/>
          <w:sz w:val="20"/>
        </w:rPr>
        <w:t>Warn only.</w:t>
      </w:r>
      <w:r>
        <w:rPr>
          <w:rFonts w:ascii="Georgia" w:hAnsi="Georgia"/>
          <w:color w:val="131C1B"/>
          <w:sz w:val="20"/>
        </w:rPr>
        <w:t xml:space="preserve"> The portal never implies assets are guaranteed, and buyers are told to check before purchase.</w:t>
      </w:r>
    </w:p>
    <w:p>
      <w:pPr>
        <w:keepLines/>
        <w:spacing w:before="40" w:after="40"/>
        <w:ind w:left="283"/>
        <w:shd w:val="clear" w:fill="F2F5F4"/>
      </w:pPr>
      <w:r>
        <w:rPr>
          <w:rFonts w:ascii="Consolas" w:hAnsi="Consolas"/>
          <w:b/>
          <w:color w:val="0E5A4F"/>
          <w:sz w:val="19"/>
        </w:rPr>
        <w:t xml:space="preserve">[   ]  b   </w:t>
      </w:r>
      <w:r>
        <w:rPr>
          <w:rFonts w:ascii="Georgia" w:hAnsi="Georgia"/>
          <w:b/>
          <w:color w:val="131C1B"/>
          <w:sz w:val="20"/>
        </w:rPr>
        <w:t>Warn and surface.</w:t>
      </w:r>
      <w:r>
        <w:rPr>
          <w:rFonts w:ascii="Georgia" w:hAnsi="Georgia"/>
          <w:color w:val="131C1B"/>
          <w:sz w:val="20"/>
        </w:rPr>
        <w:t xml:space="preserve"> As (a), plus the portal shows a bear's wallet contents and a change-fingerprint a buyer can check immediately before buying.</w:t>
      </w:r>
    </w:p>
    <w:p>
      <w:pPr>
        <w:keepLines/>
        <w:spacing w:before="40" w:after="40"/>
        <w:ind w:left="283"/>
        <w:shd w:val="clear" w:fill="F2F5F4"/>
      </w:pPr>
      <w:r>
        <w:rPr>
          <w:rFonts w:ascii="Consolas" w:hAnsi="Consolas"/>
          <w:b/>
          <w:color w:val="0E5A4F"/>
          <w:sz w:val="19"/>
        </w:rPr>
        <w:t xml:space="preserve">[   ]  c   </w:t>
      </w:r>
      <w:r>
        <w:rPr>
          <w:rFonts w:ascii="Georgia" w:hAnsi="Georgia"/>
          <w:b/>
          <w:color w:val="131C1B"/>
          <w:sz w:val="20"/>
        </w:rPr>
        <w:t>Let holders lock the wallet</w:t>
      </w:r>
      <w:r>
        <w:rPr>
          <w:rFonts w:ascii="Georgia" w:hAnsi="Georgia"/>
          <w:color w:val="131C1B"/>
          <w:sz w:val="20"/>
        </w:rPr>
        <w:t xml:space="preserve"> for a period, so contents cannot move while a sale is pending.</w:t>
      </w:r>
    </w:p>
    <w:p>
      <w:pPr>
        <w:keepNext/>
        <w:keepLines/>
        <w:spacing w:after="60" w:before="0"/>
        <w:ind w:left="57"/>
      </w:pPr>
      <w:r>
        <w:rPr>
          <w:rFonts w:ascii="Calibri" w:hAnsi="Calibri"/>
          <w:b/>
          <w:color w:val="0E5A4F"/>
          <w:sz w:val="15"/>
          <w:spacing w:val="24"/>
        </w:rPr>
        <w:t>OUR RECOMMENDATION</w:t>
      </w:r>
    </w:p>
    <w:p>
      <w:pPr>
        <w:spacing w:after="100"/>
        <w:ind w:left="142"/>
        <w:shd w:val="clear" w:fill="EEF5F2"/>
        <w:pBdr>
          <w:left w:val="single" w:sz="18" w:space="8" w:color="0E5A4F"/>
        </w:pBdr>
      </w:pPr>
      <w:r>
        <w:rPr>
          <w:rFonts w:ascii="Georgia" w:hAnsi="Georgia"/>
          <w:color w:val="131C1B"/>
          <w:sz w:val="20"/>
        </w:rPr>
        <w:t>Option (b). It is the most a contract can honestly offer, since any guarantee would have to be enforced by the marketplace and OpenSea offers no such hook.</w:t>
      </w:r>
    </w:p>
    <w:p>
      <w:pPr>
        <w:spacing w:after="160"/>
        <w:ind w:left="142"/>
        <w:shd w:val="clear" w:fill="EEF5F2"/>
        <w:pBdr>
          <w:left w:val="single" w:sz="18" w:space="8" w:color="0E5A4F"/>
        </w:pBdr>
      </w:pPr>
      <w:r>
        <w:rPr>
          <w:rFonts w:ascii="Georgia" w:hAnsi="Georgia"/>
          <w:color w:val="131C1B"/>
          <w:sz w:val="20"/>
        </w:rPr>
        <w:t>We advise against (c) despite its appeal: a lock is a restriction on the holder's own assets, it adds a mechanism that can be abused to make a bear look valuable while a listing is live, and it still cannot bind the marketplace. The wording in your marketing matters more than the mechanism here — “the wallet transfers with the bear” is accurate, “the assets transfer with the bear” is a guarantee you cannot keep.</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r>
        <w:br w:type="page"/>
      </w:r>
    </w:p>
    <w:p>
      <w:pPr>
        <w:keepNext/>
        <w:keepLines/>
        <w:spacing w:after="40"/>
      </w:pPr>
      <w:r>
        <w:rPr>
          <w:rFonts w:ascii="Calibri" w:hAnsi="Calibri"/>
          <w:b/>
          <w:color w:val="0E5A4F"/>
          <w:sz w:val="34"/>
        </w:rPr>
        <w:t>6 · Security, admin and compliance</w:t>
      </w:r>
    </w:p>
    <w:p>
      <w:pPr>
        <w:spacing w:after="320"/>
        <w:keepNext/>
        <w:keepLines/>
        <w:pBdr>
          <w:bottom w:val="single" w:sz="6" w:space="6" w:color="D6DEDB"/>
        </w:pBdr>
      </w:pPr>
      <w:r>
        <w:rPr>
          <w:rFonts w:ascii="Consolas" w:hAnsi="Consolas"/>
          <w:color w:val="788884"/>
          <w:sz w:val="16"/>
        </w:rPr>
        <w:t>Q21–Q24</w:t>
      </w:r>
    </w:p>
    <w:p>
      <w:pPr>
        <w:keepNext/>
        <w:keepLines/>
        <w:spacing w:before="300" w:after="40"/>
      </w:pPr>
      <w:r>
        <w:rPr>
          <w:rFonts w:ascii="Consolas" w:hAnsi="Consolas"/>
          <w:b/>
          <w:color w:val="0E5A4F"/>
          <w:sz w:val="18"/>
        </w:rPr>
        <w:t>Q21</w:t>
      </w:r>
      <w:r>
        <w:rPr>
          <w:rFonts w:ascii="Calibri" w:hAnsi="Calibri"/>
          <w:b/>
          <w:color w:val="0E5A4F"/>
          <w:sz w:val="15"/>
          <w:spacing w:val="26"/>
        </w:rPr>
        <w:t xml:space="preserve">   DECISION</w:t>
      </w:r>
    </w:p>
    <w:p>
      <w:pPr>
        <w:keepNext/>
        <w:keepLines/>
        <w:spacing w:after="140"/>
      </w:pPr>
      <w:r>
        <w:rPr>
          <w:rFonts w:ascii="Calibri" w:hAnsi="Calibri"/>
          <w:b/>
          <w:color w:val="131C1B"/>
          <w:sz w:val="26"/>
        </w:rPr>
        <w:t>Which contracts can be changed after launch?</w:t>
      </w:r>
    </w:p>
    <w:p>
      <w:pPr>
        <w:keepLines/>
        <w:spacing w:before="40" w:after="40"/>
        <w:ind w:left="283"/>
        <w:shd w:val="clear" w:fill="F2F5F4"/>
      </w:pPr>
      <w:r>
        <w:rPr>
          <w:rFonts w:ascii="Consolas" w:hAnsi="Consolas"/>
          <w:b/>
          <w:color w:val="0E5A4F"/>
          <w:sz w:val="19"/>
        </w:rPr>
        <w:t xml:space="preserve">[   ]  a   </w:t>
      </w:r>
      <w:r>
        <w:rPr>
          <w:rFonts w:ascii="Georgia" w:hAnsi="Georgia"/>
          <w:color w:val="131C1B"/>
          <w:sz w:val="20"/>
        </w:rPr>
        <w:t>Nothing changeable. Any correction means a new deployment and a migration.</w:t>
      </w:r>
    </w:p>
    <w:p>
      <w:pPr>
        <w:keepLines/>
        <w:spacing w:before="40" w:after="40"/>
        <w:ind w:left="283"/>
        <w:shd w:val="clear" w:fill="F2F5F4"/>
      </w:pPr>
      <w:r>
        <w:rPr>
          <w:rFonts w:ascii="Consolas" w:hAnsi="Consolas"/>
          <w:b/>
          <w:color w:val="0E5A4F"/>
          <w:sz w:val="19"/>
        </w:rPr>
        <w:t xml:space="preserve">[   ]  b   </w:t>
      </w:r>
      <w:r>
        <w:rPr>
          <w:rFonts w:ascii="Georgia" w:hAnsi="Georgia"/>
          <w:color w:val="131C1B"/>
          <w:sz w:val="20"/>
        </w:rPr>
        <w:t>The NFT permanently fixed; the artwork renderer replaceable; the activation contract replaceable; the economic figures freezable per Q15.</w:t>
      </w:r>
    </w:p>
    <w:p>
      <w:pPr>
        <w:keepLines/>
        <w:spacing w:before="40" w:after="40"/>
        <w:ind w:left="283"/>
        <w:shd w:val="clear" w:fill="F2F5F4"/>
      </w:pPr>
      <w:r>
        <w:rPr>
          <w:rFonts w:ascii="Consolas" w:hAnsi="Consolas"/>
          <w:b/>
          <w:color w:val="0E5A4F"/>
          <w:sz w:val="19"/>
        </w:rPr>
        <w:t xml:space="preserve">[   ]  c   </w:t>
      </w:r>
      <w:r>
        <w:rPr>
          <w:rFonts w:ascii="Georgia" w:hAnsi="Georgia"/>
          <w:color w:val="131C1B"/>
          <w:sz w:val="20"/>
        </w:rPr>
        <w:t>Everything upgradeable under multisig control.</w:t>
      </w:r>
    </w:p>
    <w:p>
      <w:pPr>
        <w:keepNext/>
        <w:keepLines/>
        <w:spacing w:after="60" w:before="0"/>
        <w:ind w:left="57"/>
      </w:pPr>
      <w:r>
        <w:rPr>
          <w:rFonts w:ascii="Calibri" w:hAnsi="Calibri"/>
          <w:b/>
          <w:color w:val="0E5A4F"/>
          <w:sz w:val="15"/>
          <w:spacing w:val="24"/>
        </w:rPr>
        <w:t>OUR RECOMMENDATION</w:t>
      </w:r>
    </w:p>
    <w:p>
      <w:pPr>
        <w:spacing w:after="100"/>
        <w:ind w:left="142"/>
        <w:shd w:val="clear" w:fill="EEF5F2"/>
        <w:pBdr>
          <w:left w:val="single" w:sz="18" w:space="8" w:color="0E5A4F"/>
        </w:pBdr>
      </w:pPr>
      <w:r>
        <w:rPr>
          <w:rFonts w:ascii="Georgia" w:hAnsi="Georgia"/>
          <w:color w:val="131C1B"/>
          <w:sz w:val="20"/>
        </w:rPr>
        <w:t>Option (b). A proxy over the NFT would let an administrator retroactively change what activation means after customers had burned up to $8,250 against it. Visual bugs, by contrast, are near-certain and harmless to fix.</w:t>
      </w:r>
    </w:p>
    <w:p>
      <w:pPr>
        <w:spacing w:after="160"/>
        <w:ind w:left="142"/>
        <w:shd w:val="clear" w:fill="EEF5F2"/>
        <w:pBdr>
          <w:left w:val="single" w:sz="18" w:space="8" w:color="0E5A4F"/>
        </w:pBdr>
      </w:pPr>
      <w:r>
        <w:rPr>
          <w:rFonts w:ascii="Georgia" w:hAnsi="Georgia"/>
          <w:color w:val="131C1B"/>
          <w:sz w:val="20"/>
        </w:rPr>
        <w:t>The counter design in Q14 is what makes the activation contract safely replaceable: because the NFT holds no reference to it, swapping it cannot affect the token or its transfers.</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0E5A4F"/>
          <w:sz w:val="18"/>
        </w:rPr>
        <w:t>Q22</w:t>
      </w:r>
      <w:r>
        <w:rPr>
          <w:rFonts w:ascii="Calibri" w:hAnsi="Calibri"/>
          <w:b/>
          <w:color w:val="0E5A4F"/>
          <w:sz w:val="15"/>
          <w:spacing w:val="26"/>
        </w:rPr>
        <w:t xml:space="preserve">   DECISION</w:t>
      </w:r>
    </w:p>
    <w:p>
      <w:pPr>
        <w:keepNext/>
        <w:keepLines/>
        <w:spacing w:after="140"/>
      </w:pPr>
      <w:r>
        <w:rPr>
          <w:rFonts w:ascii="Calibri" w:hAnsi="Calibri"/>
          <w:b/>
          <w:color w:val="131C1B"/>
          <w:sz w:val="26"/>
        </w:rPr>
        <w:t>What can be paused, and by whom?</w:t>
      </w:r>
    </w:p>
    <w:p>
      <w:pPr>
        <w:spacing w:after="140"/>
      </w:pPr>
      <w:r>
        <w:rPr>
          <w:rFonts w:ascii="Georgia" w:hAnsi="Georgia"/>
          <w:color w:val="131C1B"/>
          <w:sz w:val="20"/>
        </w:rPr>
        <w:t xml:space="preserve">Worth naming a specific pattern to avoid: the reference project has a single owner-controlled switch that </w:t>
      </w:r>
      <w:r>
        <w:rPr>
          <w:rFonts w:ascii="Georgia" w:hAnsi="Georgia"/>
          <w:b/>
          <w:color w:val="131C1B"/>
          <w:sz w:val="20"/>
        </w:rPr>
        <w:t>disables all transfers collection-wide</w:t>
      </w:r>
      <w:r>
        <w:rPr>
          <w:rFonts w:ascii="Georgia" w:hAnsi="Georgia"/>
          <w:color w:val="131C1B"/>
          <w:sz w:val="20"/>
        </w:rPr>
        <w:t>, and it also blocks approvals while set. It is currently switched on, meaning that project's owner can freeze the entire collection at will.</w:t>
      </w:r>
    </w:p>
    <w:p>
      <w:pPr>
        <w:keepLines/>
        <w:spacing w:before="40" w:after="40"/>
        <w:ind w:left="283"/>
        <w:shd w:val="clear" w:fill="F2F5F4"/>
      </w:pPr>
      <w:r>
        <w:rPr>
          <w:rFonts w:ascii="Consolas" w:hAnsi="Consolas"/>
          <w:b/>
          <w:color w:val="0E5A4F"/>
          <w:sz w:val="19"/>
        </w:rPr>
        <w:t xml:space="preserve">[   ]  a   </w:t>
      </w:r>
      <w:r>
        <w:rPr>
          <w:rFonts w:ascii="Georgia" w:hAnsi="Georgia"/>
          <w:color w:val="131C1B"/>
          <w:sz w:val="20"/>
        </w:rPr>
        <w:t>Minting and activation pausable; transfers and wallet withdrawals never pausable.</w:t>
      </w:r>
    </w:p>
    <w:p>
      <w:pPr>
        <w:keepLines/>
        <w:spacing w:before="40" w:after="40"/>
        <w:ind w:left="283"/>
        <w:shd w:val="clear" w:fill="F2F5F4"/>
      </w:pPr>
      <w:r>
        <w:rPr>
          <w:rFonts w:ascii="Consolas" w:hAnsi="Consolas"/>
          <w:b/>
          <w:color w:val="0E5A4F"/>
          <w:sz w:val="19"/>
        </w:rPr>
        <w:t xml:space="preserve">[   ]  b   </w:t>
      </w:r>
      <w:r>
        <w:rPr>
          <w:rFonts w:ascii="Georgia" w:hAnsi="Georgia"/>
          <w:color w:val="131C1B"/>
          <w:sz w:val="20"/>
        </w:rPr>
        <w:t>Add a global transfer switch as an emergency measure.</w:t>
      </w:r>
    </w:p>
    <w:p>
      <w:pPr>
        <w:keepNext/>
        <w:keepLines/>
        <w:spacing w:after="60" w:before="0"/>
        <w:ind w:left="57"/>
      </w:pPr>
      <w:r>
        <w:rPr>
          <w:rFonts w:ascii="Calibri" w:hAnsi="Calibri"/>
          <w:b/>
          <w:color w:val="0E5A4F"/>
          <w:sz w:val="15"/>
          <w:spacing w:val="24"/>
        </w:rPr>
        <w:t>OUR RECOMMENDATION</w:t>
      </w:r>
    </w:p>
    <w:p>
      <w:pPr>
        <w:spacing w:after="160"/>
        <w:ind w:left="142"/>
        <w:shd w:val="clear" w:fill="EEF5F2"/>
        <w:pBdr>
          <w:left w:val="single" w:sz="18" w:space="8" w:color="0E5A4F"/>
        </w:pBdr>
      </w:pPr>
      <w:r>
        <w:rPr>
          <w:rFonts w:ascii="Georgia" w:hAnsi="Georgia"/>
          <w:color w:val="131C1B"/>
          <w:sz w:val="20"/>
        </w:rPr>
        <w:t>Option (a). A pause on transfers or wallet withdrawals is an administrative power to freeze customer assets, which the specification explicitly rules out and which no amount of “emergency only” framing changes. Pausing the mint is genuinely useful on launch day; pausing activation protects customers from burning tokens into a broken contract.</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9C3B2C"/>
          <w:sz w:val="18"/>
        </w:rPr>
        <w:t>Q23</w:t>
      </w:r>
      <w:r>
        <w:rPr>
          <w:rFonts w:ascii="Calibri" w:hAnsi="Calibri"/>
          <w:b/>
          <w:color w:val="9C3B2C"/>
          <w:sz w:val="15"/>
          <w:spacing w:val="26"/>
        </w:rPr>
        <w:t xml:space="preserve">   BLOCKING</w:t>
      </w:r>
    </w:p>
    <w:p>
      <w:pPr>
        <w:keepNext/>
        <w:keepLines/>
        <w:spacing w:after="140"/>
      </w:pPr>
      <w:r>
        <w:rPr>
          <w:rFonts w:ascii="Calibri" w:hAnsi="Calibri"/>
          <w:b/>
          <w:color w:val="131C1B"/>
          <w:sz w:val="26"/>
        </w:rPr>
        <w:t>Does anything compliance-related belong in the contracts?</w:t>
      </w:r>
    </w:p>
    <w:p>
      <w:pPr>
        <w:spacing w:after="140"/>
      </w:pPr>
      <w:r>
        <w:rPr>
          <w:rFonts w:ascii="Georgia" w:hAnsi="Georgia"/>
          <w:color w:val="131C1B"/>
          <w:sz w:val="20"/>
        </w:rPr>
        <w:t>Specifically: a transfer blocklist, sanctions screening, the ability to freeze an individual bear, the ability to reverse rewards, or geographic restriction at mint. This is the one answer that changes the permission structure of every contract, so it cannot be added later without a re-audit.</w:t>
      </w:r>
    </w:p>
    <w:p>
      <w:pPr>
        <w:keepNext/>
        <w:keepLines/>
        <w:spacing w:after="60" w:before="0"/>
        <w:ind w:left="57"/>
      </w:pPr>
      <w:r>
        <w:rPr>
          <w:rFonts w:ascii="Calibri" w:hAnsi="Calibri"/>
          <w:b/>
          <w:color w:val="0E5A4F"/>
          <w:sz w:val="15"/>
          <w:spacing w:val="24"/>
        </w:rPr>
        <w:t>OUR RECOMMENDATION</w:t>
      </w:r>
    </w:p>
    <w:p>
      <w:pPr>
        <w:spacing w:after="100"/>
        <w:ind w:left="142"/>
        <w:shd w:val="clear" w:fill="EEF5F2"/>
        <w:pBdr>
          <w:left w:val="single" w:sz="18" w:space="8" w:color="0E5A4F"/>
        </w:pBdr>
      </w:pPr>
      <w:r>
        <w:rPr>
          <w:rFonts w:ascii="Georgia" w:hAnsi="Georgia"/>
          <w:color w:val="131C1B"/>
          <w:sz w:val="20"/>
        </w:rPr>
        <w:t>No compliance controls in the contracts.</w:t>
      </w:r>
    </w:p>
    <w:p>
      <w:pPr>
        <w:spacing w:after="100"/>
        <w:ind w:left="142"/>
        <w:shd w:val="clear" w:fill="EEF5F2"/>
        <w:pBdr>
          <w:left w:val="single" w:sz="18" w:space="8" w:color="0E5A4F"/>
        </w:pBdr>
      </w:pPr>
      <w:r>
        <w:rPr>
          <w:rFonts w:ascii="Georgia" w:hAnsi="Georgia"/>
          <w:color w:val="131C1B"/>
          <w:sz w:val="20"/>
        </w:rPr>
        <w:t>The chain already screens transactions at the sequencer — active rather than theoretical; we verified the mechanism is live and still in use as of 1 September 2026. Duplicating it in your contracts adds an administrative power over customer assets without adding coverage. And if Q1 resolves to (b) or (c), your own mint signer is a complete eligibility gate you control: you simply do not sign for a customer who should not mint.</w:t>
      </w:r>
    </w:p>
    <w:p>
      <w:pPr>
        <w:spacing w:after="100"/>
        <w:ind w:left="142"/>
        <w:shd w:val="clear" w:fill="EEF5F2"/>
        <w:pBdr>
          <w:left w:val="single" w:sz="18" w:space="8" w:color="0E5A4F"/>
        </w:pBdr>
      </w:pPr>
      <w:r>
        <w:rPr>
          <w:rFonts w:ascii="Georgia" w:hAnsi="Georgia"/>
          <w:color w:val="131C1B"/>
          <w:sz w:val="20"/>
        </w:rPr>
        <w:t>This needs confirmation from whoever owns compliance. If they require an on-chain freeze or reversal power, we need to hear it now, and you should know it conflicts directly with the “no admin asset seizure” row in your own specification.</w:t>
      </w:r>
    </w:p>
    <w:p>
      <w:pPr>
        <w:spacing w:after="160"/>
        <w:ind w:left="142"/>
        <w:shd w:val="clear" w:fill="EEF5F2"/>
        <w:pBdr>
          <w:left w:val="single" w:sz="18" w:space="8" w:color="0E5A4F"/>
        </w:pBdr>
      </w:pPr>
      <w:r>
        <w:rPr>
          <w:rFonts w:ascii="Georgia" w:hAnsi="Georgia"/>
          <w:color w:val="131C1B"/>
          <w:sz w:val="20"/>
        </w:rPr>
        <w:t>One consequence we design around regardless: because a customer's transaction can be blocked at the sequencer, no part of the system may break when a single holder cannot transact. That rules out hard deadlines and any “everyone must act by day N” mechanic.</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4B5A57"/>
          <w:sz w:val="18"/>
        </w:rPr>
        <w:t>Q24</w:t>
      </w:r>
      <w:r>
        <w:rPr>
          <w:rFonts w:ascii="Calibri" w:hAnsi="Calibri"/>
          <w:b/>
          <w:color w:val="4B5A57"/>
          <w:sz w:val="15"/>
          <w:spacing w:val="26"/>
        </w:rPr>
        <w:t xml:space="preserve">   CONFIRM</w:t>
      </w:r>
    </w:p>
    <w:p>
      <w:pPr>
        <w:keepNext/>
        <w:keepLines/>
        <w:spacing w:after="140"/>
      </w:pPr>
      <w:r>
        <w:rPr>
          <w:rFonts w:ascii="Calibri" w:hAnsi="Calibri"/>
          <w:b/>
          <w:color w:val="131C1B"/>
          <w:sz w:val="26"/>
        </w:rPr>
        <w:t>Can holders burn their bear?</w:t>
      </w:r>
    </w:p>
    <w:p>
      <w:pPr>
        <w:keepNext/>
        <w:keepLines/>
        <w:spacing w:after="60" w:before="0"/>
        <w:ind w:left="57"/>
      </w:pPr>
      <w:r>
        <w:rPr>
          <w:rFonts w:ascii="Calibri" w:hAnsi="Calibri"/>
          <w:b/>
          <w:color w:val="0E5A4F"/>
          <w:sz w:val="15"/>
          <w:spacing w:val="24"/>
        </w:rPr>
        <w:t>OUR RECOMMENDATION</w:t>
      </w:r>
    </w:p>
    <w:p>
      <w:pPr>
        <w:spacing w:after="160"/>
        <w:ind w:left="142"/>
        <w:shd w:val="clear" w:fill="EEF5F2"/>
        <w:pBdr>
          <w:left w:val="single" w:sz="18" w:space="8" w:color="0E5A4F"/>
        </w:pBdr>
      </w:pPr>
      <w:r>
        <w:rPr>
          <w:rFonts w:ascii="Georgia" w:hAnsi="Georgia"/>
          <w:color w:val="131C1B"/>
          <w:sz w:val="20"/>
        </w:rPr>
        <w:t>No burn function at all. Destroying a bear would strand whatever is in its wallet permanently, with no recovery path for the holder or for you — we found live examples of exactly this. Your specification recommends against it; we would like it confirmed as a hard requirement so it is never added later as a convenience.</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r>
        <w:br w:type="page"/>
      </w:r>
    </w:p>
    <w:p>
      <w:pPr>
        <w:keepNext/>
        <w:keepLines/>
        <w:spacing w:after="40"/>
      </w:pPr>
      <w:r>
        <w:rPr>
          <w:rFonts w:ascii="Calibri" w:hAnsi="Calibri"/>
          <w:b/>
          <w:color w:val="0E5A4F"/>
          <w:sz w:val="34"/>
        </w:rPr>
        <w:t>7 · Delivery and assurance</w:t>
      </w:r>
    </w:p>
    <w:p>
      <w:pPr>
        <w:spacing w:after="320"/>
        <w:keepNext/>
        <w:keepLines/>
        <w:pBdr>
          <w:bottom w:val="single" w:sz="6" w:space="6" w:color="D6DEDB"/>
        </w:pBdr>
      </w:pPr>
      <w:r>
        <w:rPr>
          <w:rFonts w:ascii="Consolas" w:hAnsi="Consolas"/>
          <w:color w:val="788884"/>
          <w:sz w:val="16"/>
        </w:rPr>
        <w:t>Q25–Q27</w:t>
      </w:r>
    </w:p>
    <w:p>
      <w:pPr>
        <w:keepNext/>
        <w:keepLines/>
        <w:spacing w:before="300" w:after="40"/>
      </w:pPr>
      <w:r>
        <w:rPr>
          <w:rFonts w:ascii="Consolas" w:hAnsi="Consolas"/>
          <w:b/>
          <w:color w:val="4B5A57"/>
          <w:sz w:val="18"/>
        </w:rPr>
        <w:t>Q25</w:t>
      </w:r>
      <w:r>
        <w:rPr>
          <w:rFonts w:ascii="Calibri" w:hAnsi="Calibri"/>
          <w:b/>
          <w:color w:val="4B5A57"/>
          <w:sz w:val="15"/>
          <w:spacing w:val="26"/>
        </w:rPr>
        <w:t xml:space="preserve">   CONFIRM</w:t>
      </w:r>
    </w:p>
    <w:p>
      <w:pPr>
        <w:keepNext/>
        <w:keepLines/>
        <w:spacing w:after="140"/>
      </w:pPr>
      <w:r>
        <w:rPr>
          <w:rFonts w:ascii="Calibri" w:hAnsi="Calibri"/>
          <w:b/>
          <w:color w:val="131C1B"/>
          <w:sz w:val="26"/>
        </w:rPr>
        <w:t>Deployment plan and the two things to test first</w:t>
      </w:r>
    </w:p>
    <w:p>
      <w:pPr>
        <w:spacing w:after="140"/>
      </w:pPr>
      <w:r>
        <w:rPr>
          <w:rFonts w:ascii="Georgia" w:hAnsi="Georgia"/>
          <w:color w:val="131C1B"/>
          <w:sz w:val="20"/>
        </w:rPr>
        <w:t>We propose rehearsing the entire process on the test network (chain 46630) before the main network. Verified source will go through Sourcify: the main explorer's interface sits behind bot protection that rejected every automated request we made.</w:t>
      </w:r>
    </w:p>
    <w:p>
      <w:pPr>
        <w:spacing w:after="140"/>
      </w:pPr>
      <w:r>
        <w:rPr>
          <w:rFonts w:ascii="Georgia" w:hAnsi="Georgia"/>
          <w:color w:val="131C1B"/>
          <w:sz w:val="20"/>
        </w:rPr>
        <w:t>Two things are genuinely unknown from public documentation and both are cheap to settle on testnet: whether OpenSea Studio will attach to and manage a contract we deployed ourselves, and whether on-chain metadata renders correctly in a Studio-managed drop. Both bear directly on Q1 and Q8.</w:t>
      </w:r>
    </w:p>
    <w:p>
      <w:pPr>
        <w:keepNext/>
        <w:keepLines/>
        <w:spacing w:after="60" w:before="0"/>
        <w:ind w:left="57"/>
      </w:pPr>
      <w:r>
        <w:rPr>
          <w:rFonts w:ascii="Calibri" w:hAnsi="Calibri"/>
          <w:b/>
          <w:color w:val="0E5A4F"/>
          <w:sz w:val="15"/>
          <w:spacing w:val="24"/>
        </w:rPr>
        <w:t>OUR RECOMMENDATION</w:t>
      </w:r>
    </w:p>
    <w:p>
      <w:pPr>
        <w:spacing w:after="160"/>
        <w:ind w:left="142"/>
        <w:shd w:val="clear" w:fill="EEF5F2"/>
        <w:pBdr>
          <w:left w:val="single" w:sz="18" w:space="8" w:color="0E5A4F"/>
        </w:pBdr>
      </w:pPr>
      <w:r>
        <w:rPr>
          <w:rFonts w:ascii="Georgia" w:hAnsi="Georgia"/>
          <w:color w:val="131C1B"/>
          <w:sz w:val="20"/>
        </w:rPr>
        <w:t>Confirm the approach, and tell us who holds the deployment key and who will own the contracts afterwards. If you have an OpenSea contact, an answer from them on those two points would settle Q1 faster than our testing will.</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7E5C0E"/>
          <w:sz w:val="18"/>
        </w:rPr>
        <w:t>Q26</w:t>
      </w:r>
      <w:r>
        <w:rPr>
          <w:rFonts w:ascii="Calibri" w:hAnsi="Calibri"/>
          <w:b/>
          <w:color w:val="7E5C0E"/>
          <w:sz w:val="15"/>
          <w:spacing w:val="26"/>
        </w:rPr>
        <w:t xml:space="preserve">   NEW</w:t>
      </w:r>
    </w:p>
    <w:p>
      <w:pPr>
        <w:keepNext/>
        <w:keepLines/>
        <w:spacing w:after="140"/>
      </w:pPr>
      <w:r>
        <w:rPr>
          <w:rFonts w:ascii="Calibri" w:hAnsi="Calibri"/>
          <w:b/>
          <w:color w:val="131C1B"/>
          <w:sz w:val="26"/>
        </w:rPr>
        <w:t>What do we hand to the getminted.io team?</w:t>
      </w:r>
    </w:p>
    <w:p>
      <w:pPr>
        <w:spacing w:after="140"/>
      </w:pPr>
      <w:r>
        <w:rPr>
          <w:rFonts w:ascii="Georgia" w:hAnsi="Georgia"/>
          <w:color w:val="131C1B"/>
          <w:sz w:val="20"/>
        </w:rPr>
        <w:t>The portal needs to display a bear's wallet contents, move assets in and out, burn $MNTD to activate, link to MINT Status and show the current multiplier. Some of that is contract calls; the asset inventory is not, because no contract can enumerate arbitrary holdings — the same problem as Q9.</w:t>
      </w:r>
    </w:p>
    <w:p>
      <w:pPr>
        <w:keepLines/>
        <w:spacing w:before="40" w:after="40"/>
        <w:ind w:left="283"/>
        <w:shd w:val="clear" w:fill="F2F5F4"/>
      </w:pPr>
      <w:r>
        <w:rPr>
          <w:rFonts w:ascii="Consolas" w:hAnsi="Consolas"/>
          <w:b/>
          <w:color w:val="0E5A4F"/>
          <w:sz w:val="19"/>
        </w:rPr>
        <w:t xml:space="preserve">[   ]  a   </w:t>
      </w:r>
      <w:r>
        <w:rPr>
          <w:rFonts w:ascii="Georgia" w:hAnsi="Georgia"/>
          <w:color w:val="131C1B"/>
          <w:sz w:val="20"/>
        </w:rPr>
        <w:t>Contract interfaces and documentation only; the portal team builds everything else.</w:t>
      </w:r>
    </w:p>
    <w:p>
      <w:pPr>
        <w:keepLines/>
        <w:spacing w:before="40" w:after="40"/>
        <w:ind w:left="283"/>
        <w:shd w:val="clear" w:fill="F2F5F4"/>
      </w:pPr>
      <w:r>
        <w:rPr>
          <w:rFonts w:ascii="Consolas" w:hAnsi="Consolas"/>
          <w:b/>
          <w:color w:val="0E5A4F"/>
          <w:sz w:val="19"/>
        </w:rPr>
        <w:t xml:space="preserve">[   ]  b   </w:t>
      </w:r>
      <w:r>
        <w:rPr>
          <w:rFonts w:ascii="Georgia" w:hAnsi="Georgia"/>
          <w:color w:val="131C1B"/>
          <w:sz w:val="20"/>
        </w:rPr>
        <w:t>As (a) plus a typed client library for every user action, so the portal team never hand-encodes a contract call.</w:t>
      </w:r>
    </w:p>
    <w:p>
      <w:pPr>
        <w:keepLines/>
        <w:spacing w:before="40" w:after="40"/>
        <w:ind w:left="283"/>
        <w:shd w:val="clear" w:fill="F2F5F4"/>
      </w:pPr>
      <w:r>
        <w:rPr>
          <w:rFonts w:ascii="Consolas" w:hAnsi="Consolas"/>
          <w:b/>
          <w:color w:val="0E5A4F"/>
          <w:sz w:val="19"/>
        </w:rPr>
        <w:t xml:space="preserve">[   ]  c   </w:t>
      </w:r>
      <w:r>
        <w:rPr>
          <w:rFonts w:ascii="Georgia" w:hAnsi="Georgia"/>
          <w:color w:val="131C1B"/>
          <w:sz w:val="20"/>
        </w:rPr>
        <w:t>As (b) plus an indexer for token-bound wallet contents.</w:t>
      </w:r>
    </w:p>
    <w:p>
      <w:pPr>
        <w:keepNext/>
        <w:keepLines/>
        <w:spacing w:after="60" w:before="0"/>
        <w:ind w:left="57"/>
      </w:pPr>
      <w:r>
        <w:rPr>
          <w:rFonts w:ascii="Calibri" w:hAnsi="Calibri"/>
          <w:b/>
          <w:color w:val="0E5A4F"/>
          <w:sz w:val="15"/>
          <w:spacing w:val="24"/>
        </w:rPr>
        <w:t>OUR RECOMMENDATION</w:t>
      </w:r>
    </w:p>
    <w:p>
      <w:pPr>
        <w:spacing w:after="160"/>
        <w:ind w:left="142"/>
        <w:shd w:val="clear" w:fill="EEF5F2"/>
        <w:pBdr>
          <w:left w:val="single" w:sz="18" w:space="8" w:color="0E5A4F"/>
        </w:pBdr>
      </w:pPr>
      <w:r>
        <w:rPr>
          <w:rFonts w:ascii="Georgia" w:hAnsi="Georgia"/>
          <w:color w:val="131C1B"/>
          <w:sz w:val="20"/>
        </w:rPr>
        <w:t>Option (b) as the baseline, with (c) as a decision that needs an owner rather than an assumption. The indexer is a real piece of infrastructure and it is needed twice — once for the portal's asset view and once for the “contains assets” traits in Q9. If it is not in our scope, it needs to be in someone's, and that should be settled now rather than discovered during integration.</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pPr>
        <w:keepNext/>
        <w:keepLines/>
        <w:spacing w:before="300" w:after="40"/>
      </w:pPr>
      <w:r>
        <w:rPr>
          <w:rFonts w:ascii="Consolas" w:hAnsi="Consolas"/>
          <w:b/>
          <w:color w:val="4B5A57"/>
          <w:sz w:val="18"/>
        </w:rPr>
        <w:t>Q27</w:t>
      </w:r>
      <w:r>
        <w:rPr>
          <w:rFonts w:ascii="Calibri" w:hAnsi="Calibri"/>
          <w:b/>
          <w:color w:val="4B5A57"/>
          <w:sz w:val="15"/>
          <w:spacing w:val="26"/>
        </w:rPr>
        <w:t xml:space="preserve">   CONFIRM</w:t>
      </w:r>
    </w:p>
    <w:p>
      <w:pPr>
        <w:keepNext/>
        <w:keepLines/>
        <w:spacing w:after="140"/>
      </w:pPr>
      <w:r>
        <w:rPr>
          <w:rFonts w:ascii="Calibri" w:hAnsi="Calibri"/>
          <w:b/>
          <w:color w:val="131C1B"/>
          <w:sz w:val="26"/>
        </w:rPr>
        <w:t>Testing and audit scope</w:t>
      </w:r>
    </w:p>
    <w:p>
      <w:pPr>
        <w:spacing w:after="140"/>
      </w:pPr>
      <w:r>
        <w:rPr>
          <w:rFonts w:ascii="Georgia" w:hAnsi="Georgia"/>
          <w:color w:val="131C1B"/>
          <w:sz w:val="20"/>
        </w:rPr>
        <w:t>We propose a test for every requirement row in your specification sheet, property-based tests concentrated on activation and the transfer reset — the two places a defect is most expensive — static analysis, and gas measurements. Your specification's own testing row asks for essentially this.</w:t>
      </w:r>
    </w:p>
    <w:p>
      <w:pPr>
        <w:keepNext/>
        <w:keepLines/>
        <w:spacing w:after="60" w:before="0"/>
        <w:ind w:left="57"/>
      </w:pPr>
      <w:r>
        <w:rPr>
          <w:rFonts w:ascii="Calibri" w:hAnsi="Calibri"/>
          <w:b/>
          <w:color w:val="0E5A4F"/>
          <w:sz w:val="15"/>
          <w:spacing w:val="24"/>
        </w:rPr>
        <w:t>OUR RECOMMENDATION</w:t>
      </w:r>
    </w:p>
    <w:p>
      <w:pPr>
        <w:spacing w:after="160"/>
        <w:ind w:left="142"/>
        <w:shd w:val="clear" w:fill="EEF5F2"/>
        <w:pBdr>
          <w:left w:val="single" w:sz="18" w:space="8" w:color="0E5A4F"/>
        </w:pBdr>
      </w:pPr>
      <w:r>
        <w:rPr>
          <w:rFonts w:ascii="Georgia" w:hAnsi="Georgia"/>
          <w:color w:val="131C1B"/>
          <w:sz w:val="20"/>
        </w:rPr>
        <w:t>Confirm the scope, and tell us whether you want an audit-readiness package alongside the code: a threat model, a documented list of accepted risks, and a coverage report. External auditors work faster and cheaper against that material, and it doubles as the permanent record of the decisions you make in this document.</w:t>
      </w:r>
    </w:p>
    <w:p>
      <w:pPr>
        <w:keepNext/>
        <w:keepLines/>
        <w:spacing w:after="60" w:before="0"/>
      </w:pPr>
      <w:r>
        <w:rPr>
          <w:rFonts w:ascii="Calibri" w:hAnsi="Calibri"/>
          <w:b/>
          <w:color w:val="788884"/>
          <w:sz w:val="14"/>
          <w:spacing w:val="24"/>
        </w:rPr>
        <w:t>YOUR ANSWER</w:t>
      </w:r>
    </w:p>
    <w:tbl>
      <w:tblPr>
        <w:tblW w:type="auto" w:w="0"/>
        <w:jc w:val="left"/>
        <w:tblLayout w:type="fixed"/>
        <w:tblLook w:firstColumn="1" w:firstRow="1" w:lastColumn="0" w:lastRow="0" w:noHBand="0" w:noVBand="1" w:val="04A0"/>
        <w:tblBorders>
          <w:top w:val="single" w:sz="6" w:space="0" w:color="B9C5C1"/>
          <w:left w:val="single" w:sz="6" w:space="0" w:color="B9C5C1"/>
          <w:bottom w:val="single" w:sz="6" w:space="0" w:color="B9C5C1"/>
          <w:right w:val="single" w:sz="6" w:space="0" w:color="B9C5C1"/>
        </w:tblBorders>
      </w:tblPr>
      <w:tblGrid>
        <w:gridCol w:w="9298"/>
      </w:tblGrid>
      <w:tr>
        <w:tc>
          <w:tcPr>
            <w:tcW w:type="dxa" w:w="9298"/>
            <w:shd w:val="clear" w:fill="FBFCFC"/>
          </w:tcPr>
          <w:p>
            <w:pPr>
              <w:spacing w:after="0"/>
            </w:pPr>
          </w:p>
          <w:p>
            <w:pPr>
              <w:spacing w:after="0"/>
            </w:pPr>
          </w:p>
        </w:tc>
      </w:tr>
    </w:tbl>
    <w:p>
      <w:pPr>
        <w:spacing w:after="80"/>
      </w:pPr>
    </w:p>
    <w:p>
      <w:r>
        <w:br w:type="page"/>
      </w:r>
    </w:p>
    <w:p>
      <w:pPr>
        <w:keepNext/>
        <w:keepLines/>
        <w:spacing w:after="60" w:before="0"/>
      </w:pPr>
      <w:r>
        <w:rPr>
          <w:rFonts w:ascii="Calibri" w:hAnsi="Calibri"/>
          <w:b/>
          <w:color w:val="0E5A4F"/>
          <w:sz w:val="17"/>
          <w:spacing w:val="24"/>
        </w:rPr>
        <w:t>WHAT HAPPENS NEXT</w:t>
      </w:r>
    </w:p>
    <w:p>
      <w:pPr>
        <w:spacing w:after="140"/>
      </w:pPr>
      <w:r>
        <w:rPr>
          <w:rFonts w:ascii="Georgia" w:hAnsi="Georgia"/>
          <w:b/>
          <w:color w:val="131C1B"/>
          <w:sz w:val="20"/>
        </w:rPr>
        <w:t>What happens next.</w:t>
      </w:r>
      <w:r>
        <w:rPr>
          <w:rFonts w:ascii="Georgia" w:hAnsi="Georgia"/>
          <w:color w:val="131C1B"/>
          <w:sz w:val="20"/>
        </w:rPr>
        <w:t xml:space="preserve"> Once we have your answers we will produce the technical specification and build plan: contract structure, the interfaces with your platform and the portal, and a schedule. Q1 is the gating answer — it decides whether the mint page is in scope, which is the largest single variable in the timeline.</w:t>
      </w:r>
    </w:p>
    <w:p>
      <w:pPr>
        <w:spacing w:after="140"/>
      </w:pPr>
      <w:r>
        <w:rPr>
          <w:rFonts w:ascii="Georgia" w:hAnsi="Georgia"/>
          <w:color w:val="131C1B"/>
          <w:sz w:val="20"/>
        </w:rPr>
        <w:t>Where you accept a recommendation, saying so is enough. Where you disagree, the reasoning matters more than the choice — if a recommendation is wrong for reasons we cannot see from the outside, we would rather understand the reason than simply record a different answer.</w:t>
      </w:r>
    </w:p>
    <w:p>
      <w:pPr>
        <w:spacing w:after="120"/>
      </w:pPr>
    </w:p>
    <w:tbl>
      <w:tblPr>
        <w:tblW w:type="auto" w:w="0"/>
        <w:tblLook w:firstColumn="1" w:firstRow="1" w:lastColumn="0" w:lastRow="0" w:noHBand="0" w:noVBand="1" w:val="04A0"/>
      </w:tblPr>
      <w:tblGrid>
        <w:gridCol w:w="3099"/>
        <w:gridCol w:w="3099"/>
        <w:gridCol w:w="3099"/>
      </w:tblGrid>
      <w:tr>
        <w:tc>
          <w:tcPr>
            <w:tcW w:type="dxa" w:w="3099"/>
          </w:tcPr>
          <w:p>
            <w:pPr>
              <w:spacing w:after="20"/>
            </w:pPr>
            <w:r>
              <w:rPr>
                <w:rFonts w:ascii="Calibri" w:hAnsi="Calibri"/>
                <w:b/>
                <w:color w:val="788884"/>
                <w:sz w:val="14"/>
              </w:rPr>
              <w:t>COMPLETED BY</w:t>
            </w:r>
          </w:p>
        </w:tc>
        <w:tc>
          <w:tcPr>
            <w:tcW w:type="dxa" w:w="3099"/>
          </w:tcPr>
          <w:p>
            <w:pPr>
              <w:spacing w:after="20"/>
            </w:pPr>
            <w:r>
              <w:rPr>
                <w:rFonts w:ascii="Calibri" w:hAnsi="Calibri"/>
                <w:b/>
                <w:color w:val="788884"/>
                <w:sz w:val="14"/>
              </w:rPr>
              <w:t>ROLE</w:t>
            </w:r>
          </w:p>
        </w:tc>
        <w:tc>
          <w:tcPr>
            <w:tcW w:type="dxa" w:w="3099"/>
          </w:tcPr>
          <w:p>
            <w:pPr>
              <w:spacing w:after="20"/>
            </w:pPr>
            <w:r>
              <w:rPr>
                <w:rFonts w:ascii="Calibri" w:hAnsi="Calibri"/>
                <w:b/>
                <w:color w:val="788884"/>
                <w:sz w:val="14"/>
              </w:rPr>
              <w:t>DATE</w:t>
            </w:r>
          </w:p>
        </w:tc>
      </w:tr>
      <w:tr>
        <w:tc>
          <w:tcPr>
            <w:tcW w:type="dxa" w:w="3099"/>
          </w:tcPr>
          <w:p>
            <w:r>
              <w:rPr>
                <w:rFonts w:ascii="Georgia" w:hAnsi="Georgia"/>
                <w:color w:val="131C1B"/>
                <w:sz w:val="20"/>
              </w:rPr>
              <w:t>……………………………</w:t>
            </w:r>
          </w:p>
        </w:tc>
        <w:tc>
          <w:tcPr>
            <w:tcW w:type="dxa" w:w="3099"/>
          </w:tcPr>
          <w:p>
            <w:r>
              <w:rPr>
                <w:rFonts w:ascii="Georgia" w:hAnsi="Georgia"/>
                <w:color w:val="131C1B"/>
                <w:sz w:val="20"/>
              </w:rPr>
              <w:t>……………………………</w:t>
            </w:r>
          </w:p>
        </w:tc>
        <w:tc>
          <w:tcPr>
            <w:tcW w:type="dxa" w:w="3099"/>
          </w:tcPr>
          <w:p>
            <w:r>
              <w:rPr>
                <w:rFonts w:ascii="Georgia" w:hAnsi="Georgia"/>
                <w:color w:val="131C1B"/>
                <w:sz w:val="20"/>
              </w:rPr>
              <w:t>……………………………</w:t>
            </w:r>
          </w:p>
        </w:tc>
      </w:tr>
    </w:tbl>
    <w:sectPr w:rsidR="00FC693F" w:rsidRPr="0006063C" w:rsidSect="00034616">
      <w:footerReference w:type="default" r:id="rId9"/>
      <w:pgSz w:w="11906" w:h="16838"/>
      <w:pgMar w:top="1134" w:right="1304" w:bottom="107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788884"/>
        <w:sz w:val="15"/>
      </w:rPr>
      <w:t>MintABear · Technical questionnaire Version 2.0 · 10 September 2026</w:t>
    </w:r>
    <w:r>
      <w:rPr>
        <w:sz w:val="15"/>
      </w:rPr>
      <w:tab/>
      <w:tab/>
    </w:r>
    <w:fldSimple w:instr="PAGE">
      <w:r>
        <w:rPr>
          <w:rFonts w:ascii="Consolas" w:hAnsi="Consolas"/>
          <w:sz w:val="15"/>
          <w:color w:val="788884"/>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Rule="auto" w:line="283"/>
    </w:pPr>
    <w:rPr>
      <w:rFonts w:ascii="Georgia" w:hAnsi="Georgia" w:eastAsia="Georgia"/>
      <w:color w:val="131C1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MintABear: decisions we need from you</dc:title>
  <dc:subject>Technical questionnaire Version 2.0</dc:subject>
  <dc:creator>Calea Digital</dc:creator>
  <cp:keywords/>
  <dc:description>27 decisions and 7 information items; incorporates the client architecture email of 2026-09-10.</dc:description>
  <cp:lastModifiedBy/>
  <cp:revision>1</cp:revision>
  <dcterms:created xsi:type="dcterms:W3CDTF">2013-12-23T23:15:00Z</dcterms:created>
  <dcterms:modified xsi:type="dcterms:W3CDTF">2013-12-23T23:15:00Z</dcterms:modified>
  <cp:category/>
</cp:coreProperties>
</file>