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1A1A1A"/>
          <w:sz w:val="28"/>
        </w:rPr>
        <w:t>SENIOR SECURED PRIVATE CREDIT AGREEMENT</w:t>
      </w:r>
    </w:p>
    <w:p>
      <w:pPr>
        <w:spacing w:after="40"/>
      </w:pPr>
    </w:p>
    <w:p>
      <w:pPr>
        <w:jc w:val="center"/>
      </w:pPr>
      <w:r>
        <w:rPr>
          <w:b/>
          <w:sz w:val="18"/>
        </w:rPr>
        <w:t>CONFIDENTIAL — FOR REVIEW AND EXECUTION ONLY</w:t>
      </w:r>
    </w:p>
    <w:p>
      <w:pPr>
        <w:jc w:val="center"/>
      </w:pPr>
      <w:r>
        <w:rPr>
          <w:sz w:val="18"/>
        </w:rPr>
        <w:t>Draft Date: March 2026     |     Agreement Reference: DHCP-KVI-2026-001</w:t>
      </w:r>
    </w:p>
    <w:p>
      <w:pPr>
        <w:spacing w:after="40"/>
      </w:pPr>
    </w:p>
    <w:p>
      <w:pPr>
        <w:spacing w:after="40" w:before="40"/>
        <w:pBdr>
          <w:bottom w:val="single" w:sz="6" w:space="1" w:color="999999"/>
        </w:pBdr>
      </w:pPr>
    </w:p>
    <w:p>
      <w:pPr>
        <w:spacing w:after="40"/>
      </w:pPr>
    </w:p>
    <w:p>
      <w:pPr>
        <w:spacing w:after="200"/>
      </w:pPr>
      <w:r>
        <w:t xml:space="preserve">This Senior Secured Private Credit Agreement </w:t>
      </w:r>
      <w:r>
        <w:t xml:space="preserve">(hereinafter referred to as the </w:t>
      </w:r>
      <w:r>
        <w:rPr>
          <w:b/>
        </w:rPr>
        <w:t>"Agreement"</w:t>
      </w:r>
      <w:r>
        <w:t xml:space="preserve">) is entered into as of the date last signed below (the </w:t>
      </w:r>
      <w:r>
        <w:rPr>
          <w:b/>
        </w:rPr>
        <w:t>"Effective Date"</w:t>
      </w:r>
      <w:r>
        <w:t>).</w:t>
      </w:r>
    </w:p>
    <w:p>
      <w:pPr>
        <w:spacing w:after="160"/>
      </w:pPr>
      <w:r>
        <w:rPr>
          <w:b/>
        </w:rPr>
        <w:t>BY AND AMONG:</w:t>
      </w:r>
    </w:p>
    <w:p>
      <w:pPr>
        <w:spacing w:after="120" w:line="320" w:lineRule="exact"/>
      </w:pPr>
      <w:r>
        <w:rPr>
          <w:b/>
        </w:rPr>
        <w:t xml:space="preserve">(1) Kamboj Ventures Inc., </w:t>
      </w:r>
      <w:r>
        <w:t>a California limited liability company, having its registered office at 413 South Riverside Drive Unit D, Modesto, California 95354 (hereinafter referred to as the "Borrower") of the FIRST PART;</w:t>
      </w:r>
    </w:p>
    <w:p>
      <w:pPr>
        <w:spacing w:after="40"/>
      </w:pPr>
    </w:p>
    <w:p>
      <w:pPr>
        <w:spacing w:after="120" w:line="320" w:lineRule="exact"/>
      </w:pPr>
      <w:r>
        <w:t>AND</w:t>
      </w:r>
    </w:p>
    <w:p>
      <w:pPr>
        <w:spacing w:after="40"/>
      </w:pPr>
    </w:p>
    <w:p>
      <w:pPr>
        <w:spacing w:after="120" w:line="320" w:lineRule="exact"/>
      </w:pPr>
      <w:r>
        <w:rPr>
          <w:b/>
        </w:rPr>
        <w:t xml:space="preserve">(2) Caleb Caraway, for the benefit of Draft Horse Capital Partners, </w:t>
      </w:r>
      <w:r>
        <w:t>a Texas-based private credit fund operating under Dark Horse Wealth Management, with its principal office at 1211 Explorer Ln., Granbury, Texas 76049 (hereinafter referred to as the "Lender") of the SECOND PART.</w:t>
      </w:r>
    </w:p>
    <w:p>
      <w:pPr>
        <w:spacing w:after="40"/>
      </w:pPr>
    </w:p>
    <w:p>
      <w:pPr>
        <w:spacing w:after="120" w:line="320" w:lineRule="exact"/>
      </w:pPr>
      <w:r>
        <w:t>The Lender and the Borrower are hereinafter individually referred to as a "Party" and collectively as the "Parties."</w:t>
      </w:r>
    </w:p>
    <w:p>
      <w:pPr>
        <w:spacing w:after="40" w:before="40"/>
        <w:pBdr>
          <w:bottom w:val="single" w:sz="6" w:space="1" w:color="999999"/>
        </w:pBdr>
      </w:pPr>
    </w:p>
    <w:p>
      <w:pPr>
        <w:spacing w:after="40"/>
      </w:pPr>
    </w:p>
    <w:p>
      <w:pPr>
        <w:pStyle w:val="Heading2"/>
      </w:pPr>
      <w:r>
        <w:rPr>
          <w:b/>
          <w:color w:val="1A1A1A"/>
          <w:sz w:val="22"/>
        </w:rPr>
        <w:t>RECITALS</w:t>
      </w:r>
    </w:p>
    <w:p>
      <w:pPr>
        <w:spacing w:after="120" w:line="320" w:lineRule="exact"/>
      </w:pPr>
      <w:r>
        <w:rPr>
          <w:b/>
        </w:rPr>
        <w:t xml:space="preserve">A. </w:t>
      </w:r>
      <w:r>
        <w:t>The Borrower is an active private equity operating company engaged in aviation charter operations, fleet management, real estate investment, and portfolio company management, with an established track record of generating material monthly returns across its portfolio.</w:t>
      </w:r>
    </w:p>
    <w:p>
      <w:pPr>
        <w:spacing w:after="120" w:line="320" w:lineRule="exact"/>
      </w:pPr>
      <w:r>
        <w:rPr>
          <w:b/>
        </w:rPr>
        <w:t xml:space="preserve">B. </w:t>
      </w:r>
      <w:r>
        <w:t>The Lender is a private credit fund that deploys institutional capital into secured lending opportunities with asset-rich operating companies. The Lender has committed to provide the Borrower with a senior secured credit facility in the aggregate principal amount of Ten Million United States Dollars (USD $10,000,000.00) (the "Credit Facility").</w:t>
      </w:r>
    </w:p>
    <w:p>
      <w:pPr>
        <w:spacing w:after="120" w:line="320" w:lineRule="exact"/>
      </w:pPr>
      <w:r>
        <w:rPr>
          <w:b/>
        </w:rPr>
        <w:t xml:space="preserve">C. </w:t>
      </w:r>
      <w:r>
        <w:t>The Borrower desires to borrow the Credit Facility from the Lender under the terms and conditions set forth herein, and the Lender desires to extend such Credit Facility to the Borrower subject to the security package, representations, covenants, and conditions described below.</w:t>
      </w:r>
    </w:p>
    <w:p>
      <w:pPr>
        <w:spacing w:after="120"/>
      </w:pPr>
      <w:r>
        <w:rPr>
          <w:b/>
        </w:rPr>
        <w:t xml:space="preserve">D. </w:t>
      </w:r>
      <w:r>
        <w:t xml:space="preserve">The Parties acknowledge that the Lender is providing institutional private credit — not equity investment — and accordingly, the monthly return rate of </w:t>
      </w:r>
      <w:r>
        <w:rPr>
          <w:b/>
        </w:rPr>
        <w:t xml:space="preserve">8% per month </w:t>
      </w:r>
      <w:r>
        <w:t>is structured and justified on the following basis:</w:t>
      </w:r>
    </w:p>
    <w:p>
      <w:pPr>
        <w:pStyle w:val="ListBullet"/>
        <w:spacing w:after="80"/>
      </w:pPr>
      <w:r>
        <w:t>The Lender does not share in the tax advantages available to private equity investors in the Borrower's portfolio companies, including but not limited to Qualified Small Business Stock (QSBS) exclusions under IRC §1202, carried interest treatment, and portfolio company depreciation pass-throughs;</w:t>
      </w:r>
    </w:p>
    <w:p>
      <w:pPr>
        <w:pStyle w:val="ListBullet"/>
        <w:spacing w:after="80"/>
      </w:pPr>
      <w:r>
        <w:t>The Lender does not participate in the back-end exit waterfall when portfolio companies are sold, which is known to be substantial and represents a significant component of total equity investor returns;</w:t>
      </w:r>
    </w:p>
    <w:p>
      <w:pPr>
        <w:pStyle w:val="ListBullet"/>
        <w:spacing w:after="80"/>
      </w:pPr>
      <w:r>
        <w:t>Equity investors in the Borrower's portfolio companies are understood to earn materially higher effective monthly returns than the rate provided herein, by virtue of their participation in both operating distributions and exit proceeds — none of which accrue to the Lender as a creditor;</w:t>
      </w:r>
    </w:p>
    <w:p>
      <w:pPr>
        <w:pStyle w:val="ListBullet"/>
        <w:spacing w:after="80"/>
      </w:pPr>
      <w:r>
        <w:t>The Lender is committing a material capital deployment that entitles the Lender to private equity equivalent economics whilst retaining the security, priority, and legal protections of a senior secured creditor position;</w:t>
      </w:r>
    </w:p>
    <w:p>
      <w:pPr>
        <w:pStyle w:val="ListBullet"/>
        <w:spacing w:after="80"/>
      </w:pPr>
      <w:r>
        <w:t>The Credit Facility rate of 8% per month represents fair compensation for the Lender's foregone equity upside and tax advantages, while affording the Borrower the structural and balance sheet benefits of debt financing over equity dilution.</w:t>
      </w:r>
    </w:p>
    <w:p>
      <w:pPr>
        <w:spacing w:after="40"/>
      </w:pPr>
    </w:p>
    <w:p>
      <w:pPr>
        <w:spacing w:after="120" w:line="320" w:lineRule="exact"/>
      </w:pPr>
      <w:r>
        <w:t>NOW THEREFORE, in consideration of the foregoing and the mutual covenants set forth herein, the Parties hereby agree as follows:</w:t>
      </w:r>
    </w:p>
    <w:p>
      <w:pPr>
        <w:spacing w:after="40" w:before="40"/>
        <w:pBdr>
          <w:bottom w:val="single" w:sz="6" w:space="1" w:color="999999"/>
        </w:pBdr>
      </w:pPr>
    </w:p>
    <w:p>
      <w:pPr>
        <w:spacing w:after="40"/>
      </w:pPr>
    </w:p>
    <w:p>
      <w:pPr>
        <w:pStyle w:val="Heading2"/>
      </w:pPr>
      <w:r>
        <w:rPr>
          <w:b/>
          <w:color w:val="1A1A1A"/>
          <w:sz w:val="22"/>
        </w:rPr>
        <w:t>1. DEFINITIONS</w:t>
      </w:r>
    </w:p>
    <w:p>
      <w:pPr>
        <w:pStyle w:val="ListBullet"/>
        <w:spacing w:after="80"/>
      </w:pPr>
      <w:r>
        <w:rPr>
          <w:b/>
        </w:rPr>
        <w:t xml:space="preserve">"Agreement" </w:t>
      </w:r>
      <w:r>
        <w:t>refers to this Senior Secured Private Credit Agreement, including all Schedules and Exhibits attached hereto.</w:t>
      </w:r>
    </w:p>
    <w:p>
      <w:pPr>
        <w:pStyle w:val="ListBullet"/>
        <w:spacing w:after="80"/>
      </w:pPr>
      <w:r>
        <w:rPr>
          <w:b/>
        </w:rPr>
        <w:t xml:space="preserve">"Applicable Law" </w:t>
      </w:r>
      <w:r>
        <w:t>shall include all applicable United States federal and State of Texas statutes, regulations, rules, judicial decisions, orders, and administrative guidance in effect from time to time.</w:t>
      </w:r>
    </w:p>
    <w:p>
      <w:pPr>
        <w:pStyle w:val="ListBullet"/>
        <w:spacing w:after="80"/>
      </w:pPr>
      <w:r>
        <w:rPr>
          <w:b/>
        </w:rPr>
        <w:t xml:space="preserve">"Collateral" </w:t>
      </w:r>
      <w:r>
        <w:t>shall have the meaning set forth in Section 5 of this Agreement and shall include all assets described in Schedule A (Security Schedule).</w:t>
      </w:r>
    </w:p>
    <w:p>
      <w:pPr>
        <w:pStyle w:val="ListBullet"/>
        <w:spacing w:after="80"/>
      </w:pPr>
      <w:r>
        <w:rPr>
          <w:b/>
        </w:rPr>
        <w:t xml:space="preserve">"Credit Facility" </w:t>
      </w:r>
      <w:r>
        <w:t>means the senior secured credit facility in the aggregate principal amount of USD $10,000,000.00 extended by the Lender to the Borrower hereunder, which may be funded in tranches as set forth in Section 3(a).</w:t>
      </w:r>
    </w:p>
    <w:p>
      <w:pPr>
        <w:pStyle w:val="ListBullet"/>
        <w:spacing w:after="80"/>
      </w:pPr>
      <w:r>
        <w:rPr>
          <w:b/>
        </w:rPr>
        <w:t xml:space="preserve">"Default" </w:t>
      </w:r>
      <w:r>
        <w:t>shall have the meaning set forth in Section 7 of this Agreement.</w:t>
      </w:r>
    </w:p>
    <w:p>
      <w:pPr>
        <w:pStyle w:val="ListBullet"/>
        <w:spacing w:after="80"/>
      </w:pPr>
      <w:r>
        <w:rPr>
          <w:b/>
        </w:rPr>
        <w:t xml:space="preserve">"Effective Date" </w:t>
      </w:r>
      <w:r>
        <w:t>shall mean the date on which the Lender funds the initial tranche of the Credit Facility to the Borrower.</w:t>
      </w:r>
    </w:p>
    <w:p>
      <w:pPr>
        <w:pStyle w:val="ListBullet"/>
        <w:spacing w:after="80"/>
      </w:pPr>
      <w:r>
        <w:rPr>
          <w:b/>
        </w:rPr>
        <w:t xml:space="preserve">"Event of Default" </w:t>
      </w:r>
      <w:r>
        <w:t>shall have the meaning set forth in Section 7 of this Agreement.</w:t>
      </w:r>
    </w:p>
    <w:p>
      <w:pPr>
        <w:pStyle w:val="ListBullet"/>
        <w:spacing w:after="80"/>
      </w:pPr>
      <w:r>
        <w:rPr>
          <w:b/>
        </w:rPr>
        <w:t xml:space="preserve">"Monthly Return" </w:t>
      </w:r>
      <w:r>
        <w:t>shall mean the monthly amount payable by the Borrower to the Lender equal to 8% (eight percent) of the then-outstanding principal balance of the Credit Facility.</w:t>
      </w:r>
    </w:p>
    <w:p>
      <w:pPr>
        <w:pStyle w:val="ListBullet"/>
        <w:spacing w:after="80"/>
      </w:pPr>
      <w:r>
        <w:rPr>
          <w:b/>
        </w:rPr>
        <w:t xml:space="preserve">"Obligations" </w:t>
      </w:r>
      <w:r>
        <w:t>means all amounts due and owing by the Borrower to the Lender under this Agreement, including principal, Monthly Returns, default interest, fees, costs, and expenses.</w:t>
      </w:r>
    </w:p>
    <w:p>
      <w:pPr>
        <w:pStyle w:val="ListBullet"/>
        <w:spacing w:after="80"/>
      </w:pPr>
      <w:r>
        <w:rPr>
          <w:b/>
        </w:rPr>
        <w:t xml:space="preserve">"Term" </w:t>
      </w:r>
      <w:r>
        <w:t>shall have the meaning set forth in Section 2 of this Agreement.</w:t>
      </w:r>
    </w:p>
    <w:p>
      <w:pPr>
        <w:pStyle w:val="ListBullet"/>
        <w:spacing w:after="80"/>
      </w:pPr>
      <w:r>
        <w:rPr>
          <w:b/>
        </w:rPr>
        <w:t xml:space="preserve">"UCC" </w:t>
      </w:r>
      <w:r>
        <w:t>means the Uniform Commercial Code as in effect from time to time in the applicable jurisdiction.</w:t>
      </w:r>
    </w:p>
    <w:p>
      <w:pPr>
        <w:spacing w:after="40" w:before="40"/>
        <w:pBdr>
          <w:bottom w:val="single" w:sz="6" w:space="1" w:color="999999"/>
        </w:pBdr>
      </w:pPr>
    </w:p>
    <w:p>
      <w:pPr>
        <w:spacing w:after="40"/>
      </w:pPr>
    </w:p>
    <w:p>
      <w:pPr>
        <w:pStyle w:val="Heading2"/>
      </w:pPr>
      <w:r>
        <w:rPr>
          <w:b/>
          <w:color w:val="1A1A1A"/>
          <w:sz w:val="22"/>
        </w:rPr>
        <w:t>2. TERM</w:t>
      </w:r>
    </w:p>
    <w:p>
      <w:pPr>
        <w:spacing w:after="120" w:line="320" w:lineRule="exact"/>
      </w:pPr>
      <w:r>
        <w:rPr>
          <w:b/>
        </w:rPr>
        <w:t xml:space="preserve">(a) Initial Term. </w:t>
      </w:r>
      <w:r>
        <w:t>The term of this Agreement shall commence on the Effective Date and shall continue for a period of 36 (thirty-six) months from the Effective Date (the "Initial Term"), unless earlier terminated pursuant to Section 7 or extended pursuant to Section 2(b).</w:t>
      </w:r>
    </w:p>
    <w:p>
      <w:pPr>
        <w:spacing w:after="120" w:line="320" w:lineRule="exact"/>
      </w:pPr>
      <w:r>
        <w:rPr>
          <w:b/>
        </w:rPr>
        <w:t xml:space="preserve">(b) Renewal. </w:t>
      </w:r>
      <w:r>
        <w:t>Upon mutual written agreement of the Parties executed no later than 60 days prior to the expiration of the then-current Term, this Agreement may be renewed for successive 12-month periods on terms to be mutually agreed in writing. Absent such written renewal, this Agreement shall terminate at the end of the Initial Term.</w:t>
      </w:r>
    </w:p>
    <w:p>
      <w:pPr>
        <w:spacing w:after="120" w:line="320" w:lineRule="exact"/>
      </w:pPr>
      <w:r>
        <w:rPr>
          <w:b/>
        </w:rPr>
        <w:t xml:space="preserve">(c) Principal Repayment. </w:t>
      </w:r>
      <w:r>
        <w:t>The full outstanding principal balance of the Credit Facility shall be due and payable on or before the 30th day following the expiration of the Term (the "Principal Repayment Date").</w:t>
      </w:r>
    </w:p>
    <w:p>
      <w:pPr>
        <w:spacing w:after="40" w:before="40"/>
        <w:pBdr>
          <w:bottom w:val="single" w:sz="6" w:space="1" w:color="999999"/>
        </w:pBdr>
      </w:pPr>
    </w:p>
    <w:p>
      <w:pPr>
        <w:spacing w:after="40"/>
      </w:pPr>
    </w:p>
    <w:p>
      <w:pPr>
        <w:pStyle w:val="Heading2"/>
      </w:pPr>
      <w:r>
        <w:rPr>
          <w:b/>
          <w:color w:val="1A1A1A"/>
          <w:sz w:val="22"/>
        </w:rPr>
        <w:t>3. CREDIT FACILITY, MONTHLY RETURNS, AND REPAYMENT</w:t>
      </w:r>
    </w:p>
    <w:p>
      <w:pPr>
        <w:spacing w:after="120" w:line="320" w:lineRule="exact"/>
      </w:pPr>
      <w:r>
        <w:rPr>
          <w:b/>
        </w:rPr>
        <w:t xml:space="preserve">(a) Funding and Tranches. </w:t>
      </w:r>
      <w:r>
        <w:t>The Lender shall fund the Credit Facility in one or more tranches as mutually agreed by the Parties in writing. Each tranche shall be funded by wire transfer to the Borrower's designated bank account. The aggregate of all funded tranches shall not exceed USD $10,000,000.00. Upon funding of each tranche, a corresponding Tranche Confirmation Notice shall be executed by both Parties and attached hereto as an addendum.</w:t>
      </w:r>
    </w:p>
    <w:p>
      <w:pPr>
        <w:spacing w:after="120" w:line="320" w:lineRule="exact"/>
      </w:pPr>
      <w:r>
        <w:rPr>
          <w:b/>
        </w:rPr>
        <w:t xml:space="preserve">(b) Monthly Return Rate. </w:t>
      </w:r>
      <w:r>
        <w:t>In consideration of the Credit Facility, the Borrower shall pay to the Lender a monthly return at the rate of 8% (eight percent) per month on the then-outstanding principal balance of the Credit Facility (the "Monthly Return"). For the avoidance of doubt, at full deployment of USD $10,000,000.00, the Monthly Return payable shall be USD $800,000.00 per month.</w:t>
      </w:r>
    </w:p>
    <w:tbl>
      <w:tblPr>
        <w:tblW w:type="auto" w:w="0"/>
        <w:jc w:val="center"/>
        <w:tblLook w:firstColumn="1" w:firstRow="1" w:lastColumn="0" w:lastRow="0" w:noHBand="0" w:noVBand="1" w:val="04A0"/>
      </w:tblPr>
      <w:tblGrid>
        <w:gridCol w:w="8640"/>
      </w:tblGrid>
      <w:tr>
        <w:tc>
          <w:tcPr>
            <w:tcW w:type="dxa" w:w="6480"/>
          </w:tcPr>
          <w:p>
            <w:pPr>
              <w:spacing w:before="120" w:after="120"/>
              <w:jc w:val="center"/>
            </w:pPr>
            <w:r>
              <w:rPr>
                <w:b/>
                <w:sz w:val="20"/>
              </w:rPr>
              <w:t>Monthly Return Schedule at Full Deployment (USD $10,000,000.00 principal)</w:t>
              <w:br/>
            </w:r>
            <w:r>
              <w:rPr>
                <w:sz w:val="20"/>
              </w:rPr>
              <w:t>Monthly Return: USD $800,000.00     |     Annual Return: USD $9,600,000.00     |     Annual Rate: 96% per annum</w:t>
            </w:r>
          </w:p>
        </w:tc>
      </w:tr>
    </w:tbl>
    <w:p>
      <w:pPr>
        <w:spacing w:after="40"/>
      </w:pPr>
    </w:p>
    <w:p>
      <w:pPr>
        <w:spacing w:after="120" w:line="320" w:lineRule="exact"/>
      </w:pPr>
      <w:r>
        <w:rPr>
          <w:b/>
        </w:rPr>
        <w:t xml:space="preserve">(c) Payment Date. </w:t>
      </w:r>
      <w:r>
        <w:t>Monthly Returns shall be paid by the Borrower to the Lender on or before the 30th day following the Effective Date of each funded tranche and on the same day of each subsequent month thereafter for the duration of the Term. Payments shall be made by ACH direct deposit or wire transfer to the Lender's designated account (set forth in Schedule B) without deduction, set-off, or counterclaim.</w:t>
      </w:r>
    </w:p>
    <w:p>
      <w:pPr>
        <w:spacing w:after="120" w:line="320" w:lineRule="exact"/>
      </w:pPr>
      <w:r>
        <w:rPr>
          <w:b/>
        </w:rPr>
        <w:t xml:space="preserve">(d) Partial Month Proration. </w:t>
      </w:r>
      <w:r>
        <w:t>For any period of less than a full calendar month, the Monthly Return shall be prorated based on the actual number of days elapsed in such month divided by 30.</w:t>
      </w:r>
    </w:p>
    <w:p>
      <w:pPr>
        <w:spacing w:after="120" w:line="320" w:lineRule="exact"/>
      </w:pPr>
      <w:r>
        <w:rPr>
          <w:b/>
        </w:rPr>
        <w:t xml:space="preserve">(e) Principal Repayment. </w:t>
      </w:r>
      <w:r>
        <w:t>The Borrower shall repay the full outstanding principal balance of the Credit Facility on the Principal Repayment Date. The Borrower shall not be required to make any principal amortization payments prior to the Principal Repayment Date unless an Event of Default has occurred and the Lender has exercised its acceleration rights under Section 7(c).</w:t>
      </w:r>
    </w:p>
    <w:p>
      <w:pPr>
        <w:spacing w:after="120" w:line="320" w:lineRule="exact"/>
      </w:pPr>
      <w:r>
        <w:rPr>
          <w:b/>
        </w:rPr>
        <w:t xml:space="preserve">(f) Default in Monthly Return Payment. </w:t>
      </w:r>
      <w:r>
        <w:t>Time is of the essence with respect to all payment obligations hereunder. If the Borrower fails to pay any Monthly Return within 5 (five) business days of the applicable payment date (the "Grace Period"), the unpaid amount shall bear additional default interest at the rate of 5% per month (60% per annum), calculated from the end of the Grace Period until the date of actual payment.</w:t>
      </w:r>
    </w:p>
    <w:p>
      <w:pPr>
        <w:spacing w:after="120" w:line="320" w:lineRule="exact"/>
      </w:pPr>
      <w:r>
        <w:rPr>
          <w:b/>
        </w:rPr>
        <w:t xml:space="preserve">(g) Payment Instructions. </w:t>
      </w:r>
      <w:r>
        <w:t>All payments to the Lender shall be directed as follows: Beneficiary Name: Draft Horse Capital Partners | Beneficiary Account: [To be provided by Lender upon execution] | Bank Name: Axos Bank | Reference: DHCP-KVI-2026-001 / [Tranche Number].</w:t>
      </w:r>
    </w:p>
    <w:p>
      <w:pPr>
        <w:spacing w:after="40" w:before="40"/>
        <w:pBdr>
          <w:bottom w:val="single" w:sz="6" w:space="1" w:color="999999"/>
        </w:pBdr>
      </w:pPr>
    </w:p>
    <w:p>
      <w:pPr>
        <w:spacing w:after="40"/>
      </w:pPr>
    </w:p>
    <w:p>
      <w:pPr>
        <w:pStyle w:val="Heading2"/>
      </w:pPr>
      <w:r>
        <w:rPr>
          <w:b/>
          <w:color w:val="1A1A1A"/>
          <w:sz w:val="22"/>
        </w:rPr>
        <w:t>4. NO PREMATURE RECALL BY LENDER</w:t>
      </w:r>
    </w:p>
    <w:p>
      <w:pPr>
        <w:spacing w:after="120" w:line="320" w:lineRule="exact"/>
      </w:pPr>
      <w:r>
        <w:t>The Lender shall not be entitled to demand early repayment of the principal balance or terminate this Agreement prior to the expiration of the Term in the absence of an Event of Default. In the event of an Event of Default, the Lender shall be entitled (but not obligated) to declare all Obligations immediately due and payable pursuant to Section 7(c). The Lender acknowledges that premature recall without cause may disrupt the Borrower's operations and agrees to honor the Term absent default.</w:t>
      </w:r>
    </w:p>
    <w:p>
      <w:pPr>
        <w:spacing w:after="40" w:before="40"/>
        <w:pBdr>
          <w:bottom w:val="single" w:sz="6" w:space="1" w:color="999999"/>
        </w:pBdr>
      </w:pPr>
    </w:p>
    <w:p>
      <w:pPr>
        <w:spacing w:after="40"/>
      </w:pPr>
    </w:p>
    <w:p>
      <w:pPr>
        <w:pStyle w:val="Heading2"/>
      </w:pPr>
      <w:r>
        <w:rPr>
          <w:b/>
          <w:color w:val="1A1A1A"/>
          <w:sz w:val="22"/>
        </w:rPr>
        <w:t>5. SECURITY — COLLATERAL PACKAGE</w:t>
      </w:r>
    </w:p>
    <w:p>
      <w:pPr>
        <w:spacing w:after="120" w:line="320" w:lineRule="exact"/>
      </w:pPr>
      <w:r>
        <w:t>As security for the full and timely payment and performance of all Obligations, the Borrower hereby grants to the Lender a first-priority security interest in and lien upon all of the Collateral described herein (collectively, the "Security Package"). The Security Package consists of six (6) distinct security layers:</w:t>
      </w:r>
    </w:p>
    <w:p>
      <w:pPr>
        <w:spacing w:before="160" w:after="40"/>
      </w:pPr>
      <w:r>
        <w:rPr>
          <w:b/>
          <w:sz w:val="22"/>
        </w:rPr>
        <w:t>Layer 1 — Operating Cash Flows</w:t>
      </w:r>
    </w:p>
    <w:p>
      <w:pPr>
        <w:spacing w:after="40"/>
        <w:ind w:left="432"/>
      </w:pPr>
      <w:r>
        <w:t>All operating cash flows, revenues, receivables, and accounts of the Borrower generated from aviation charter operations, portfolio company distributions, management fees, and all other revenue streams of Kamboj Ventures Inc.</w:t>
      </w:r>
    </w:p>
    <w:p>
      <w:pPr>
        <w:spacing w:after="120"/>
        <w:ind w:left="432"/>
      </w:pPr>
      <w:r>
        <w:rPr>
          <w:b/>
          <w:color w:val="555555"/>
        </w:rPr>
        <w:t xml:space="preserve">Enforcement Mechanism: </w:t>
      </w:r>
      <w:r>
        <w:rPr>
          <w:color w:val="555555"/>
        </w:rPr>
        <w:t>First-priority assignment of all receivables; Account Control Agreements with depository banks within 10 business days of Effective Date.</w:t>
      </w:r>
    </w:p>
    <w:p>
      <w:pPr>
        <w:spacing w:before="160" w:after="40"/>
      </w:pPr>
      <w:r>
        <w:rPr>
          <w:b/>
          <w:sz w:val="22"/>
        </w:rPr>
        <w:t>Layer 2 — Real Estate &amp; Inventory</w:t>
      </w:r>
    </w:p>
    <w:p>
      <w:pPr>
        <w:spacing w:after="40"/>
        <w:ind w:left="432"/>
      </w:pPr>
      <w:r>
        <w:t>All real property owned or controlled by the Borrower or its subsidiaries, including commercial real estate holdings and any inventory, valued at current appraised value.</w:t>
      </w:r>
    </w:p>
    <w:p>
      <w:pPr>
        <w:spacing w:after="120"/>
        <w:ind w:left="432"/>
      </w:pPr>
      <w:r>
        <w:rPr>
          <w:b/>
          <w:color w:val="555555"/>
        </w:rPr>
        <w:t xml:space="preserve">Enforcement Mechanism: </w:t>
      </w:r>
      <w:r>
        <w:rPr>
          <w:color w:val="555555"/>
        </w:rPr>
        <w:t>First-priority deed of trust or mortgage on all real property; UCC-1 financing statement on all personal property and inventory.</w:t>
      </w:r>
    </w:p>
    <w:p>
      <w:pPr>
        <w:spacing w:before="160" w:after="40"/>
      </w:pPr>
      <w:r>
        <w:rPr>
          <w:b/>
          <w:sz w:val="22"/>
        </w:rPr>
        <w:t>Layer 3 — Private Equity Portfolio Interests</w:t>
      </w:r>
    </w:p>
    <w:p>
      <w:pPr>
        <w:spacing w:after="40"/>
        <w:ind w:left="432"/>
      </w:pPr>
      <w:r>
        <w:t>All of the Borrower's equity positions, membership interests, and economic rights in any and all portfolio companies held by Kamboj Ventures Inc., including all rights to distributions, proceeds, and exit waterfall payments.</w:t>
      </w:r>
    </w:p>
    <w:p>
      <w:pPr>
        <w:spacing w:after="120"/>
        <w:ind w:left="432"/>
      </w:pPr>
      <w:r>
        <w:rPr>
          <w:b/>
          <w:color w:val="555555"/>
        </w:rPr>
        <w:t xml:space="preserve">Enforcement Mechanism: </w:t>
      </w:r>
      <w:r>
        <w:rPr>
          <w:color w:val="555555"/>
        </w:rPr>
        <w:t>First-priority pledge and assignment of all portfolio company interests; executed pledge agreements for each portfolio company to be delivered within 20 business days of Effective Date.</w:t>
      </w:r>
    </w:p>
    <w:p>
      <w:pPr>
        <w:spacing w:before="160" w:after="40"/>
      </w:pPr>
      <w:r>
        <w:rPr>
          <w:b/>
          <w:sz w:val="22"/>
        </w:rPr>
        <w:t>Layer 4 — Aviation Fleet (Current)</w:t>
      </w:r>
    </w:p>
    <w:p>
      <w:pPr>
        <w:spacing w:after="40"/>
        <w:ind w:left="432"/>
      </w:pPr>
      <w:r>
        <w:t>Four (4) Gulfstream G4-class aircraft currently owned or operated by or for the benefit of the Borrower. Two (2) aircraft are owned outright and unencumbered; two (2) aircraft are financed, with the Lender's security interest attaching to the net equity value of those financed aircraft. Estimated aggregate unencumbered fleet value: USD $8,000,000–$16,000,000.</w:t>
      </w:r>
    </w:p>
    <w:p>
      <w:pPr>
        <w:spacing w:after="120"/>
        <w:ind w:left="432"/>
      </w:pPr>
      <w:r>
        <w:rPr>
          <w:b/>
          <w:color w:val="555555"/>
        </w:rPr>
        <w:t xml:space="preserve">Enforcement Mechanism: </w:t>
      </w:r>
      <w:r>
        <w:rPr>
          <w:color w:val="555555"/>
        </w:rPr>
        <w:t>First-priority security interest on the two (2) unencumbered aircraft; second-position lien on the two (2) financed aircraft. FAA Aircraft Registry filings within 15 business days of Effective Date.</w:t>
      </w:r>
    </w:p>
    <w:p>
      <w:pPr>
        <w:spacing w:before="160" w:after="40"/>
      </w:pPr>
      <w:r>
        <w:rPr>
          <w:b/>
          <w:sz w:val="22"/>
        </w:rPr>
        <w:t>Layer 5 — Future Aviation Fleet (Subordinated)</w:t>
      </w:r>
    </w:p>
    <w:p>
      <w:pPr>
        <w:spacing w:after="40"/>
        <w:ind w:left="432"/>
      </w:pPr>
      <w:r>
        <w:t>Future Gulfstream G550-class aircraft acquisitions funded by or through the Borrower. The Lender acknowledges that Quarter Horse Capital Partners holds a first-priority lien right on Future Fleet acquisitions; the Lender's interest attaches as a subordinated second-priority lien after satisfaction of Quarter Horse Capital Partners' first-priority interest.</w:t>
      </w:r>
    </w:p>
    <w:p>
      <w:pPr>
        <w:spacing w:after="120"/>
        <w:ind w:left="432"/>
      </w:pPr>
      <w:r>
        <w:rPr>
          <w:b/>
          <w:color w:val="555555"/>
        </w:rPr>
        <w:t xml:space="preserve">Enforcement Mechanism: </w:t>
      </w:r>
      <w:r>
        <w:rPr>
          <w:color w:val="555555"/>
        </w:rPr>
        <w:t>Subordinated second-priority lien on Future Fleet acquisitions, subject to Quarter Horse Capital Partners' first-priority rights. Borrower shall provide 30 days' written notice prior to any Future Fleet acquisition.</w:t>
      </w:r>
    </w:p>
    <w:p>
      <w:pPr>
        <w:spacing w:before="160" w:after="40"/>
      </w:pPr>
      <w:r>
        <w:rPr>
          <w:b/>
          <w:sz w:val="22"/>
        </w:rPr>
        <w:t>Layer 6 — Trade Credit Insurance</w:t>
      </w:r>
    </w:p>
    <w:p>
      <w:pPr>
        <w:spacing w:after="40"/>
        <w:ind w:left="432"/>
      </w:pPr>
      <w:r>
        <w:t>A trade credit insurance policy covering the Borrower's obligations under this Agreement, issued by Lloyd's of London or an equivalent A-rated insurer. Currently being structured and not yet executed. The Lender (Draft Horse Capital Partners) shall be solely responsible for procuring and paying all premiums. The Borrower shall cooperate reasonably in procurement efforts but has no financial obligation with respect to the Credit Insurance Policy.</w:t>
      </w:r>
    </w:p>
    <w:p>
      <w:pPr>
        <w:spacing w:after="120"/>
        <w:ind w:left="432"/>
      </w:pPr>
      <w:r>
        <w:rPr>
          <w:b/>
          <w:color w:val="555555"/>
        </w:rPr>
        <w:t xml:space="preserve">Enforcement Mechanism: </w:t>
      </w:r>
      <w:r>
        <w:rPr>
          <w:color w:val="555555"/>
        </w:rPr>
        <w:t>Upon execution, the Credit Insurance Policy shall name Draft Horse Capital Partners as named insured and sole loss payee. Lender bears all premium costs. Failure to bind within 90 days shall not constitute a default by either Party.</w:t>
      </w:r>
    </w:p>
    <w:p>
      <w:pPr>
        <w:spacing w:after="120" w:line="320" w:lineRule="exact"/>
      </w:pPr>
      <w:r>
        <w:rPr>
          <w:b/>
        </w:rPr>
        <w:t xml:space="preserve">(a) UCC Filings. </w:t>
      </w:r>
      <w:r>
        <w:t>The Borrower authorizes the Lender to file UCC-1 financing statements in all applicable jurisdictions covering all personal property Collateral described herein.</w:t>
      </w:r>
    </w:p>
    <w:p>
      <w:pPr>
        <w:spacing w:after="120" w:line="320" w:lineRule="exact"/>
      </w:pPr>
      <w:r>
        <w:rPr>
          <w:b/>
        </w:rPr>
        <w:t xml:space="preserve">(b) Additional Security Documentation. </w:t>
      </w:r>
      <w:r>
        <w:t>The Borrower shall execute such additional pledge agreements, control agreements, deeds of trust, mortgages, assignment agreements, and other security instruments as the Lender may reasonably request to perfect and maintain the Lender's security interest in the Collateral.</w:t>
      </w:r>
    </w:p>
    <w:p>
      <w:pPr>
        <w:spacing w:after="120" w:line="320" w:lineRule="exact"/>
      </w:pPr>
      <w:r>
        <w:rPr>
          <w:b/>
        </w:rPr>
        <w:t xml:space="preserve">(c) Insurance Maintenance. </w:t>
      </w:r>
      <w:r>
        <w:t>The Borrower shall at all times maintain adequate insurance on all tangible Collateral, naming the Lender as an additional insured and loss payee. Evidence of such insurance shall be provided to the Lender upon request and no less frequently than annually.</w:t>
      </w:r>
    </w:p>
    <w:p>
      <w:pPr>
        <w:spacing w:after="120" w:line="320" w:lineRule="exact"/>
      </w:pPr>
      <w:r>
        <w:rPr>
          <w:b/>
        </w:rPr>
        <w:t xml:space="preserve">(d) No Disposition Without Consent. </w:t>
      </w:r>
      <w:r>
        <w:t>Without the prior written consent of the Lender, the Borrower shall not sell, transfer, assign, lease, pledge, or otherwise dispose of any Collateral outside the ordinary course of business during the Term of this Agreement.</w:t>
      </w:r>
    </w:p>
    <w:p>
      <w:pPr>
        <w:spacing w:after="40" w:before="40"/>
        <w:pBdr>
          <w:bottom w:val="single" w:sz="6" w:space="1" w:color="999999"/>
        </w:pBdr>
      </w:pPr>
    </w:p>
    <w:p>
      <w:pPr>
        <w:spacing w:after="40"/>
      </w:pPr>
    </w:p>
    <w:p>
      <w:pPr>
        <w:pStyle w:val="Heading2"/>
      </w:pPr>
      <w:r>
        <w:rPr>
          <w:b/>
          <w:color w:val="1A1A1A"/>
          <w:sz w:val="22"/>
        </w:rPr>
        <w:t>6. REPRESENTATIONS AND WARRANTIES</w:t>
      </w:r>
    </w:p>
    <w:p>
      <w:r>
        <w:rPr>
          <w:b/>
          <w:u w:val="single"/>
        </w:rPr>
        <w:t>A. By the Lender</w:t>
      </w:r>
    </w:p>
    <w:p>
      <w:pPr>
        <w:pStyle w:val="ListBullet"/>
        <w:spacing w:after="80"/>
      </w:pPr>
      <w:r>
        <w:t>It has full power and authority to enter into this Agreement and fulfil its obligations hereunder;</w:t>
      </w:r>
    </w:p>
    <w:p>
      <w:pPr>
        <w:pStyle w:val="ListBullet"/>
        <w:spacing w:after="80"/>
      </w:pPr>
      <w:r>
        <w:t>This Agreement has been duly authorized, executed, and delivered and constitutes the legal, valid, and binding obligation of the Lender, enforceable in accordance with its terms;</w:t>
      </w:r>
    </w:p>
    <w:p>
      <w:pPr>
        <w:pStyle w:val="ListBullet"/>
        <w:spacing w:after="80"/>
      </w:pPr>
      <w:r>
        <w:t>The execution, delivery, and performance of this Agreement will not breach any other agreement to which the Lender is a party.</w:t>
      </w:r>
    </w:p>
    <w:p>
      <w:pPr>
        <w:spacing w:after="40"/>
      </w:pPr>
    </w:p>
    <w:p>
      <w:r>
        <w:rPr>
          <w:b/>
          <w:u w:val="single"/>
        </w:rPr>
        <w:t>B. By the Borrower</w:t>
      </w:r>
    </w:p>
    <w:p>
      <w:pPr>
        <w:pStyle w:val="ListBullet"/>
        <w:spacing w:after="80"/>
      </w:pPr>
      <w:r>
        <w:t>It has full power and authority to enter into this Agreement and to grant the security interests described in Section 5;</w:t>
      </w:r>
    </w:p>
    <w:p>
      <w:pPr>
        <w:pStyle w:val="ListBullet"/>
        <w:spacing w:after="80"/>
      </w:pPr>
      <w:r>
        <w:t>This Agreement has been duly authorized, executed, and delivered and constitutes the legal, valid, and binding obligation of the Borrower, enforceable in accordance with its terms;</w:t>
      </w:r>
    </w:p>
    <w:p>
      <w:pPr>
        <w:pStyle w:val="ListBullet"/>
        <w:spacing w:after="80"/>
      </w:pPr>
      <w:r>
        <w:t>The execution, delivery, and performance of this Agreement will not breach any other agreement, document, or instrument to which the Borrower is a party or by which it or its assets are bound;</w:t>
      </w:r>
    </w:p>
    <w:p>
      <w:pPr>
        <w:pStyle w:val="ListBullet"/>
        <w:spacing w:after="80"/>
      </w:pPr>
      <w:r>
        <w:t>The Borrower has good and marketable title to all Collateral, free and clear of all liens, encumbrances, and claims, except as disclosed in writing to the Lender prior to the Effective Date;</w:t>
      </w:r>
    </w:p>
    <w:p>
      <w:pPr>
        <w:pStyle w:val="ListBullet"/>
        <w:spacing w:after="80"/>
      </w:pPr>
      <w:r>
        <w:t>The Borrower's portfolio companies are currently generating positive monthly returns, and the Borrower has no knowledge of any fact or circumstance that would cause a material adverse change in its financial condition;</w:t>
      </w:r>
    </w:p>
    <w:p>
      <w:pPr>
        <w:pStyle w:val="ListBullet"/>
        <w:spacing w:after="80"/>
      </w:pPr>
      <w:r>
        <w:t>There is no litigation, arbitration, or governmental investigation (pending, threatened, or ongoing) against the Borrower that would materially adversely affect its ability to perform its obligations hereunder;</w:t>
      </w:r>
    </w:p>
    <w:p>
      <w:pPr>
        <w:pStyle w:val="ListBullet"/>
        <w:spacing w:after="80"/>
      </w:pPr>
      <w:r>
        <w:t>The Borrower is solvent, is not in default under any material agreement, and is not subject to any bankruptcy or insolvency proceeding;</w:t>
      </w:r>
    </w:p>
    <w:p>
      <w:pPr>
        <w:pStyle w:val="ListBullet"/>
        <w:spacing w:after="80"/>
      </w:pPr>
      <w:r>
        <w:t>All financial information and representations made by the Borrower to the Lender are true, accurate, and complete in all material respects as of the date made;</w:t>
      </w:r>
    </w:p>
    <w:p>
      <w:pPr>
        <w:pStyle w:val="ListBullet"/>
        <w:spacing w:after="80"/>
      </w:pPr>
      <w:r>
        <w:t>The Borrower understands that the Lender has entered into this Agreement in material reliance on the representations, warranties, and security package provided by the Borrower herein.</w:t>
      </w:r>
    </w:p>
    <w:p>
      <w:pPr>
        <w:spacing w:after="40" w:before="40"/>
        <w:pBdr>
          <w:bottom w:val="single" w:sz="6" w:space="1" w:color="999999"/>
        </w:pBdr>
      </w:pPr>
    </w:p>
    <w:p>
      <w:pPr>
        <w:spacing w:after="40"/>
      </w:pPr>
    </w:p>
    <w:p>
      <w:pPr>
        <w:pStyle w:val="Heading2"/>
      </w:pPr>
      <w:r>
        <w:rPr>
          <w:b/>
          <w:color w:val="1A1A1A"/>
          <w:sz w:val="22"/>
        </w:rPr>
        <w:t>7. EVENTS OF DEFAULT AND REMEDIES</w:t>
      </w:r>
    </w:p>
    <w:p>
      <w:r>
        <w:rPr>
          <w:b/>
        </w:rPr>
        <w:t xml:space="preserve">(a) Events of Default. </w:t>
      </w:r>
      <w:r>
        <w:t>Each of the following shall constitute an "Event of Default" under this Agreement:</w:t>
      </w:r>
    </w:p>
    <w:p>
      <w:pPr>
        <w:pStyle w:val="ListBullet"/>
        <w:spacing w:after="80"/>
      </w:pPr>
      <w:r>
        <w:t>The Borrower fails to pay any Monthly Return within 5 business days of the applicable payment date;</w:t>
      </w:r>
    </w:p>
    <w:p>
      <w:pPr>
        <w:pStyle w:val="ListBullet"/>
        <w:spacing w:after="80"/>
      </w:pPr>
      <w:r>
        <w:t>The Borrower fails to repay the full principal balance on the Principal Repayment Date;</w:t>
      </w:r>
    </w:p>
    <w:p>
      <w:pPr>
        <w:pStyle w:val="ListBullet"/>
        <w:spacing w:after="80"/>
      </w:pPr>
      <w:r>
        <w:t>The Borrower breaches any material representation, warranty, or covenant contained in this Agreement and such breach remains uncured for 15 days after written notice thereof from the Lender;</w:t>
      </w:r>
    </w:p>
    <w:p>
      <w:pPr>
        <w:pStyle w:val="ListBullet"/>
        <w:spacing w:after="80"/>
      </w:pPr>
      <w:r>
        <w:t>The Borrower commences or becomes subject to any bankruptcy, insolvency, reorganization, or receivership proceeding;</w:t>
      </w:r>
    </w:p>
    <w:p>
      <w:pPr>
        <w:pStyle w:val="ListBullet"/>
        <w:spacing w:after="80"/>
      </w:pPr>
      <w:r>
        <w:t>Any material Collateral is sold, transferred, or encumbered without the Lender's prior written consent in violation of Section 5(d);</w:t>
      </w:r>
    </w:p>
    <w:p>
      <w:pPr>
        <w:pStyle w:val="ListBullet"/>
        <w:spacing w:after="80"/>
      </w:pPr>
      <w:r>
        <w:t>A material adverse change occurs in the financial condition or operations of the Borrower that materially impairs its ability to perform its Obligations hereunder;</w:t>
      </w:r>
    </w:p>
    <w:p>
      <w:pPr>
        <w:pStyle w:val="ListBullet"/>
        <w:spacing w:after="80"/>
      </w:pPr>
      <w:r>
        <w:t>Any lien or encumbrance is filed against any Collateral that is senior or pari passu to the Lender's security interest, without the Lender's prior written consent;</w:t>
      </w:r>
    </w:p>
    <w:p>
      <w:pPr>
        <w:pStyle w:val="ListBullet"/>
        <w:spacing w:after="80"/>
      </w:pPr>
      <w:r>
        <w:t>Any representation or warranty made herein proves to have been materially false or misleading when made;</w:t>
      </w:r>
    </w:p>
    <w:p>
      <w:pPr>
        <w:pStyle w:val="ListBullet"/>
        <w:spacing w:after="80"/>
      </w:pPr>
      <w:r>
        <w:t>Cross-Default: The Borrower defaults under any other material agreement or obligation in excess of USD $500,000 and such default is not cured within any applicable grace period.</w:t>
      </w:r>
    </w:p>
    <w:p>
      <w:pPr>
        <w:spacing w:after="120" w:line="320" w:lineRule="exact"/>
      </w:pPr>
      <w:r>
        <w:rPr>
          <w:b/>
        </w:rPr>
        <w:t xml:space="preserve">(b) Notice and Cure Period. </w:t>
      </w:r>
      <w:r>
        <w:t>For payment defaults (clauses (i) and (ii) above), the Lender shall provide written notice and the Borrower shall have 5 business days to cure. For all other Events of Default, the Lender shall provide written notice and the Borrower shall have 15 calendar days to cure (to the extent curable).</w:t>
      </w:r>
    </w:p>
    <w:p>
      <w:r>
        <w:rPr>
          <w:b/>
        </w:rPr>
        <w:t xml:space="preserve">(c) Remedies Upon Event of Default. </w:t>
      </w:r>
      <w:r>
        <w:t>Upon the occurrence and continuation of an Event of Default after the applicable cure period:</w:t>
      </w:r>
    </w:p>
    <w:p>
      <w:pPr>
        <w:pStyle w:val="ListBullet"/>
        <w:spacing w:after="80"/>
      </w:pPr>
      <w:r>
        <w:rPr>
          <w:b/>
        </w:rPr>
        <w:t xml:space="preserve">Acceleration: </w:t>
      </w:r>
      <w:r>
        <w:t>The Lender may declare all outstanding principal, accrued Monthly Returns, default interest, and all other Obligations immediately due and payable in full;</w:t>
      </w:r>
    </w:p>
    <w:p>
      <w:pPr>
        <w:pStyle w:val="ListBullet"/>
        <w:spacing w:after="80"/>
      </w:pPr>
      <w:r>
        <w:rPr>
          <w:b/>
        </w:rPr>
        <w:t xml:space="preserve">Collateral Enforcement: </w:t>
      </w:r>
      <w:r>
        <w:t>The Lender may exercise any and all rights and remedies available to a secured creditor under the UCC, including taking possession of and disposing of any Collateral, collecting operating cash flows, foreclosing on real property, and enforcing the pledge of portfolio company interests;</w:t>
      </w:r>
    </w:p>
    <w:p>
      <w:pPr>
        <w:pStyle w:val="ListBullet"/>
        <w:spacing w:after="80"/>
      </w:pPr>
      <w:r>
        <w:rPr>
          <w:b/>
        </w:rPr>
        <w:t xml:space="preserve">Default Interest: </w:t>
      </w:r>
      <w:r>
        <w:t>All outstanding Obligations shall bear default interest at the rate of 5% per month (60% per annum) from the date of the Event of Default until paid in full;</w:t>
      </w:r>
    </w:p>
    <w:p>
      <w:pPr>
        <w:pStyle w:val="ListBullet"/>
        <w:spacing w:after="80"/>
      </w:pPr>
      <w:r>
        <w:rPr>
          <w:b/>
        </w:rPr>
        <w:t xml:space="preserve">Legal Action: </w:t>
      </w:r>
      <w:r>
        <w:t>The Lender may commence any legal, equitable, or other action or proceeding to enforce the Obligations, including seeking injunctive relief and specific performance;</w:t>
      </w:r>
    </w:p>
    <w:p>
      <w:pPr>
        <w:pStyle w:val="ListBullet"/>
        <w:spacing w:after="80"/>
      </w:pPr>
      <w:r>
        <w:rPr>
          <w:b/>
        </w:rPr>
        <w:t xml:space="preserve">Cumulative Rights: </w:t>
      </w:r>
      <w:r>
        <w:t>All rights and remedies of the Lender hereunder are cumulative and not alternative.</w:t>
      </w:r>
    </w:p>
    <w:p>
      <w:pPr>
        <w:spacing w:after="40" w:before="40"/>
        <w:pBdr>
          <w:bottom w:val="single" w:sz="6" w:space="1" w:color="999999"/>
        </w:pBdr>
      </w:pPr>
    </w:p>
    <w:p>
      <w:pPr>
        <w:spacing w:after="40"/>
      </w:pPr>
    </w:p>
    <w:p>
      <w:pPr>
        <w:pStyle w:val="Heading2"/>
      </w:pPr>
      <w:r>
        <w:rPr>
          <w:b/>
          <w:color w:val="1A1A1A"/>
          <w:sz w:val="22"/>
        </w:rPr>
        <w:t>8. LENDER CAPITAL RECOVERY PROTOCOL</w:t>
      </w:r>
    </w:p>
    <w:p>
      <w:pPr>
        <w:spacing w:after="120" w:line="320" w:lineRule="exact"/>
      </w:pPr>
      <w:r>
        <w:t>The Parties acknowledge that the Lender's investors require certainty of capital recovery in the event of a default. This Section establishes the mandatory, time-bound process by which the Lender shall recover all outstanding Obligations from the Collateral following an Event of Default, and the Borrower's binding cooperation obligations in furtherance thereof.</w:t>
      </w:r>
    </w:p>
    <w:p>
      <w:r>
        <w:rPr>
          <w:b/>
        </w:rPr>
        <w:t xml:space="preserve">(a) Liquidation Waterfall — Order of Collateral Enforcement. </w:t>
      </w:r>
      <w:r>
        <w:t>Upon the occurrence of an Event of Default and expiration of any applicable cure period, the Lender shall enforce against the Collateral in the following priority sequence:</w:t>
      </w:r>
    </w:p>
    <w:p>
      <w:pPr>
        <w:pStyle w:val="ListNumber"/>
        <w:spacing w:after="120"/>
      </w:pPr>
      <w:r>
        <w:rPr>
          <w:b/>
        </w:rPr>
        <w:t xml:space="preserve">Layer 1 — Operating Cash Flows and Receivables (Days 1–30): </w:t>
      </w:r>
      <w:r>
        <w:t>The Lender shall immediately direct all operating cash flows, receivables, and bank account balances subject to Account Control Agreements to be applied to the outstanding Obligations. The Borrower shall cause all account debtors to redirect payments to the Lender's designated account within 5 business days of written notice.</w:t>
      </w:r>
    </w:p>
    <w:p>
      <w:pPr>
        <w:pStyle w:val="ListNumber"/>
        <w:spacing w:after="120"/>
      </w:pPr>
      <w:r>
        <w:rPr>
          <w:b/>
        </w:rPr>
        <w:t xml:space="preserve">Layer 2 — Real Estate and Inventory (Days 1–60): </w:t>
      </w:r>
      <w:r>
        <w:t>Simultaneously with Layer 1 enforcement, the Lender may direct the immediate listing and sale of all real property Collateral at fair market value through a licensed broker selected by the Lender. The Borrower shall execute all transfer documents, deeds, and closing instruments within 5 business days of the Lender's written request.</w:t>
      </w:r>
    </w:p>
    <w:p>
      <w:pPr>
        <w:pStyle w:val="ListNumber"/>
        <w:spacing w:after="120"/>
      </w:pPr>
      <w:r>
        <w:rPr>
          <w:b/>
        </w:rPr>
        <w:t xml:space="preserve">Layer 3 — Portfolio Company Equity Interests (Days 1–60): </w:t>
      </w:r>
      <w:r>
        <w:t>The Lender may immediately exercise its rights under the portfolio company pledge agreements, including directing distributions, forcing a sale of the pledged interests, or taking control of voting rights to facilitate an orderly sale. The Borrower shall deliver all pledge certificates, operating agreements, and transfer instruments within 5 business days of written demand.</w:t>
      </w:r>
    </w:p>
    <w:p>
      <w:pPr>
        <w:pStyle w:val="ListNumber"/>
        <w:spacing w:after="120"/>
      </w:pPr>
      <w:r>
        <w:rPr>
          <w:b/>
        </w:rPr>
        <w:t xml:space="preserve">Layer 4 — Aviation Fleet — Current (Days 1–45): </w:t>
      </w:r>
      <w:r>
        <w:t>The Lender may immediately engage an aviation asset broker of its choosing to list and sell the Gulfstream G4-class aircraft subject to the Lender's lien. The Borrower shall provide full cooperation, including making each aircraft physically available for inspection within 48 hours of written request and delivering all logbooks, maintenance records, and title documents.</w:t>
      </w:r>
    </w:p>
    <w:p>
      <w:pPr>
        <w:pStyle w:val="ListNumber"/>
        <w:spacing w:after="120"/>
      </w:pPr>
      <w:r>
        <w:rPr>
          <w:b/>
        </w:rPr>
        <w:t xml:space="preserve">Layer 5 — Future Aviation Fleet (Subordinated): </w:t>
      </w:r>
      <w:r>
        <w:t>The Lender's subordinated second-priority lien on any future G550-class aircraft shall be enforced following satisfaction of Quarter Horse Capital Partners' first-priority rights, with proceeds applied to any remaining unsatisfied Obligations.</w:t>
      </w:r>
    </w:p>
    <w:p>
      <w:pPr>
        <w:pStyle w:val="ListNumber"/>
        <w:spacing w:after="120"/>
      </w:pPr>
      <w:r>
        <w:rPr>
          <w:b/>
        </w:rPr>
        <w:t xml:space="preserve">Layer 6 — Credit Insurance Proceeds: </w:t>
      </w:r>
      <w:r>
        <w:t>Concurrently with Layers 1–5, the Lender shall submit a claim under the Lloyd's of London Credit Insurance Policy (when in force) for all Obligations outstanding at the time of default.</w:t>
      </w:r>
    </w:p>
    <w:p>
      <w:pPr>
        <w:spacing w:after="120" w:line="320" w:lineRule="exact"/>
      </w:pPr>
      <w:r>
        <w:rPr>
          <w:b/>
        </w:rPr>
        <w:t xml:space="preserve">(b) Proceeds Application Order. </w:t>
      </w:r>
      <w:r>
        <w:t>All proceeds recovered through enforcement shall be applied in the following order: (i) costs and expenses of enforcement, including reasonable attorneys' fees, broker commissions, and court costs; (ii) accrued and unpaid default interest; (iii) accrued and unpaid Monthly Returns; (iv) outstanding principal balance; (v) any surplus shall be promptly returned to the Borrower.</w:t>
      </w:r>
    </w:p>
    <w:p>
      <w:r>
        <w:rPr>
          <w:b/>
        </w:rPr>
        <w:t xml:space="preserve">(c) Mandatory Borrower Cooperation Timeline. </w:t>
      </w:r>
      <w:r>
        <w:t>Upon receipt of a written acceleration notice, the Borrower shall, without further demand:</w:t>
      </w:r>
    </w:p>
    <w:p>
      <w:pPr>
        <w:pStyle w:val="ListBullet"/>
        <w:spacing w:after="80"/>
      </w:pPr>
      <w:r>
        <w:t>Within 48 hours: Make all aircraft physically available for inspection; provide all aircraft records and title documents to the Lender;</w:t>
      </w:r>
    </w:p>
    <w:p>
      <w:pPr>
        <w:pStyle w:val="ListBullet"/>
        <w:spacing w:after="80"/>
      </w:pPr>
      <w:r>
        <w:t>Within 5 business days: Execute all Account Control Agreement activation notices; deliver all portfolio company pledge certificates and transfer instruments; provide a complete current asset schedule with valuations;</w:t>
      </w:r>
    </w:p>
    <w:p>
      <w:pPr>
        <w:pStyle w:val="ListBullet"/>
        <w:spacing w:after="80"/>
      </w:pPr>
      <w:r>
        <w:t>Within 10 business days: Execute all real property transfer documents and deeds as directed by the Lender; provide all keys, access codes, and property management contacts;</w:t>
      </w:r>
    </w:p>
    <w:p>
      <w:pPr>
        <w:pStyle w:val="ListBullet"/>
        <w:spacing w:after="80"/>
      </w:pPr>
      <w:r>
        <w:t>Within 15 business days: Deliver a complete accounting of all cash, receivables, and liquid assets available for immediate application to the Obligations.</w:t>
      </w:r>
    </w:p>
    <w:p>
      <w:pPr>
        <w:spacing w:after="120" w:line="320" w:lineRule="exact"/>
      </w:pPr>
      <w:r>
        <w:rPr>
          <w:b/>
        </w:rPr>
        <w:t xml:space="preserve">(d) Appointment of Receiver. </w:t>
      </w:r>
      <w:r>
        <w:t>In the event the Borrower fails to cooperate with the capital recovery process, or in the event the Lender has reasonable grounds to believe that Collateral is being dissipated, transferred, or concealed, the Lender shall be entitled to seek the immediate appointment of a court-appointed receiver over all Collateral on an emergency ex parte basis, without prior notice to the Borrower and without the requirement to post bond. The Borrower hereby irrevocably consents to such appointment and waives any right to contest the appointment of a receiver in such circumstances.</w:t>
      </w:r>
    </w:p>
    <w:p>
      <w:pPr>
        <w:spacing w:after="120" w:line="320" w:lineRule="exact"/>
      </w:pPr>
      <w:r>
        <w:rPr>
          <w:b/>
        </w:rPr>
        <w:t xml:space="preserve">(e) Lender Control of Liquidation. </w:t>
      </w:r>
      <w:r>
        <w:t>The Lender, acting in its sole reasonable discretion, shall control all aspects of the liquidation process, including the selection of brokers, appraisers, auctioneers, and legal counsel. The Borrower shall have no right to direct, delay, or interfere with the liquidation process following an Event of Default, except to provide the cooperation required under Section 8(c).</w:t>
      </w:r>
    </w:p>
    <w:p>
      <w:pPr>
        <w:spacing w:after="120" w:line="320" w:lineRule="exact"/>
      </w:pPr>
      <w:r>
        <w:rPr>
          <w:b/>
        </w:rPr>
        <w:t xml:space="preserve">(f) Investor Disclosure. </w:t>
      </w:r>
      <w:r>
        <w:t>The Borrower acknowledges that the Lender may disclose the existence and general terms of this Capital Recovery Protocol to its investors in anonymized form as part of its investor due diligence materials, without identifying the Borrower by name.</w:t>
      </w:r>
    </w:p>
    <w:p>
      <w:pPr>
        <w:spacing w:after="120" w:line="320" w:lineRule="exact"/>
      </w:pPr>
      <w:r>
        <w:rPr>
          <w:b/>
        </w:rPr>
        <w:t xml:space="preserve">(g) No Marshaling. </w:t>
      </w:r>
      <w:r>
        <w:t>The Lender shall not be required to marshal any Collateral or to resort to any particular Collateral in any particular order. The Lender may enforce against any or all layers of the Security Package simultaneously or in any sequence it deems appropriate to maximize recovery speed and efficiency.</w:t>
      </w:r>
    </w:p>
    <w:p>
      <w:pPr>
        <w:spacing w:after="40" w:before="40"/>
        <w:pBdr>
          <w:bottom w:val="single" w:sz="6" w:space="1" w:color="999999"/>
        </w:pBdr>
      </w:pPr>
    </w:p>
    <w:p>
      <w:pPr>
        <w:spacing w:after="40"/>
      </w:pPr>
    </w:p>
    <w:p>
      <w:pPr>
        <w:pStyle w:val="Heading2"/>
      </w:pPr>
      <w:r>
        <w:rPr>
          <w:b/>
          <w:color w:val="1A1A1A"/>
          <w:sz w:val="22"/>
        </w:rPr>
        <w:t>9. AFFIRMATIVE COVENANTS OF THE BORROWER</w:t>
      </w:r>
    </w:p>
    <w:p>
      <w:pPr>
        <w:spacing w:after="120" w:line="320" w:lineRule="exact"/>
      </w:pPr>
      <w:r>
        <w:t>During the Term, the Borrower shall:</w:t>
      </w:r>
    </w:p>
    <w:p>
      <w:pPr>
        <w:pStyle w:val="ListBullet"/>
        <w:spacing w:after="80"/>
      </w:pPr>
      <w:r>
        <w:rPr>
          <w:b/>
        </w:rPr>
        <w:t xml:space="preserve">Financial Reporting: </w:t>
      </w:r>
      <w:r>
        <w:t>Deliver to the Lender, within 20 days after the end of each calendar month, a written monthly report including: (i) summary financial statements for the Borrower and its principal portfolio companies; (ii) a summary of all cash flows received and disbursed during the month; (iii) a current status report on all aviation fleet assets; and (iv) any material developments affecting the Borrower's business or financial condition.</w:t>
      </w:r>
    </w:p>
    <w:p>
      <w:pPr>
        <w:pStyle w:val="ListBullet"/>
        <w:spacing w:after="80"/>
      </w:pPr>
      <w:r>
        <w:rPr>
          <w:b/>
        </w:rPr>
        <w:t xml:space="preserve">Maintenance of Collateral: </w:t>
      </w:r>
      <w:r>
        <w:t>Maintain, preserve, and protect all Collateral in good condition and repair, and promptly notify the Lender of any loss, damage, or material reduction in value of any Collateral;</w:t>
      </w:r>
    </w:p>
    <w:p>
      <w:pPr>
        <w:pStyle w:val="ListBullet"/>
        <w:spacing w:after="80"/>
      </w:pPr>
      <w:r>
        <w:rPr>
          <w:b/>
        </w:rPr>
        <w:t xml:space="preserve">Insurance: </w:t>
      </w:r>
      <w:r>
        <w:t>Maintain all insurance required under Section 5(c) and deliver evidence thereof to the Lender upon request;</w:t>
      </w:r>
    </w:p>
    <w:p>
      <w:pPr>
        <w:pStyle w:val="ListBullet"/>
        <w:spacing w:after="80"/>
      </w:pPr>
      <w:r>
        <w:rPr>
          <w:b/>
        </w:rPr>
        <w:t xml:space="preserve">Notice of Adverse Events: </w:t>
      </w:r>
      <w:r>
        <w:t>Promptly (and in any event within 5 business days) notify the Lender in writing of: (i) any Event of Default or event which, with the giving of notice or passage of time, would constitute an Event of Default; (ii) any material litigation or regulatory proceeding commenced against the Borrower; (iii) any material adverse change in the Borrower's financial condition; (iv) any intended sale or disposition of material Collateral;</w:t>
      </w:r>
    </w:p>
    <w:p>
      <w:pPr>
        <w:pStyle w:val="ListBullet"/>
        <w:spacing w:after="80"/>
      </w:pPr>
      <w:r>
        <w:rPr>
          <w:b/>
        </w:rPr>
        <w:t xml:space="preserve">Compliance with Law: </w:t>
      </w:r>
      <w:r>
        <w:t>Comply in all material respects with all Applicable Law in the conduct of its business;</w:t>
      </w:r>
    </w:p>
    <w:p>
      <w:pPr>
        <w:pStyle w:val="ListBullet"/>
        <w:spacing w:after="80"/>
      </w:pPr>
      <w:r>
        <w:rPr>
          <w:b/>
        </w:rPr>
        <w:t xml:space="preserve">Cooperation with Lender: </w:t>
      </w:r>
      <w:r>
        <w:t>Execute such additional documents and take such further actions as the Lender may reasonably request to perfect and protect the Lender's security interests and enforce its rights under this Agreement.</w:t>
      </w:r>
    </w:p>
    <w:p>
      <w:pPr>
        <w:spacing w:after="40" w:before="40"/>
        <w:pBdr>
          <w:bottom w:val="single" w:sz="6" w:space="1" w:color="999999"/>
        </w:pBdr>
      </w:pPr>
    </w:p>
    <w:p>
      <w:pPr>
        <w:spacing w:after="40"/>
      </w:pPr>
    </w:p>
    <w:p>
      <w:pPr>
        <w:pStyle w:val="Heading2"/>
      </w:pPr>
      <w:r>
        <w:rPr>
          <w:b/>
          <w:color w:val="1A1A1A"/>
          <w:sz w:val="22"/>
        </w:rPr>
        <w:t>10. NEGATIVE COVENANTS OF THE BORROWER</w:t>
      </w:r>
    </w:p>
    <w:p>
      <w:pPr>
        <w:spacing w:after="120" w:line="320" w:lineRule="exact"/>
      </w:pPr>
      <w:r>
        <w:t>During the Term, without the Lender's prior written consent, the Borrower shall not:</w:t>
      </w:r>
    </w:p>
    <w:p>
      <w:pPr>
        <w:pStyle w:val="ListBullet"/>
        <w:spacing w:after="80"/>
      </w:pPr>
      <w:r>
        <w:t>Incur any additional indebtedness that is senior or pari passu to the Credit Facility, or that would be secured by any Collateral senior or pari passu to the Lender's security interest;</w:t>
      </w:r>
    </w:p>
    <w:p>
      <w:pPr>
        <w:pStyle w:val="ListBullet"/>
        <w:spacing w:after="80"/>
      </w:pPr>
      <w:r>
        <w:t>Make any distribution, dividend, or return of capital to any equity holder if an Event of Default has occurred and is continuing;</w:t>
      </w:r>
    </w:p>
    <w:p>
      <w:pPr>
        <w:pStyle w:val="ListBullet"/>
        <w:spacing w:after="80"/>
      </w:pPr>
      <w:r>
        <w:t>Dissolve, liquidate, merge, or consolidate with any other entity;</w:t>
      </w:r>
    </w:p>
    <w:p>
      <w:pPr>
        <w:pStyle w:val="ListBullet"/>
        <w:spacing w:after="80"/>
      </w:pPr>
      <w:r>
        <w:t>Sell, transfer, or assign all or substantially all of the Borrower's assets or business;</w:t>
      </w:r>
    </w:p>
    <w:p>
      <w:pPr>
        <w:pStyle w:val="ListBullet"/>
        <w:spacing w:after="80"/>
      </w:pPr>
      <w:r>
        <w:t>Materially alter the nature of the Borrower's core business operations;</w:t>
      </w:r>
    </w:p>
    <w:p>
      <w:pPr>
        <w:pStyle w:val="ListBullet"/>
        <w:spacing w:after="80"/>
      </w:pPr>
      <w:r>
        <w:t>Grant any lien or security interest in any Collateral to any third party that is senior to the Lender's security interest.</w:t>
      </w:r>
    </w:p>
    <w:p>
      <w:pPr>
        <w:spacing w:after="40" w:before="40"/>
        <w:pBdr>
          <w:bottom w:val="single" w:sz="6" w:space="1" w:color="999999"/>
        </w:pBdr>
      </w:pPr>
    </w:p>
    <w:p>
      <w:pPr>
        <w:spacing w:after="40"/>
      </w:pPr>
    </w:p>
    <w:p>
      <w:pPr>
        <w:pStyle w:val="Heading2"/>
      </w:pPr>
      <w:r>
        <w:rPr>
          <w:b/>
          <w:color w:val="1A1A1A"/>
          <w:sz w:val="22"/>
        </w:rPr>
        <w:t>11. LIMITATION OF LIABILITY</w:t>
      </w:r>
    </w:p>
    <w:p>
      <w:pPr>
        <w:spacing w:after="120" w:line="320" w:lineRule="exact"/>
      </w:pPr>
      <w:r>
        <w:t>The Parties are independent contractors. Neither Party shall be liable for the acts, omissions, or negligence of the other Party, except as expressly set forth herein. Neither Party shall have authority to bind the other Party to any obligation or commitment without express written consent.</w:t>
      </w:r>
    </w:p>
    <w:p>
      <w:pPr>
        <w:spacing w:after="40" w:before="40"/>
        <w:pBdr>
          <w:bottom w:val="single" w:sz="6" w:space="1" w:color="999999"/>
        </w:pBdr>
      </w:pPr>
    </w:p>
    <w:p>
      <w:pPr>
        <w:spacing w:after="40"/>
      </w:pPr>
    </w:p>
    <w:p>
      <w:pPr>
        <w:pStyle w:val="Heading2"/>
      </w:pPr>
      <w:r>
        <w:rPr>
          <w:b/>
          <w:color w:val="1A1A1A"/>
          <w:sz w:val="22"/>
        </w:rPr>
        <w:t>12. INDEMNIFICATION</w:t>
      </w:r>
    </w:p>
    <w:p>
      <w:pPr>
        <w:spacing w:after="120" w:line="320" w:lineRule="exact"/>
      </w:pPr>
      <w:r>
        <w:t>The Borrower agrees to indemnify, defend, and hold harmless the Lender and its successors, assigns, partners, officers, directors, members, and representatives from and against any and all claims, demands, actions, liabilities, losses, costs, and expenses (including reasonable attorneys' fees and court costs) arising out of or relating to: (i) any breach by the Borrower of any representation, warranty, covenant, or obligation under this Agreement; (ii) any enforcement of the Lender's rights hereunder following an Event of Default; (iii) any claim by a third party relating to the Collateral or the transactions contemplated herein; or (iv) any violation by the Borrower of any Applicable Law.</w:t>
      </w:r>
    </w:p>
    <w:p>
      <w:pPr>
        <w:spacing w:after="40" w:before="40"/>
        <w:pBdr>
          <w:bottom w:val="single" w:sz="6" w:space="1" w:color="999999"/>
        </w:pBdr>
      </w:pPr>
    </w:p>
    <w:p>
      <w:pPr>
        <w:spacing w:after="40"/>
      </w:pPr>
    </w:p>
    <w:p>
      <w:pPr>
        <w:pStyle w:val="Heading2"/>
      </w:pPr>
      <w:r>
        <w:rPr>
          <w:b/>
          <w:color w:val="1A1A1A"/>
          <w:sz w:val="22"/>
        </w:rPr>
        <w:t>13. CONFIDENTIALITY</w:t>
      </w:r>
    </w:p>
    <w:p>
      <w:pPr>
        <w:spacing w:after="120" w:line="320" w:lineRule="exact"/>
      </w:pPr>
      <w:r>
        <w:t>Each Party agrees to keep the terms and conditions of this Agreement confidential and not to disclose the same to any third party without the prior written consent of the other Party, except: (i) to each Party's legal counsel, accountants, and financial advisors bound by professional confidentiality obligations; (ii) as required by Applicable Law or court order; (iii) to existing and prospective investors in the Lender's fund on an anonymized, need-to-know basis; or (iv) in connection with the enforcement of either Party's rights hereunder. The Borrower's identity shall not be disclosed by the Lender in any public-facing fund marketing materials without the Borrower's express prior written consent.</w:t>
      </w:r>
    </w:p>
    <w:p>
      <w:pPr>
        <w:spacing w:after="40" w:before="40"/>
        <w:pBdr>
          <w:bottom w:val="single" w:sz="6" w:space="1" w:color="999999"/>
        </w:pBdr>
      </w:pPr>
    </w:p>
    <w:p>
      <w:pPr>
        <w:spacing w:after="40"/>
      </w:pPr>
    </w:p>
    <w:p>
      <w:pPr>
        <w:pStyle w:val="Heading2"/>
      </w:pPr>
      <w:r>
        <w:rPr>
          <w:b/>
          <w:color w:val="1A1A1A"/>
          <w:sz w:val="22"/>
        </w:rPr>
        <w:t>14. GOVERNING LAW AND DISPUTE RESOLUTION</w:t>
      </w:r>
    </w:p>
    <w:p>
      <w:pPr>
        <w:spacing w:after="120" w:line="320" w:lineRule="exact"/>
      </w:pPr>
      <w:r>
        <w:rPr>
          <w:b/>
        </w:rPr>
        <w:t xml:space="preserve">(a) Governing Law. </w:t>
      </w:r>
      <w:r>
        <w:t>This Agreement shall be governed by and construed in accordance with the laws of the State of Texas, USA, without regard to its conflict of law provisions.</w:t>
      </w:r>
    </w:p>
    <w:p>
      <w:pPr>
        <w:spacing w:after="120" w:line="320" w:lineRule="exact"/>
      </w:pPr>
      <w:r>
        <w:rPr>
          <w:b/>
        </w:rPr>
        <w:t xml:space="preserve">(b) Amicable Resolution. </w:t>
      </w:r>
      <w:r>
        <w:t>In the event of any Dispute, the Parties shall first attempt to resolve such Dispute amicably through good-faith negotiation for a period of not less than 30 (thirty) calendar days following written notice of such Dispute.</w:t>
      </w:r>
    </w:p>
    <w:p>
      <w:pPr>
        <w:spacing w:after="120" w:line="320" w:lineRule="exact"/>
      </w:pPr>
      <w:r>
        <w:rPr>
          <w:b/>
        </w:rPr>
        <w:t xml:space="preserve">(c) Binding Arbitration. </w:t>
      </w:r>
      <w:r>
        <w:t>If the Parties are unable to resolve any Dispute amicably within the 30-day period, such Dispute shall be submitted to binding arbitration administered by the American Arbitration Association ("AAA") in Fort Worth, Texas, by a single arbitrator. The arbitrator's award shall be final and binding, and judgment on the award may be entered in any court of competent jurisdiction. Nothing in this Section shall prevent either Party from seeking emergency injunctive or equitable relief from a court of competent jurisdiction.</w:t>
      </w:r>
    </w:p>
    <w:p>
      <w:pPr>
        <w:spacing w:after="120" w:line="320" w:lineRule="exact"/>
      </w:pPr>
      <w:r>
        <w:rPr>
          <w:b/>
        </w:rPr>
        <w:t xml:space="preserve">(d) Attorneys' Fees. </w:t>
      </w:r>
      <w:r>
        <w:t>In any dispute arising hereunder, the prevailing Party shall be entitled to recover its reasonable attorneys' fees and costs from the non-prevailing Party.</w:t>
      </w:r>
    </w:p>
    <w:p>
      <w:pPr>
        <w:spacing w:after="40" w:before="40"/>
        <w:pBdr>
          <w:bottom w:val="single" w:sz="6" w:space="1" w:color="999999"/>
        </w:pBdr>
      </w:pPr>
    </w:p>
    <w:p>
      <w:pPr>
        <w:spacing w:after="40"/>
      </w:pPr>
    </w:p>
    <w:p>
      <w:pPr>
        <w:pStyle w:val="Heading2"/>
      </w:pPr>
      <w:r>
        <w:rPr>
          <w:b/>
          <w:color w:val="1A1A1A"/>
          <w:sz w:val="22"/>
        </w:rPr>
        <w:t>15. MISCELLANEOUS</w:t>
      </w:r>
    </w:p>
    <w:p>
      <w:pPr>
        <w:spacing w:after="120" w:line="320" w:lineRule="exact"/>
      </w:pPr>
      <w:r>
        <w:rPr>
          <w:b/>
        </w:rPr>
        <w:t xml:space="preserve">(a) Independent Contractors. </w:t>
      </w:r>
      <w:r>
        <w:t>The Parties are independent contractors. Nothing in this Agreement shall be deemed to create a partnership, joint venture, agency, or employment relationship between the Parties.</w:t>
      </w:r>
    </w:p>
    <w:p>
      <w:pPr>
        <w:spacing w:after="120" w:line="320" w:lineRule="exact"/>
      </w:pPr>
      <w:r>
        <w:rPr>
          <w:b/>
        </w:rPr>
        <w:t xml:space="preserve">(b) No Assignment. </w:t>
      </w:r>
      <w:r>
        <w:t>Neither Party may assign this Agreement or any rights or obligations hereunder without the prior written consent of the other Party; provided, however, that the Lender may assign this Agreement, without consent, to any successor fund, affiliated entity, or purchaser of all or substantially all of the Lender's assets.</w:t>
      </w:r>
    </w:p>
    <w:p>
      <w:pPr>
        <w:spacing w:after="120" w:line="320" w:lineRule="exact"/>
      </w:pPr>
      <w:r>
        <w:rPr>
          <w:b/>
        </w:rPr>
        <w:t xml:space="preserve">(c) Notices. </w:t>
      </w:r>
      <w:r>
        <w:t>All notices under this Agreement shall be in writing and shall be deemed delivered upon personal delivery, one business day after overnight courier dispatch, five business days after certified mail, or upon confirmed electronic transmission (email with delivery confirmation). Lender: caleb@darkhorse-wm.com. Borrower: sanjit@kambojventures.com.</w:t>
      </w:r>
    </w:p>
    <w:p>
      <w:pPr>
        <w:spacing w:after="120" w:line="320" w:lineRule="exact"/>
      </w:pPr>
      <w:r>
        <w:rPr>
          <w:b/>
        </w:rPr>
        <w:t xml:space="preserve">(d) Entire Agreement. </w:t>
      </w:r>
      <w:r>
        <w:t>This Agreement, together with all Schedules and Exhibits, constitutes the entire agreement of the Parties and supersedes all prior agreements, understandings, and representations relating to the subject matter hereof. This Agreement may be amended only by a written instrument signed by authorized representatives of both Parties.</w:t>
      </w:r>
    </w:p>
    <w:p>
      <w:pPr>
        <w:spacing w:after="120" w:line="320" w:lineRule="exact"/>
      </w:pPr>
      <w:r>
        <w:rPr>
          <w:b/>
        </w:rPr>
        <w:t xml:space="preserve">(e) Severability. </w:t>
      </w:r>
      <w:r>
        <w:t>If any provision of this Agreement is held to be invalid or unenforceable, such provision shall be modified to the minimum extent necessary to make it valid and enforceable, and the remaining provisions shall remain in full force and effect.</w:t>
      </w:r>
    </w:p>
    <w:p>
      <w:pPr>
        <w:spacing w:after="120" w:line="320" w:lineRule="exact"/>
      </w:pPr>
      <w:r>
        <w:rPr>
          <w:b/>
        </w:rPr>
        <w:t xml:space="preserve">(f) Waiver. </w:t>
      </w:r>
      <w:r>
        <w:t>No waiver of any provision of this Agreement shall be effective unless in writing and signed by the waiving Party.</w:t>
      </w:r>
    </w:p>
    <w:p>
      <w:pPr>
        <w:spacing w:after="120" w:line="320" w:lineRule="exact"/>
      </w:pPr>
      <w:r>
        <w:rPr>
          <w:b/>
        </w:rPr>
        <w:t xml:space="preserve">(g) Counterparts; Electronic Signatures. </w:t>
      </w:r>
      <w:r>
        <w:t>This Agreement may be executed in one or more counterparts, each of which shall be deemed an original. Electronic signatures (including PDF, DocuSign, and Zoho Sign) shall be deemed equivalent to original ink signatures for all purposes.</w:t>
      </w:r>
    </w:p>
    <w:p>
      <w:pPr>
        <w:spacing w:after="120" w:line="320" w:lineRule="exact"/>
      </w:pPr>
      <w:r>
        <w:rPr>
          <w:b/>
        </w:rPr>
        <w:t xml:space="preserve">(h) Legal Counsel. </w:t>
      </w:r>
      <w:r>
        <w:t>Each Party represents that it has had the opportunity to consult with counsel of its choice regarding this Agreement and enters into this Agreement with full understanding of its terms and consequences.</w:t>
      </w:r>
    </w:p>
    <w:p>
      <w:pPr>
        <w:spacing w:after="120" w:line="320" w:lineRule="exact"/>
      </w:pPr>
      <w:r>
        <w:rPr>
          <w:b/>
        </w:rPr>
        <w:t xml:space="preserve">(i) Further Assurances. </w:t>
      </w:r>
      <w:r>
        <w:t>Each Party agrees to execute such additional documents and take such further actions as may be reasonably necessary to carry out the purposes and intent of this Agreement.</w:t>
      </w:r>
    </w:p>
    <w:p>
      <w:pPr>
        <w:spacing w:after="40" w:before="40"/>
        <w:pBdr>
          <w:bottom w:val="single" w:sz="6" w:space="1" w:color="999999"/>
        </w:pBdr>
      </w:pPr>
    </w:p>
    <w:p>
      <w:pPr>
        <w:spacing w:after="40"/>
      </w:pPr>
    </w:p>
    <w:p>
      <w:r>
        <w:br w:type="page"/>
      </w:r>
    </w:p>
    <w:p>
      <w:pPr>
        <w:pStyle w:val="Heading2"/>
      </w:pPr>
      <w:r>
        <w:rPr>
          <w:b/>
          <w:color w:val="1A1A1A"/>
          <w:sz w:val="22"/>
        </w:rPr>
        <w:t>SCHEDULE A — SECURITY SCHEDULE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Layer</w:t>
            </w:r>
          </w:p>
        </w:tc>
        <w:tc>
          <w:tcPr>
            <w:tcW w:type="dxa" w:w="2160"/>
          </w:tcPr>
          <w:p>
            <w:r>
              <w:rPr>
                <w:b/>
                <w:sz w:val="18"/>
              </w:rPr>
              <w:t>Asset Description</w:t>
            </w:r>
          </w:p>
        </w:tc>
        <w:tc>
          <w:tcPr>
            <w:tcW w:type="dxa" w:w="2160"/>
          </w:tcPr>
          <w:p>
            <w:r>
              <w:rPr>
                <w:b/>
                <w:sz w:val="18"/>
              </w:rPr>
              <w:t>Est. Value / Coverage</w:t>
            </w:r>
          </w:p>
        </w:tc>
        <w:tc>
          <w:tcPr>
            <w:tcW w:type="dxa" w:w="2160"/>
          </w:tcPr>
          <w:p>
            <w:r>
              <w:rPr>
                <w:b/>
                <w:sz w:val="18"/>
              </w:rPr>
              <w:t>Documentation Required</w:t>
            </w:r>
          </w:p>
        </w:tc>
      </w:tr>
      <w:tr>
        <w:tc>
          <w:tcPr>
            <w:tcW w:type="dxa" w:w="2160"/>
          </w:tcPr>
          <w:p>
            <w:r>
              <w:rPr>
                <w:sz w:val="18"/>
              </w:rPr>
              <w:t>Layer 1</w:t>
            </w:r>
          </w:p>
        </w:tc>
        <w:tc>
          <w:tcPr>
            <w:tcW w:type="dxa" w:w="2160"/>
          </w:tcPr>
          <w:p>
            <w:r>
              <w:rPr>
                <w:sz w:val="18"/>
              </w:rPr>
              <w:t>Operating cash flows, receivables, bank accounts</w:t>
            </w:r>
          </w:p>
        </w:tc>
        <w:tc>
          <w:tcPr>
            <w:tcW w:type="dxa" w:w="2160"/>
          </w:tcPr>
          <w:p>
            <w:r>
              <w:rPr>
                <w:sz w:val="18"/>
              </w:rPr>
              <w:t>Ongoing / all revenues</w:t>
            </w:r>
          </w:p>
        </w:tc>
        <w:tc>
          <w:tcPr>
            <w:tcW w:type="dxa" w:w="2160"/>
          </w:tcPr>
          <w:p>
            <w:r>
              <w:rPr>
                <w:sz w:val="18"/>
              </w:rPr>
              <w:t>Account Control Agreements</w:t>
            </w:r>
          </w:p>
        </w:tc>
      </w:tr>
      <w:tr>
        <w:tc>
          <w:tcPr>
            <w:tcW w:type="dxa" w:w="2160"/>
          </w:tcPr>
          <w:p>
            <w:r>
              <w:rPr>
                <w:sz w:val="18"/>
              </w:rPr>
              <w:t>Layer 2</w:t>
            </w:r>
          </w:p>
        </w:tc>
        <w:tc>
          <w:tcPr>
            <w:tcW w:type="dxa" w:w="2160"/>
          </w:tcPr>
          <w:p>
            <w:r>
              <w:rPr>
                <w:sz w:val="18"/>
              </w:rPr>
              <w:t>Real property and inventory</w:t>
            </w:r>
          </w:p>
        </w:tc>
        <w:tc>
          <w:tcPr>
            <w:tcW w:type="dxa" w:w="2160"/>
          </w:tcPr>
          <w:p>
            <w:r>
              <w:rPr>
                <w:sz w:val="18"/>
              </w:rPr>
              <w:t>Appraised value TBD</w:t>
            </w:r>
          </w:p>
        </w:tc>
        <w:tc>
          <w:tcPr>
            <w:tcW w:type="dxa" w:w="2160"/>
          </w:tcPr>
          <w:p>
            <w:r>
              <w:rPr>
                <w:sz w:val="18"/>
              </w:rPr>
              <w:t>Deed of Trust / Mortgage; UCC-1</w:t>
            </w:r>
          </w:p>
        </w:tc>
      </w:tr>
      <w:tr>
        <w:tc>
          <w:tcPr>
            <w:tcW w:type="dxa" w:w="2160"/>
          </w:tcPr>
          <w:p>
            <w:r>
              <w:rPr>
                <w:sz w:val="18"/>
              </w:rPr>
              <w:t>Layer 3</w:t>
            </w:r>
          </w:p>
        </w:tc>
        <w:tc>
          <w:tcPr>
            <w:tcW w:type="dxa" w:w="2160"/>
          </w:tcPr>
          <w:p>
            <w:r>
              <w:rPr>
                <w:sz w:val="18"/>
              </w:rPr>
              <w:t>Portfolio company equity interests</w:t>
            </w:r>
          </w:p>
        </w:tc>
        <w:tc>
          <w:tcPr>
            <w:tcW w:type="dxa" w:w="2160"/>
          </w:tcPr>
          <w:p>
            <w:r>
              <w:rPr>
                <w:sz w:val="18"/>
              </w:rPr>
              <w:t>Portfolio NAV at time of pledge</w:t>
            </w:r>
          </w:p>
        </w:tc>
        <w:tc>
          <w:tcPr>
            <w:tcW w:type="dxa" w:w="2160"/>
          </w:tcPr>
          <w:p>
            <w:r>
              <w:rPr>
                <w:sz w:val="18"/>
              </w:rPr>
              <w:t>Pledge Agreements per portfolio company</w:t>
            </w:r>
          </w:p>
        </w:tc>
      </w:tr>
      <w:tr>
        <w:tc>
          <w:tcPr>
            <w:tcW w:type="dxa" w:w="2160"/>
          </w:tcPr>
          <w:p>
            <w:r>
              <w:rPr>
                <w:sz w:val="18"/>
              </w:rPr>
              <w:t>Layer 4</w:t>
            </w:r>
          </w:p>
        </w:tc>
        <w:tc>
          <w:tcPr>
            <w:tcW w:type="dxa" w:w="2160"/>
          </w:tcPr>
          <w:p>
            <w:r>
              <w:rPr>
                <w:sz w:val="18"/>
              </w:rPr>
              <w:t>4× Gulfstream G4-class jets (2 unencumbered; 2 financed — net equity only)</w:t>
            </w:r>
          </w:p>
        </w:tc>
        <w:tc>
          <w:tcPr>
            <w:tcW w:type="dxa" w:w="2160"/>
          </w:tcPr>
          <w:p>
            <w:r>
              <w:rPr>
                <w:sz w:val="18"/>
              </w:rPr>
              <w:t>~$8M–$16M unencumbered</w:t>
            </w:r>
          </w:p>
        </w:tc>
        <w:tc>
          <w:tcPr>
            <w:tcW w:type="dxa" w:w="2160"/>
          </w:tcPr>
          <w:p>
            <w:r>
              <w:rPr>
                <w:sz w:val="18"/>
              </w:rPr>
              <w:t>FAA Registry filings; Security Agreement</w:t>
            </w:r>
          </w:p>
        </w:tc>
      </w:tr>
      <w:tr>
        <w:tc>
          <w:tcPr>
            <w:tcW w:type="dxa" w:w="2160"/>
          </w:tcPr>
          <w:p>
            <w:r>
              <w:rPr>
                <w:sz w:val="18"/>
              </w:rPr>
              <w:t>Layer 5</w:t>
            </w:r>
          </w:p>
        </w:tc>
        <w:tc>
          <w:tcPr>
            <w:tcW w:type="dxa" w:w="2160"/>
          </w:tcPr>
          <w:p>
            <w:r>
              <w:rPr>
                <w:sz w:val="18"/>
              </w:rPr>
              <w:t>Future G550-class fleet (subordinated — 2nd priority behind Quarter Horse)</w:t>
            </w:r>
          </w:p>
        </w:tc>
        <w:tc>
          <w:tcPr>
            <w:tcW w:type="dxa" w:w="2160"/>
          </w:tcPr>
          <w:p>
            <w:r>
              <w:rPr>
                <w:sz w:val="18"/>
              </w:rPr>
              <w:t>Supplemental coverage; value TBD</w:t>
            </w:r>
          </w:p>
        </w:tc>
        <w:tc>
          <w:tcPr>
            <w:tcW w:type="dxa" w:w="2160"/>
          </w:tcPr>
          <w:p>
            <w:r>
              <w:rPr>
                <w:sz w:val="18"/>
              </w:rPr>
              <w:t>Subordination Agreement; Notice covenant</w:t>
            </w:r>
          </w:p>
        </w:tc>
      </w:tr>
      <w:tr>
        <w:tc>
          <w:tcPr>
            <w:tcW w:type="dxa" w:w="2160"/>
          </w:tcPr>
          <w:p>
            <w:r>
              <w:rPr>
                <w:sz w:val="18"/>
              </w:rPr>
              <w:t>Layer 6</w:t>
            </w:r>
          </w:p>
        </w:tc>
        <w:tc>
          <w:tcPr>
            <w:tcW w:type="dxa" w:w="2160"/>
          </w:tcPr>
          <w:p>
            <w:r>
              <w:rPr>
                <w:sz w:val="18"/>
              </w:rPr>
              <w:t>Lloyd's of London trade credit insurance (being structured; paid by Lender)</w:t>
            </w:r>
          </w:p>
        </w:tc>
        <w:tc>
          <w:tcPr>
            <w:tcW w:type="dxa" w:w="2160"/>
          </w:tcPr>
          <w:p>
            <w:r>
              <w:rPr>
                <w:sz w:val="18"/>
              </w:rPr>
              <w:t>Coverage amount TBD at binding</w:t>
            </w:r>
          </w:p>
        </w:tc>
        <w:tc>
          <w:tcPr>
            <w:tcW w:type="dxa" w:w="2160"/>
          </w:tcPr>
          <w:p>
            <w:r>
              <w:rPr>
                <w:sz w:val="18"/>
              </w:rPr>
              <w:t>Credit Insurance Policy; Loss payee endorsement</w:t>
            </w:r>
          </w:p>
        </w:tc>
      </w:tr>
    </w:tbl>
    <w:p>
      <w:pPr>
        <w:spacing w:after="40"/>
      </w:pPr>
    </w:p>
    <w:p>
      <w:pPr>
        <w:pStyle w:val="Heading2"/>
      </w:pPr>
      <w:r>
        <w:rPr>
          <w:b/>
          <w:color w:val="1A1A1A"/>
          <w:sz w:val="22"/>
        </w:rPr>
        <w:t>SCHEDULE B — LENDER PAYMENT INSTRUCTIONS</w:t>
      </w:r>
    </w:p>
    <w:p>
      <w:pPr>
        <w:spacing w:after="120" w:line="320" w:lineRule="exact"/>
      </w:pPr>
      <w:r>
        <w:t>[To be completed by Lender upon execution and attached as a separate, confidential Exhibit.]</w:t>
      </w:r>
    </w:p>
    <w:p>
      <w:pPr>
        <w:spacing w:after="40" w:before="40"/>
        <w:pBdr>
          <w:bottom w:val="single" w:sz="6" w:space="1" w:color="999999"/>
        </w:pBdr>
      </w:pPr>
    </w:p>
    <w:p>
      <w:pPr>
        <w:spacing w:after="40"/>
      </w:pPr>
    </w:p>
    <w:p>
      <w:r>
        <w:br w:type="page"/>
      </w:r>
    </w:p>
    <w:p>
      <w:pPr>
        <w:pStyle w:val="Heading2"/>
      </w:pPr>
      <w:r>
        <w:rPr>
          <w:b/>
          <w:color w:val="1A1A1A"/>
          <w:sz w:val="22"/>
        </w:rPr>
        <w:t>EXECUTION PAGE</w:t>
      </w:r>
    </w:p>
    <w:p>
      <w:pPr>
        <w:spacing w:after="120" w:line="320" w:lineRule="exact"/>
      </w:pPr>
      <w:r>
        <w:t>IN WITNESS WHEREOF, the Parties hereto have executed this Senior Secured Private Credit Agreement as of the date last written below.</w:t>
      </w:r>
    </w:p>
    <w:p>
      <w:pPr>
        <w:spacing w:after="40"/>
      </w:pPr>
    </w:p>
    <w:p>
      <w:pPr>
        <w:spacing w:after="40"/>
      </w:pPr>
    </w:p>
    <w:tbl>
      <w:tblPr>
        <w:tblW w:type="auto" w:w="0"/>
        <w:tblLook w:firstColumn="1" w:firstRow="1" w:lastColumn="0" w:lastRow="0" w:noHBand="0" w:noVBand="1" w:val="04A0"/>
      </w:tblPr>
      <w:tblGrid>
        <w:gridCol w:w="4320"/>
        <w:gridCol w:w="4320"/>
      </w:tblGrid>
      <w:tr>
        <w:tc>
          <w:tcPr>
            <w:tcW w:type="dxa" w:w="4320"/>
          </w:tcPr>
          <w:p>
            <w:pPr>
              <w:spacing w:after="0"/>
            </w:pPr>
            <w:r>
              <w:rPr>
                <w:b/>
              </w:rPr>
              <w:t>FOR AND ON BEHALF OF</w:t>
              <w:br/>
            </w:r>
            <w:r>
              <w:rPr>
                <w:b/>
              </w:rPr>
              <w:t>KAMBOJ VENTURES INC.</w:t>
              <w:br/>
            </w:r>
            <w:r>
              <w:br/>
              <w:br/>
              <w:br/>
            </w:r>
            <w:r>
              <w:t>___________________________________</w:t>
              <w:br/>
            </w:r>
            <w:r>
              <w:t>Authorized Signatory</w:t>
              <w:br/>
            </w:r>
            <w:r>
              <w:t>Name: Sanjit Shergill</w:t>
              <w:br/>
            </w:r>
            <w:r>
              <w:t>Title: Vice President, Kamboj Ventures Inc.</w:t>
              <w:br/>
            </w:r>
            <w:r>
              <w:t>Date:  ___________________________</w:t>
              <w:br/>
            </w:r>
            <w:r>
              <w:t>Email: sanjit@kambojventures.com</w:t>
            </w:r>
          </w:p>
        </w:tc>
        <w:tc>
          <w:tcPr>
            <w:tcW w:type="dxa" w:w="4320"/>
          </w:tcPr>
          <w:p>
            <w:pPr>
              <w:spacing w:after="0"/>
            </w:pPr>
            <w:r>
              <w:rPr>
                <w:b/>
              </w:rPr>
              <w:t>FOR AND ON BEHALF OF</w:t>
              <w:br/>
            </w:r>
            <w:r>
              <w:rPr>
                <w:b/>
              </w:rPr>
              <w:t>CALEB CARAWAY FBO</w:t>
              <w:br/>
              <w:t>DRAFT HORSE CAPITAL PARTNERS</w:t>
              <w:br/>
            </w:r>
            <w:r>
              <w:br/>
              <w:br/>
              <w:br/>
            </w:r>
            <w:r>
              <w:t>___________________________________</w:t>
              <w:br/>
            </w:r>
            <w:r>
              <w:t>Authorized Signatory</w:t>
              <w:br/>
            </w:r>
            <w:r>
              <w:t>Name: Caleb Caraway</w:t>
              <w:br/>
            </w:r>
            <w:r>
              <w:t>Title: Managing Partner, Draft Horse Capital Partners</w:t>
              <w:br/>
            </w:r>
            <w:r>
              <w:t>Date:  ___________________________</w:t>
              <w:br/>
            </w:r>
            <w:r>
              <w:t>Email: caleb@darkhorse-wm.com</w:t>
            </w:r>
          </w:p>
        </w:tc>
      </w:tr>
    </w:tbl>
    <w:p>
      <w:pPr>
        <w:spacing w:after="40"/>
      </w:pPr>
    </w:p>
    <w:p>
      <w:pPr>
        <w:spacing w:after="40"/>
      </w:pPr>
    </w:p>
    <w:p>
      <w:pPr>
        <w:spacing w:after="40" w:before="40"/>
        <w:pBdr>
          <w:bottom w:val="single" w:sz="6" w:space="1" w:color="999999"/>
        </w:pBdr>
      </w:pPr>
    </w:p>
    <w:p>
      <w:pPr>
        <w:spacing w:before="160"/>
      </w:pPr>
      <w:r>
        <w:rPr>
          <w:b/>
          <w:sz w:val="16"/>
        </w:rPr>
        <w:t xml:space="preserve">LEGAL NOTICE: </w:t>
      </w:r>
      <w:r>
        <w:rPr>
          <w:color w:val="666666"/>
          <w:sz w:val="16"/>
        </w:rPr>
        <w:t>This document is a draft prepared for review and negotiation purposes only. It does not constitute a binding agreement until executed by authorized representatives of both Parties. This Agreement should be reviewed by independent legal counsel for each Party prior to execution. Securities counsel for the Lender: Dori Karjian, SCALE LLP.</w:t>
      </w:r>
    </w:p>
    <w:sectPr w:rsidR="00FC693F" w:rsidRPr="0006063C" w:rsidSect="00034616">
      <w:pgSz w:w="12240" w:h="15840"/>
      <w:pgMar w:top="1584" w:right="1800" w:bottom="158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