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2437E" w14:textId="1176FFF8" w:rsidR="008337F6" w:rsidRDefault="00FD28BD" w:rsidP="008337F6">
      <w:pPr>
        <w:pStyle w:val="papertitle"/>
        <w:spacing w:before="100" w:beforeAutospacing="1" w:after="100" w:afterAutospacing="1"/>
      </w:pPr>
      <w:r>
        <w:rPr>
          <w:i/>
          <w:iCs/>
        </w:rPr>
        <w:t xml:space="preserve">Electromagnetism </w:t>
      </w:r>
      <w:r w:rsidR="004046B2">
        <w:rPr>
          <w:i/>
          <w:iCs/>
        </w:rPr>
        <w:t>2 – Microwave</w:t>
      </w:r>
      <w:r w:rsidR="008F0BEC">
        <w:rPr>
          <w:i/>
          <w:iCs/>
        </w:rPr>
        <w:t xml:space="preserve"> Optics</w:t>
      </w:r>
      <w:r w:rsidR="004046B2">
        <w:rPr>
          <w:i/>
          <w:iCs/>
        </w:rPr>
        <w:t xml:space="preserve"> </w:t>
      </w:r>
    </w:p>
    <w:p w14:paraId="772790DB" w14:textId="55C2E96D" w:rsidR="008337F6" w:rsidRDefault="008337F6" w:rsidP="00C27C52">
      <w:pPr>
        <w:pStyle w:val="Author"/>
        <w:rPr>
          <w:sz w:val="16"/>
          <w:szCs w:val="16"/>
        </w:rPr>
      </w:pPr>
      <w:r>
        <w:t>April 2</w:t>
      </w:r>
      <w:r w:rsidR="008004A7">
        <w:t>9</w:t>
      </w:r>
      <w:r>
        <w:t>, 2026</w:t>
      </w:r>
    </w:p>
    <w:p w14:paraId="60601496" w14:textId="77777777" w:rsidR="00C27C52" w:rsidRDefault="00C27C52" w:rsidP="00C27C52">
      <w:pPr>
        <w:pStyle w:val="Author"/>
        <w:rPr>
          <w:sz w:val="16"/>
          <w:szCs w:val="16"/>
        </w:rPr>
      </w:pPr>
    </w:p>
    <w:p w14:paraId="43ED280E" w14:textId="7D720ABE" w:rsidR="008337F6" w:rsidRPr="00CA4392" w:rsidRDefault="008337F6" w:rsidP="008337F6">
      <w:pPr>
        <w:pStyle w:val="Author"/>
        <w:spacing w:before="100" w:beforeAutospacing="1" w:after="100" w:afterAutospacing="1" w:line="120" w:lineRule="auto"/>
        <w:rPr>
          <w:sz w:val="16"/>
          <w:szCs w:val="16"/>
        </w:rPr>
        <w:sectPr w:rsidR="008337F6" w:rsidRPr="00CA4392" w:rsidSect="008337F6">
          <w:footerReference w:type="first" r:id="rId6"/>
          <w:pgSz w:w="12240" w:h="15840" w:code="1"/>
          <w:pgMar w:top="1080" w:right="893" w:bottom="1440" w:left="893" w:header="720" w:footer="720" w:gutter="0"/>
          <w:cols w:space="720"/>
          <w:titlePg/>
          <w:docGrid w:linePitch="360"/>
        </w:sectPr>
      </w:pPr>
    </w:p>
    <w:p w14:paraId="7C267CB8" w14:textId="37627A05" w:rsidR="008337F6" w:rsidRPr="00110274" w:rsidRDefault="008337F6" w:rsidP="00110274">
      <w:pPr>
        <w:pStyle w:val="Author"/>
        <w:spacing w:before="100" w:beforeAutospacing="1"/>
        <w:rPr>
          <w:i/>
          <w:sz w:val="18"/>
          <w:szCs w:val="18"/>
        </w:rPr>
        <w:sectPr w:rsidR="008337F6" w:rsidRPr="00110274" w:rsidSect="008337F6">
          <w:type w:val="continuous"/>
          <w:pgSz w:w="12240" w:h="15840" w:code="1"/>
          <w:pgMar w:top="1080" w:right="893" w:bottom="1440" w:left="893" w:header="720" w:footer="720" w:gutter="0"/>
          <w:cols w:num="4" w:space="216"/>
          <w:docGrid w:linePitch="360"/>
        </w:sectPr>
      </w:pPr>
      <w:r>
        <w:rPr>
          <w:sz w:val="18"/>
          <w:szCs w:val="18"/>
        </w:rPr>
        <w:t>Caleb Milton Young</w:t>
      </w:r>
      <w:r w:rsidRPr="00F847A6">
        <w:rPr>
          <w:sz w:val="18"/>
          <w:szCs w:val="18"/>
        </w:rPr>
        <w:t xml:space="preserve"> </w:t>
      </w:r>
      <w:r w:rsidRPr="00F847A6">
        <w:rPr>
          <w:sz w:val="18"/>
          <w:szCs w:val="18"/>
        </w:rPr>
        <w:br/>
      </w:r>
      <w:r>
        <w:rPr>
          <w:i/>
          <w:sz w:val="18"/>
          <w:szCs w:val="18"/>
        </w:rPr>
        <w:t>Department of Physics,</w:t>
      </w:r>
      <w:r w:rsidR="00A155CC">
        <w:rPr>
          <w:i/>
          <w:sz w:val="18"/>
          <w:szCs w:val="18"/>
        </w:rPr>
        <w:t xml:space="preserve"> </w:t>
      </w:r>
      <w:r w:rsidR="00BD6841">
        <w:rPr>
          <w:i/>
          <w:sz w:val="18"/>
          <w:szCs w:val="18"/>
        </w:rPr>
        <w:t xml:space="preserve"> </w:t>
      </w:r>
      <w:r w:rsidR="00BD6841">
        <w:rPr>
          <w:i/>
          <w:sz w:val="18"/>
          <w:szCs w:val="18"/>
        </w:rPr>
        <w:t>Astronomy, and Engineering</w:t>
      </w:r>
      <w:r w:rsidR="00110274">
        <w:rPr>
          <w:i/>
          <w:sz w:val="18"/>
          <w:szCs w:val="18"/>
        </w:rPr>
        <w:t xml:space="preserve"> </w:t>
      </w:r>
      <w:r w:rsidRPr="00F847A6">
        <w:rPr>
          <w:sz w:val="18"/>
          <w:szCs w:val="18"/>
        </w:rPr>
        <w:br/>
      </w:r>
      <w:r>
        <w:rPr>
          <w:i/>
          <w:sz w:val="18"/>
          <w:szCs w:val="18"/>
        </w:rPr>
        <w:t>University of Central Arkansas</w:t>
      </w:r>
      <w:r w:rsidRPr="00F847A6">
        <w:rPr>
          <w:i/>
          <w:sz w:val="18"/>
          <w:szCs w:val="18"/>
        </w:rPr>
        <w:br/>
      </w:r>
      <w:r>
        <w:rPr>
          <w:sz w:val="18"/>
          <w:szCs w:val="18"/>
        </w:rPr>
        <w:t>Conway</w:t>
      </w:r>
      <w:r w:rsidRPr="00F847A6">
        <w:rPr>
          <w:sz w:val="18"/>
          <w:szCs w:val="18"/>
        </w:rPr>
        <w:t xml:space="preserve">, </w:t>
      </w:r>
      <w:r>
        <w:rPr>
          <w:sz w:val="18"/>
          <w:szCs w:val="18"/>
        </w:rPr>
        <w:t>United States of America</w:t>
      </w:r>
      <w:r w:rsidRPr="00F847A6">
        <w:rPr>
          <w:sz w:val="18"/>
          <w:szCs w:val="18"/>
        </w:rPr>
        <w:br/>
      </w:r>
      <w:r>
        <w:rPr>
          <w:sz w:val="18"/>
          <w:szCs w:val="18"/>
        </w:rPr>
        <w:t>cyoung24@cub.uca.edu</w:t>
      </w:r>
      <w:r>
        <w:rPr>
          <w:sz w:val="18"/>
          <w:szCs w:val="18"/>
        </w:rPr>
        <w:br/>
      </w:r>
      <w:r>
        <w:rPr>
          <w:sz w:val="18"/>
          <w:szCs w:val="18"/>
        </w:rPr>
        <w:br/>
      </w:r>
    </w:p>
    <w:p w14:paraId="6B8BA4AA" w14:textId="77777777" w:rsidR="008337F6" w:rsidRPr="005B520E" w:rsidRDefault="008337F6" w:rsidP="008337F6">
      <w:pPr>
        <w:jc w:val="both"/>
        <w:sectPr w:rsidR="008337F6" w:rsidRPr="005B520E" w:rsidSect="008337F6">
          <w:type w:val="continuous"/>
          <w:pgSz w:w="12240" w:h="15840" w:code="1"/>
          <w:pgMar w:top="1080" w:right="893" w:bottom="1440" w:left="893" w:header="720" w:footer="720" w:gutter="0"/>
          <w:cols w:space="720"/>
          <w:docGrid w:linePitch="360"/>
        </w:sectPr>
      </w:pPr>
    </w:p>
    <w:p w14:paraId="6738F77B" w14:textId="77777777" w:rsidR="008337F6" w:rsidRPr="00F847A6" w:rsidRDefault="008337F6" w:rsidP="008337F6">
      <w:pPr>
        <w:pStyle w:val="Author"/>
        <w:spacing w:before="100" w:beforeAutospacing="1"/>
        <w:jc w:val="both"/>
        <w:rPr>
          <w:sz w:val="16"/>
          <w:szCs w:val="16"/>
        </w:rPr>
        <w:sectPr w:rsidR="008337F6" w:rsidRPr="00F847A6" w:rsidSect="008337F6">
          <w:type w:val="continuous"/>
          <w:pgSz w:w="12240" w:h="15840" w:code="1"/>
          <w:pgMar w:top="1080" w:right="893" w:bottom="1440" w:left="893" w:header="720" w:footer="720" w:gutter="0"/>
          <w:cols w:num="4" w:space="216"/>
          <w:docGrid w:linePitch="360"/>
        </w:sectPr>
      </w:pPr>
    </w:p>
    <w:p w14:paraId="0F7B0EEA" w14:textId="77777777" w:rsidR="008337F6" w:rsidRPr="00F847A6" w:rsidRDefault="008337F6" w:rsidP="008337F6">
      <w:pPr>
        <w:pStyle w:val="Author"/>
        <w:spacing w:before="100" w:beforeAutospacing="1"/>
        <w:jc w:val="both"/>
        <w:rPr>
          <w:sz w:val="16"/>
          <w:szCs w:val="16"/>
        </w:rPr>
        <w:sectPr w:rsidR="008337F6" w:rsidRPr="00F847A6" w:rsidSect="008337F6">
          <w:type w:val="continuous"/>
          <w:pgSz w:w="12240" w:h="15840" w:code="1"/>
          <w:pgMar w:top="1080" w:right="893" w:bottom="1440" w:left="893" w:header="720" w:footer="720" w:gutter="0"/>
          <w:cols w:num="4" w:space="216"/>
          <w:docGrid w:linePitch="360"/>
        </w:sectPr>
      </w:pPr>
    </w:p>
    <w:p w14:paraId="7EF7E9B1" w14:textId="156F7F7A" w:rsidR="008337F6" w:rsidRPr="002C2BE5" w:rsidRDefault="008337F6" w:rsidP="002C2BE5">
      <w:pPr>
        <w:pStyle w:val="Abstract"/>
      </w:pPr>
      <w:r>
        <w:rPr>
          <w:i/>
          <w:iCs/>
        </w:rPr>
        <w:t>Abstract</w:t>
      </w:r>
      <w:proofErr w:type="gramStart"/>
      <w:r>
        <w:t xml:space="preserve">:  </w:t>
      </w:r>
      <w:r w:rsidR="0059231F" w:rsidRPr="0059231F">
        <w:t>This</w:t>
      </w:r>
      <w:proofErr w:type="gramEnd"/>
      <w:r w:rsidR="0059231F" w:rsidRPr="0059231F">
        <w:t xml:space="preserve"> paper investigates the fundamental wave properties of electromagnetic radiation in the microwave regime using the Pasco Complete Microwave Optics System. A 10.525 GHz Gunn diode transmitter and a Schottky diode receiver </w:t>
      </w:r>
      <w:proofErr w:type="gramStart"/>
      <w:r w:rsidR="0059231F" w:rsidRPr="0059231F">
        <w:t>were utilized</w:t>
      </w:r>
      <w:proofErr w:type="gramEnd"/>
      <w:r w:rsidR="0059231F" w:rsidRPr="0059231F">
        <w:t xml:space="preserve"> to conduct five distinct experiments: angular beam spread, standing wave interference, polarization, reflection, and refraction. The angular beam spread </w:t>
      </w:r>
      <w:proofErr w:type="gramStart"/>
      <w:r w:rsidR="0059231F" w:rsidRPr="0059231F">
        <w:t>was characterized</w:t>
      </w:r>
      <w:proofErr w:type="gramEnd"/>
      <w:r w:rsidR="0059231F" w:rsidRPr="0059231F">
        <w:t xml:space="preserve">, yielding a Full-Width at Half-Maximum (FWHM) of 24°. Standing wave interference patterns </w:t>
      </w:r>
      <w:proofErr w:type="gramStart"/>
      <w:r w:rsidR="0059231F" w:rsidRPr="0059231F">
        <w:t>were used</w:t>
      </w:r>
      <w:proofErr w:type="gramEnd"/>
      <w:r w:rsidR="0059231F" w:rsidRPr="0059231F">
        <w:t xml:space="preserve"> to calculate an experimental wavelength of 2.80 cm, resulting in a 1.74% error when compared to </w:t>
      </w:r>
      <w:proofErr w:type="gramStart"/>
      <w:r w:rsidR="0059231F" w:rsidRPr="0059231F">
        <w:t>the theoretical</w:t>
      </w:r>
      <w:proofErr w:type="gramEnd"/>
      <w:r w:rsidR="0059231F" w:rsidRPr="0059231F">
        <w:t xml:space="preserve"> value. Polarization data confirmed that the receiver diode measures wave intensity, as the signal closely adhered to Malus’s Law (</w:t>
      </w:r>
      <m:oMath>
        <m:func>
          <m:funcPr>
            <m:ctrlPr>
              <w:rPr>
                <w:rFonts w:ascii="Cambria Math" w:hAnsi="Cambria Math"/>
              </w:rPr>
            </m:ctrlPr>
          </m:funcPr>
          <m:fName>
            <m:sSup>
              <m:sSupPr>
                <m:ctrlPr>
                  <w:rPr>
                    <w:rFonts w:ascii="Cambria Math" w:hAnsi="Cambria Math"/>
                    <w:i/>
                  </w:rPr>
                </m:ctrlPr>
              </m:sSupPr>
              <m:e>
                <m:r>
                  <m:rPr>
                    <m:sty m:val="b"/>
                  </m:rPr>
                  <w:rPr>
                    <w:rFonts w:ascii="Cambria Math" w:hAnsi="Cambria Math"/>
                  </w:rPr>
                  <m:t>cos</m:t>
                </m:r>
                <m:ctrlPr>
                  <w:rPr>
                    <w:rFonts w:ascii="Cambria Math" w:hAnsi="Cambria Math"/>
                  </w:rPr>
                </m:ctrlPr>
              </m:e>
              <m:sup>
                <m:r>
                  <m:rPr>
                    <m:sty m:val="bi"/>
                  </m:rPr>
                  <w:rPr>
                    <w:rFonts w:ascii="Cambria Math" w:hAnsi="Cambria Math"/>
                  </w:rPr>
                  <m:t>2</m:t>
                </m:r>
                <m:ctrlPr>
                  <w:rPr>
                    <w:rFonts w:ascii="Cambria Math" w:hAnsi="Cambria Math"/>
                  </w:rPr>
                </m:ctrlPr>
              </m:sup>
            </m:sSup>
            <m:ctrlPr>
              <w:rPr>
                <w:rFonts w:ascii="Cambria Math" w:hAnsi="Cambria Math"/>
                <w:i/>
              </w:rPr>
            </m:ctrlPr>
          </m:fName>
          <m:e>
            <m:d>
              <m:dPr>
                <m:ctrlPr>
                  <w:rPr>
                    <w:rFonts w:ascii="Cambria Math" w:hAnsi="Cambria Math"/>
                    <w:i/>
                  </w:rPr>
                </m:ctrlPr>
              </m:dPr>
              <m:e>
                <m:r>
                  <m:rPr>
                    <m:sty m:val="b"/>
                  </m:rPr>
                  <w:rPr>
                    <w:rFonts w:ascii="Cambria Math" w:hAnsi="Cambria Math"/>
                  </w:rPr>
                  <m:t>θ</m:t>
                </m:r>
              </m:e>
            </m:d>
            <m:ctrlPr>
              <w:rPr>
                <w:rFonts w:ascii="Cambria Math" w:hAnsi="Cambria Math"/>
                <w:i/>
              </w:rPr>
            </m:ctrlPr>
          </m:e>
        </m:func>
      </m:oMath>
      <w:r w:rsidR="0059231F" w:rsidRPr="0059231F">
        <w:t>). The law of reflection (</w:t>
      </w:r>
      <m:oMath>
        <m:sSub>
          <m:sSubPr>
            <m:ctrlPr>
              <w:rPr>
                <w:rFonts w:ascii="Cambria Math" w:hAnsi="Cambria Math"/>
                <w:i/>
              </w:rPr>
            </m:ctrlPr>
          </m:sSubPr>
          <m:e>
            <m:r>
              <m:rPr>
                <m:sty m:val="b"/>
              </m:rPr>
              <w:rPr>
                <w:rFonts w:ascii="Cambria Math" w:hAnsi="Cambria Math"/>
              </w:rPr>
              <m:t>θ</m:t>
            </m:r>
            <m:ctrlPr>
              <w:rPr>
                <w:rFonts w:ascii="Cambria Math" w:hAnsi="Cambria Math"/>
              </w:rPr>
            </m:ctrlPr>
          </m:e>
          <m:sub>
            <m:r>
              <m:rPr>
                <m:sty m:val="bi"/>
              </m:rPr>
              <w:rPr>
                <w:rFonts w:ascii="Cambria Math" w:hAnsi="Cambria Math"/>
              </w:rPr>
              <m:t>i</m:t>
            </m:r>
          </m:sub>
        </m:sSub>
        <m:r>
          <m:rPr>
            <m:sty m:val="bi"/>
          </m:rPr>
          <w:rPr>
            <w:rFonts w:ascii="Cambria Math" w:hAnsi="Cambria Math"/>
          </w:rPr>
          <m:t>=</m:t>
        </m:r>
        <m:sSub>
          <m:sSubPr>
            <m:ctrlPr>
              <w:rPr>
                <w:rFonts w:ascii="Cambria Math" w:hAnsi="Cambria Math"/>
                <w:i/>
              </w:rPr>
            </m:ctrlPr>
          </m:sSubPr>
          <m:e>
            <m:r>
              <m:rPr>
                <m:sty m:val="b"/>
              </m:rPr>
              <w:rPr>
                <w:rFonts w:ascii="Cambria Math" w:hAnsi="Cambria Math"/>
              </w:rPr>
              <m:t>θ</m:t>
            </m:r>
          </m:e>
          <m:sub>
            <m:r>
              <m:rPr>
                <m:sty m:val="bi"/>
              </m:rPr>
              <w:rPr>
                <w:rFonts w:ascii="Cambria Math" w:hAnsi="Cambria Math"/>
              </w:rPr>
              <m:t>r</m:t>
            </m:r>
          </m:sub>
        </m:sSub>
      </m:oMath>
      <w:r w:rsidR="0059231F" w:rsidRPr="0059231F">
        <w:t xml:space="preserve">) </w:t>
      </w:r>
      <w:proofErr w:type="gramStart"/>
      <w:r w:rsidR="0059231F" w:rsidRPr="0059231F">
        <w:t>was successfully verified</w:t>
      </w:r>
      <w:proofErr w:type="gramEnd"/>
      <w:r w:rsidR="0059231F" w:rsidRPr="0059231F">
        <w:t xml:space="preserve"> for incidence angles between 20° and 50°. Finally, the index of refraction for a styrene pellet prism was experimentally determined to be 1.84 using Snell's Law.</w:t>
      </w:r>
    </w:p>
    <w:p w14:paraId="07CD1E78" w14:textId="77777777" w:rsidR="008337F6" w:rsidRPr="00D632BE" w:rsidRDefault="008337F6" w:rsidP="008337F6">
      <w:pPr>
        <w:pStyle w:val="Heading1"/>
        <w:numPr>
          <w:ilvl w:val="0"/>
          <w:numId w:val="1"/>
        </w:numPr>
        <w:tabs>
          <w:tab w:val="num" w:pos="360"/>
        </w:tabs>
        <w:ind w:left="0" w:firstLine="0"/>
      </w:pPr>
      <w:r w:rsidRPr="00D632BE">
        <w:t>Introduction</w:t>
      </w:r>
    </w:p>
    <w:p w14:paraId="7D423987" w14:textId="22804AA2" w:rsidR="00854AEC" w:rsidRPr="00071700" w:rsidRDefault="00854AEC" w:rsidP="00854AEC">
      <w:pPr>
        <w:pStyle w:val="BodyText"/>
        <w:rPr>
          <w:sz w:val="24"/>
          <w:szCs w:val="24"/>
        </w:rPr>
      </w:pPr>
      <w:r w:rsidRPr="00071700">
        <w:rPr>
          <w:sz w:val="24"/>
          <w:szCs w:val="24"/>
        </w:rPr>
        <w:t>Electromagnetic radiation exhibits distinct wave-like behaviors, including interference, polarization, reflection, and refraction, regardless of the specific frequency band being observed. While these phenomena are commonly studied using visible light, analyzing them in the microwave regime allows for macroscopic, easily measurable geometric setups. This report provides a comprehensive quantitative analysis of these wave properties using 10.525 GHz microwaves.</w:t>
      </w:r>
    </w:p>
    <w:p w14:paraId="20E2D09B" w14:textId="7ED42ED0" w:rsidR="004E2C10" w:rsidRPr="00D23C4E" w:rsidRDefault="00854AEC" w:rsidP="004E2C10">
      <w:pPr>
        <w:pStyle w:val="BodyText"/>
        <w:jc w:val="center"/>
        <w:rPr>
          <w:sz w:val="24"/>
          <w:szCs w:val="24"/>
        </w:rPr>
      </w:pPr>
      <w:r w:rsidRPr="00071700">
        <w:rPr>
          <w:sz w:val="24"/>
          <w:szCs w:val="24"/>
        </w:rPr>
        <w:t xml:space="preserve">The primary objective of this study is to experimentally verify theoretical wave models using a coherent, linearly polarized microwave beam. First, the spatial distribution of the microwave beam is measured to determine its angular divergence. Second, the principle of superposition is tested by creating standing waves—a resulting interference pattern caused by the forward-propagating wave reflecting off the receiver horn. By measuring the spatial distance between adjacent signal maxima, the </w:t>
      </w:r>
      <w:r w:rsidRPr="00071700">
        <w:rPr>
          <w:sz w:val="24"/>
          <w:szCs w:val="24"/>
        </w:rPr>
        <w:t xml:space="preserve">experimental wavelength of the microwave can be calculated and </w:t>
      </w:r>
      <w:r w:rsidRPr="00D23C4E">
        <w:rPr>
          <w:sz w:val="24"/>
          <w:szCs w:val="24"/>
        </w:rPr>
        <w:t>compared to the theoretical value</w:t>
      </w:r>
      <w:r w:rsidR="004E2C10" w:rsidRPr="00D23C4E">
        <w:rPr>
          <w:sz w:val="24"/>
          <w:szCs w:val="24"/>
        </w:rPr>
        <w:t>:</w:t>
      </w:r>
      <w:r w:rsidR="00BF64E9" w:rsidRPr="00D23C4E">
        <w:rPr>
          <w:sz w:val="24"/>
          <w:szCs w:val="24"/>
        </w:rPr>
        <w:t xml:space="preserve">  </w:t>
      </w:r>
    </w:p>
    <w:p w14:paraId="4424E182" w14:textId="04FADE4D" w:rsidR="004E2C10" w:rsidRPr="00D23C4E" w:rsidRDefault="00BF64E9" w:rsidP="004E2C10">
      <w:pPr>
        <w:pStyle w:val="BodyText"/>
        <w:jc w:val="center"/>
        <w:rPr>
          <w:sz w:val="24"/>
          <w:szCs w:val="24"/>
        </w:rPr>
      </w:pPr>
      <m:oMath>
        <m:r>
          <m:rPr>
            <m:sty m:val="p"/>
          </m:rPr>
          <w:rPr>
            <w:rFonts w:ascii="Cambria Math" w:hAnsi="Cambria Math"/>
            <w:sz w:val="24"/>
            <w:szCs w:val="24"/>
          </w:rPr>
          <m:t>λ</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c</m:t>
            </m:r>
            <m:ctrlPr>
              <w:rPr>
                <w:rFonts w:ascii="Cambria Math" w:hAnsi="Cambria Math"/>
                <w:i/>
                <w:sz w:val="24"/>
                <w:szCs w:val="24"/>
              </w:rPr>
            </m:ctrlPr>
          </m:num>
          <m:den>
            <m:r>
              <w:rPr>
                <w:rFonts w:ascii="Cambria Math" w:hAnsi="Cambria Math"/>
                <w:sz w:val="24"/>
                <w:szCs w:val="24"/>
              </w:rPr>
              <m:t>f</m:t>
            </m:r>
            <m:ctrlPr>
              <w:rPr>
                <w:rFonts w:ascii="Cambria Math" w:hAnsi="Cambria Math"/>
                <w:i/>
                <w:sz w:val="24"/>
                <w:szCs w:val="24"/>
              </w:rPr>
            </m:ctrlPr>
          </m:den>
        </m:f>
      </m:oMath>
      <w:r w:rsidR="00854AEC" w:rsidRPr="00D23C4E">
        <w:rPr>
          <w:sz w:val="24"/>
          <w:szCs w:val="24"/>
        </w:rPr>
        <w:t>.</w:t>
      </w:r>
    </w:p>
    <w:p w14:paraId="0106A077" w14:textId="6E211022" w:rsidR="008337F6" w:rsidRDefault="00854AEC" w:rsidP="002C2BE5">
      <w:pPr>
        <w:pStyle w:val="BodyText"/>
        <w:rPr>
          <w:sz w:val="24"/>
          <w:szCs w:val="24"/>
        </w:rPr>
      </w:pPr>
      <w:r w:rsidRPr="00D23C4E">
        <w:rPr>
          <w:sz w:val="24"/>
          <w:szCs w:val="24"/>
        </w:rPr>
        <w:t xml:space="preserve">Additionally, this study investigates the polarization </w:t>
      </w:r>
      <w:r w:rsidRPr="00B142FA">
        <w:rPr>
          <w:sz w:val="24"/>
          <w:szCs w:val="24"/>
        </w:rPr>
        <w:t>response of the receiver. By rotating the linearly polarized transmitter relative to the receiver, the data is plotted against theoretical</w:t>
      </w:r>
      <w:r w:rsidR="00D23C4E" w:rsidRPr="00B142FA">
        <w:rPr>
          <w:rFonts w:ascii="Cambria Math" w:hAnsi="Cambria Math"/>
          <w:sz w:val="24"/>
          <w:szCs w:val="24"/>
        </w:rPr>
        <w:t xml:space="preserve"> </w:t>
      </w:r>
      <m:oMath>
        <m:func>
          <m:funcPr>
            <m:ctrlPr>
              <w:rPr>
                <w:rFonts w:ascii="Cambria Math" w:hAnsi="Cambria Math"/>
                <w:sz w:val="24"/>
                <w:szCs w:val="24"/>
              </w:rPr>
            </m:ctrlPr>
          </m:funcPr>
          <m:fName>
            <m:r>
              <w:rPr>
                <w:rFonts w:ascii="Cambria Math" w:hAnsi="Cambria Math"/>
                <w:sz w:val="24"/>
                <w:szCs w:val="24"/>
              </w:rPr>
              <m:t>cos</m:t>
            </m:r>
            <m:ctrlPr>
              <w:rPr>
                <w:rFonts w:ascii="Cambria Math" w:hAnsi="Cambria Math"/>
                <w:i/>
                <w:sz w:val="24"/>
                <w:szCs w:val="24"/>
              </w:rPr>
            </m:ctrlPr>
          </m:fName>
          <m:e>
            <m:d>
              <m:dPr>
                <m:ctrlPr>
                  <w:rPr>
                    <w:rFonts w:ascii="Cambria Math" w:hAnsi="Cambria Math"/>
                    <w:i/>
                    <w:sz w:val="24"/>
                    <w:szCs w:val="24"/>
                  </w:rPr>
                </m:ctrlPr>
              </m:dPr>
              <m:e>
                <m:r>
                  <w:rPr>
                    <w:rFonts w:ascii="Cambria Math" w:hAnsi="Cambria Math"/>
                    <w:sz w:val="24"/>
                    <w:szCs w:val="24"/>
                  </w:rPr>
                  <m:t>θ</m:t>
                </m:r>
              </m:e>
            </m:d>
            <m:ctrlPr>
              <w:rPr>
                <w:rFonts w:ascii="Cambria Math" w:hAnsi="Cambria Math"/>
                <w:i/>
                <w:sz w:val="24"/>
                <w:szCs w:val="24"/>
              </w:rPr>
            </m:ctrlPr>
          </m:e>
        </m:func>
      </m:oMath>
      <w:r w:rsidRPr="00B142FA">
        <w:rPr>
          <w:sz w:val="24"/>
          <w:szCs w:val="24"/>
        </w:rPr>
        <w:t xml:space="preserve"> and </w:t>
      </w:r>
      <m:oMath>
        <m:func>
          <m:funcPr>
            <m:ctrlPr>
              <w:rPr>
                <w:rFonts w:ascii="Cambria Math" w:hAnsi="Cambria Math"/>
                <w:sz w:val="24"/>
                <w:szCs w:val="24"/>
              </w:rPr>
            </m:ctrlPr>
          </m:funcPr>
          <m:fName>
            <m:sSup>
              <m:sSupPr>
                <m:ctrlPr>
                  <w:rPr>
                    <w:rFonts w:ascii="Cambria Math" w:hAnsi="Cambria Math"/>
                    <w:i/>
                    <w:sz w:val="24"/>
                    <w:szCs w:val="24"/>
                  </w:rPr>
                </m:ctrlPr>
              </m:sSupPr>
              <m:e>
                <m:r>
                  <m:rPr>
                    <m:sty m:val="p"/>
                  </m:rPr>
                  <w:rPr>
                    <w:rFonts w:ascii="Cambria Math" w:hAnsi="Cambria Math"/>
                    <w:sz w:val="24"/>
                    <w:szCs w:val="24"/>
                  </w:rPr>
                  <m:t>cos</m:t>
                </m:r>
                <m:ctrlPr>
                  <w:rPr>
                    <w:rFonts w:ascii="Cambria Math" w:hAnsi="Cambria Math"/>
                    <w:sz w:val="24"/>
                    <w:szCs w:val="24"/>
                  </w:rPr>
                </m:ctrlPr>
              </m:e>
              <m:sup>
                <m:r>
                  <w:rPr>
                    <w:rFonts w:ascii="Cambria Math" w:hAnsi="Cambria Math"/>
                    <w:sz w:val="24"/>
                    <w:szCs w:val="24"/>
                  </w:rPr>
                  <m:t>2</m:t>
                </m:r>
                <m:ctrlPr>
                  <w:rPr>
                    <w:rFonts w:ascii="Cambria Math" w:hAnsi="Cambria Math"/>
                    <w:sz w:val="24"/>
                    <w:szCs w:val="24"/>
                  </w:rPr>
                </m:ctrlPr>
              </m:sup>
            </m:sSup>
            <m:ctrlPr>
              <w:rPr>
                <w:rFonts w:ascii="Cambria Math" w:hAnsi="Cambria Math"/>
                <w:i/>
                <w:sz w:val="24"/>
                <w:szCs w:val="24"/>
              </w:rPr>
            </m:ctrlPr>
          </m:fName>
          <m:e>
            <m:d>
              <m:dPr>
                <m:ctrlPr>
                  <w:rPr>
                    <w:rFonts w:ascii="Cambria Math" w:hAnsi="Cambria Math"/>
                    <w:i/>
                    <w:sz w:val="24"/>
                    <w:szCs w:val="24"/>
                  </w:rPr>
                </m:ctrlPr>
              </m:dPr>
              <m:e>
                <m:r>
                  <w:rPr>
                    <w:rFonts w:ascii="Cambria Math" w:hAnsi="Cambria Math"/>
                    <w:sz w:val="24"/>
                    <w:szCs w:val="24"/>
                  </w:rPr>
                  <m:t>θ</m:t>
                </m:r>
              </m:e>
            </m:d>
            <m:ctrlPr>
              <w:rPr>
                <w:rFonts w:ascii="Cambria Math" w:hAnsi="Cambria Math"/>
                <w:i/>
                <w:sz w:val="24"/>
                <w:szCs w:val="24"/>
              </w:rPr>
            </m:ctrlPr>
          </m:e>
        </m:func>
      </m:oMath>
      <w:r w:rsidR="004E2C10" w:rsidRPr="00B142FA">
        <w:rPr>
          <w:b/>
          <w:bCs/>
          <w:sz w:val="24"/>
          <w:szCs w:val="24"/>
        </w:rPr>
        <w:t>)</w:t>
      </w:r>
      <w:r w:rsidR="004E2C10" w:rsidRPr="00B142FA">
        <w:rPr>
          <w:b/>
          <w:bCs/>
          <w:sz w:val="24"/>
          <w:szCs w:val="24"/>
        </w:rPr>
        <w:t xml:space="preserve"> </w:t>
      </w:r>
      <w:r w:rsidRPr="00B142FA">
        <w:rPr>
          <w:sz w:val="24"/>
          <w:szCs w:val="24"/>
        </w:rPr>
        <w:t>models to determine whether the Schottky diode measures the electric field amplitude or the wave intensity (Malus's Law). Finally, the geometric optics principles of reflection and refraction are tested. The law of reflection (</w:t>
      </w:r>
      <m:oMath>
        <m:sSub>
          <m:sSubPr>
            <m:ctrlPr>
              <w:rPr>
                <w:rFonts w:ascii="Cambria Math" w:hAnsi="Cambria Math"/>
                <w:i/>
                <w:sz w:val="24"/>
                <w:szCs w:val="24"/>
              </w:rPr>
            </m:ctrlPr>
          </m:sSubPr>
          <m:e>
            <m:r>
              <w:rPr>
                <w:rFonts w:ascii="Cambria Math" w:hAnsi="Cambria Math"/>
                <w:sz w:val="24"/>
                <w:szCs w:val="24"/>
              </w:rPr>
              <m:t>θ</m:t>
            </m:r>
            <m:ctrlPr>
              <w:rPr>
                <w:rFonts w:ascii="Cambria Math" w:hAnsi="Cambria Math"/>
                <w:sz w:val="24"/>
                <w:szCs w:val="24"/>
              </w:rPr>
            </m:ctrlP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r</m:t>
            </m:r>
          </m:sub>
        </m:sSub>
      </m:oMath>
      <w:r w:rsidRPr="00B142FA">
        <w:rPr>
          <w:sz w:val="24"/>
          <w:szCs w:val="24"/>
        </w:rPr>
        <w:t xml:space="preserve">) is evaluated using a flat metal reflector, and Snell's Law </w:t>
      </w:r>
      <w:r w:rsidR="00CF006C" w:rsidRPr="00B142FA">
        <w:rPr>
          <w:sz w:val="24"/>
          <w:szCs w:val="24"/>
        </w:rPr>
        <w:t>(</w:t>
      </w: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1</m:t>
            </m:r>
          </m:sub>
        </m:sSub>
        <m:func>
          <m:funcPr>
            <m:ctrlPr>
              <w:rPr>
                <w:rFonts w:ascii="Cambria Math" w:hAnsi="Cambria Math"/>
                <w:sz w:val="24"/>
                <w:szCs w:val="24"/>
              </w:rPr>
            </m:ctrlPr>
          </m:funcPr>
          <m:fName>
            <m:r>
              <m:rPr>
                <m:sty m:val="p"/>
              </m:rPr>
              <w:rPr>
                <w:rFonts w:ascii="Cambria Math" w:hAnsi="Cambria Math"/>
                <w:sz w:val="24"/>
                <w:szCs w:val="24"/>
              </w:rPr>
              <m:t>sin</m:t>
            </m:r>
            <m:ctrlPr>
              <w:rPr>
                <w:rFonts w:ascii="Cambria Math" w:hAnsi="Cambria Math"/>
                <w:i/>
                <w:sz w:val="24"/>
                <w:szCs w:val="24"/>
              </w:rPr>
            </m:ctrlPr>
          </m:fName>
          <m:e>
            <m:sSub>
              <m:sSubPr>
                <m:ctrlPr>
                  <w:rPr>
                    <w:rFonts w:ascii="Cambria Math" w:hAnsi="Cambria Math"/>
                    <w:i/>
                    <w:sz w:val="24"/>
                    <w:szCs w:val="24"/>
                  </w:rPr>
                </m:ctrlPr>
              </m:sSubPr>
              <m:e>
                <m:r>
                  <m:rPr>
                    <m:sty m:val="p"/>
                  </m:rPr>
                  <w:rPr>
                    <w:rFonts w:ascii="Cambria Math" w:hAnsi="Cambria Math"/>
                    <w:sz w:val="24"/>
                    <w:szCs w:val="24"/>
                  </w:rPr>
                  <m:t>θ</m:t>
                </m:r>
              </m:e>
              <m:sub>
                <m:r>
                  <w:rPr>
                    <w:rFonts w:ascii="Cambria Math" w:hAnsi="Cambria Math"/>
                    <w:sz w:val="24"/>
                    <w:szCs w:val="24"/>
                  </w:rPr>
                  <m:t>1</m:t>
                </m:r>
              </m:sub>
            </m:sSub>
          </m:e>
        </m:func>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2</m:t>
            </m:r>
          </m:sub>
        </m:sSub>
        <m:func>
          <m:funcPr>
            <m:ctrlPr>
              <w:rPr>
                <w:rFonts w:ascii="Cambria Math" w:hAnsi="Cambria Math"/>
                <w:sz w:val="24"/>
                <w:szCs w:val="24"/>
              </w:rPr>
            </m:ctrlPr>
          </m:funcPr>
          <m:fName>
            <m:r>
              <m:rPr>
                <m:sty m:val="p"/>
              </m:rPr>
              <w:rPr>
                <w:rFonts w:ascii="Cambria Math" w:hAnsi="Cambria Math"/>
                <w:sz w:val="24"/>
                <w:szCs w:val="24"/>
              </w:rPr>
              <m:t>sin</m:t>
            </m:r>
            <m:ctrlPr>
              <w:rPr>
                <w:rFonts w:ascii="Cambria Math" w:hAnsi="Cambria Math"/>
                <w:i/>
                <w:sz w:val="24"/>
                <w:szCs w:val="24"/>
              </w:rPr>
            </m:ctrlPr>
          </m:fName>
          <m:e>
            <m:sSub>
              <m:sSubPr>
                <m:ctrlPr>
                  <w:rPr>
                    <w:rFonts w:ascii="Cambria Math" w:hAnsi="Cambria Math"/>
                    <w:i/>
                    <w:sz w:val="24"/>
                    <w:szCs w:val="24"/>
                  </w:rPr>
                </m:ctrlPr>
              </m:sSubPr>
              <m:e>
                <m:r>
                  <m:rPr>
                    <m:sty m:val="p"/>
                  </m:rPr>
                  <w:rPr>
                    <w:rFonts w:ascii="Cambria Math" w:hAnsi="Cambria Math"/>
                    <w:sz w:val="24"/>
                    <w:szCs w:val="24"/>
                  </w:rPr>
                  <m:t>θ</m:t>
                </m:r>
              </m:e>
              <m:sub>
                <m:r>
                  <w:rPr>
                    <w:rFonts w:ascii="Cambria Math" w:hAnsi="Cambria Math"/>
                    <w:sz w:val="24"/>
                    <w:szCs w:val="24"/>
                  </w:rPr>
                  <m:t>2</m:t>
                </m:r>
              </m:sub>
            </m:sSub>
          </m:e>
        </m:func>
      </m:oMath>
      <w:r w:rsidR="00B142FA" w:rsidRPr="00B142FA">
        <w:rPr>
          <w:sz w:val="24"/>
          <w:szCs w:val="24"/>
        </w:rPr>
        <w:t xml:space="preserve">) </w:t>
      </w:r>
      <w:r w:rsidRPr="00B142FA">
        <w:rPr>
          <w:sz w:val="24"/>
          <w:szCs w:val="24"/>
        </w:rPr>
        <w:t>is utilized to calculate the index of refraction of a styrene pellet prism</w:t>
      </w:r>
      <w:r w:rsidRPr="00D23C4E">
        <w:rPr>
          <w:sz w:val="24"/>
          <w:szCs w:val="24"/>
        </w:rPr>
        <w:t>. By comparing experimental</w:t>
      </w:r>
      <w:r w:rsidRPr="00071700">
        <w:rPr>
          <w:sz w:val="24"/>
          <w:szCs w:val="24"/>
        </w:rPr>
        <w:t xml:space="preserve"> data against these theoretical frameworks, this report validates the fundamental behaviors of electromagnetic waves.</w:t>
      </w:r>
    </w:p>
    <w:p w14:paraId="70DC6366" w14:textId="77777777" w:rsidR="002C2BE5" w:rsidRPr="002C2BE5" w:rsidRDefault="002C2BE5" w:rsidP="002C2BE5">
      <w:pPr>
        <w:pStyle w:val="BodyText"/>
        <w:rPr>
          <w:sz w:val="24"/>
          <w:szCs w:val="24"/>
        </w:rPr>
      </w:pPr>
    </w:p>
    <w:p w14:paraId="7646AA5A" w14:textId="34B777CA" w:rsidR="008337F6" w:rsidRPr="005F0ADD" w:rsidRDefault="00111840" w:rsidP="008337F6">
      <w:pPr>
        <w:pStyle w:val="Heading1"/>
        <w:numPr>
          <w:ilvl w:val="0"/>
          <w:numId w:val="1"/>
        </w:numPr>
        <w:tabs>
          <w:tab w:val="num" w:pos="360"/>
        </w:tabs>
        <w:ind w:left="0" w:firstLine="0"/>
      </w:pPr>
      <w:r>
        <w:t>Ex</w:t>
      </w:r>
      <w:r w:rsidR="009B656B">
        <w:t>perimental Setup</w:t>
      </w:r>
    </w:p>
    <w:p w14:paraId="6CE2A4EF" w14:textId="1F18C4BA" w:rsidR="003F4D07" w:rsidRPr="00071700" w:rsidRDefault="003F4D07" w:rsidP="003F4D07">
      <w:pPr>
        <w:pStyle w:val="BodyText"/>
        <w:rPr>
          <w:sz w:val="24"/>
          <w:szCs w:val="24"/>
        </w:rPr>
      </w:pPr>
      <w:r w:rsidRPr="00071700">
        <w:rPr>
          <w:sz w:val="24"/>
          <w:szCs w:val="24"/>
        </w:rPr>
        <w:t xml:space="preserve">All experiments were conducted utilizing the Pasco Complete Microwave Optics System (WA-9316A). The primary apparatus consisted of a Gunn diode microwave transmitter and a Schottky diode microwave receiver mounted on a goniometer. The transmitter utilizes a resonant cavity to produce a coherent, linearly polarized microwave beam at a frequency of 10.525 GHz and an output power of 15 </w:t>
      </w:r>
      <w:proofErr w:type="spellStart"/>
      <w:r w:rsidRPr="00071700">
        <w:rPr>
          <w:sz w:val="24"/>
          <w:szCs w:val="24"/>
        </w:rPr>
        <w:t>mW</w:t>
      </w:r>
      <w:proofErr w:type="spellEnd"/>
      <w:r w:rsidRPr="00071700">
        <w:rPr>
          <w:sz w:val="24"/>
          <w:szCs w:val="24"/>
        </w:rPr>
        <w:t xml:space="preserve">. The receiver provides a meter reading corresponding to the detected microwave signal. The goniometer features a fixed arm and a movable </w:t>
      </w:r>
      <w:r w:rsidRPr="00071700">
        <w:rPr>
          <w:sz w:val="24"/>
          <w:szCs w:val="24"/>
        </w:rPr>
        <w:lastRenderedPageBreak/>
        <w:t>rotational arm, allowing for precise angular measurements.</w:t>
      </w:r>
    </w:p>
    <w:p w14:paraId="570B32ED" w14:textId="56722D76" w:rsidR="00672189" w:rsidRPr="003F4D07" w:rsidRDefault="0079485F" w:rsidP="00770036">
      <w:pPr>
        <w:pStyle w:val="Heading2"/>
        <w:numPr>
          <w:ilvl w:val="0"/>
          <w:numId w:val="5"/>
        </w:numPr>
        <w:rPr>
          <w:rFonts w:eastAsia="SimSun"/>
          <w:spacing w:val="-1"/>
          <w:sz w:val="20"/>
          <w:szCs w:val="20"/>
        </w:rPr>
      </w:pPr>
      <w:r>
        <w:t>Angular Beam Spread</w:t>
      </w:r>
    </w:p>
    <w:p w14:paraId="4DDE5D4F" w14:textId="0139741B" w:rsidR="003F4D07" w:rsidRPr="003F4D07" w:rsidRDefault="003F4D07" w:rsidP="003F4D07">
      <w:pPr>
        <w:pStyle w:val="BodyText"/>
      </w:pPr>
      <w:r w:rsidRPr="00071700">
        <w:rPr>
          <w:sz w:val="24"/>
          <w:szCs w:val="24"/>
        </w:rPr>
        <w:t>To characterize the spatial divergence of the microwave beam, the transmitter was centered directly over the goniometer's pivot point, and the receiver was placed on the movable arm as far back as possible. Both horns were oriented vertically. The receiver was calibrated to a signal of 1.0 at 0° (direct alignment). Measurements were then taken by rotating the receiver arm through a 180° arc (from -90° to +90°), employing a finer 2° step size near the central maximum and a 10° step size at the peripheries where the signal dropped below the detection threshold</w:t>
      </w:r>
      <w:r w:rsidRPr="003F4D07">
        <w:t>.</w:t>
      </w:r>
    </w:p>
    <w:p w14:paraId="5B03AC8D" w14:textId="78514FCB" w:rsidR="00770036" w:rsidRDefault="003F4D07" w:rsidP="00770036">
      <w:pPr>
        <w:pStyle w:val="Heading2"/>
        <w:numPr>
          <w:ilvl w:val="0"/>
          <w:numId w:val="5"/>
        </w:numPr>
      </w:pPr>
      <w:r w:rsidRPr="003F4D07">
        <w:t xml:space="preserve">Standing Waves </w:t>
      </w:r>
    </w:p>
    <w:p w14:paraId="66AE7C89" w14:textId="464EE067" w:rsidR="003F4D07" w:rsidRPr="00071700" w:rsidRDefault="003F4D07" w:rsidP="003F4D07">
      <w:pPr>
        <w:pStyle w:val="BodyText"/>
        <w:rPr>
          <w:sz w:val="24"/>
          <w:szCs w:val="24"/>
        </w:rPr>
      </w:pPr>
      <w:r w:rsidRPr="00071700">
        <w:rPr>
          <w:sz w:val="24"/>
          <w:szCs w:val="24"/>
        </w:rPr>
        <w:t>To observe interference patterns, the transmitter and receiver were placed facing each other on a linear axis at the 50.0 cm and 85.0 cm marks, respectively. The receiver was moved longitudinally away from the transmitter in fine 2 mm increments. At each increment, the detected signal magnitude was recorded to map the periodic maxima and minima caused by the interference between the incident wave and the wave reflected off the receiver horn.</w:t>
      </w:r>
    </w:p>
    <w:p w14:paraId="5D1F2834" w14:textId="7D383032" w:rsidR="00770036" w:rsidRDefault="003F4D07" w:rsidP="00770036">
      <w:pPr>
        <w:pStyle w:val="Heading2"/>
        <w:numPr>
          <w:ilvl w:val="0"/>
          <w:numId w:val="5"/>
        </w:numPr>
      </w:pPr>
      <w:r w:rsidRPr="003F4D07">
        <w:t xml:space="preserve">Polarization </w:t>
      </w:r>
    </w:p>
    <w:p w14:paraId="4EEC6FA2" w14:textId="329D71AF" w:rsidR="003F4D07" w:rsidRPr="00071700" w:rsidRDefault="003F4D07" w:rsidP="003F4D07">
      <w:pPr>
        <w:pStyle w:val="BodyText"/>
        <w:rPr>
          <w:sz w:val="24"/>
          <w:szCs w:val="24"/>
        </w:rPr>
      </w:pPr>
      <w:r w:rsidRPr="00071700">
        <w:rPr>
          <w:sz w:val="24"/>
          <w:szCs w:val="24"/>
        </w:rPr>
        <w:t>The transmitter and receiver were aligned linearly at the 10.0 cm and 100.0 cm marks, respectively, with both horns initially oriented vertically. To test the polarization response of the receiver’s Schottky diode, the transmitter was rotated about its longitudinal axis in 5° increments from 0° to 180°. The receiver remained stationary, and the varying signal magnitude was recorded at each rotational step.</w:t>
      </w:r>
    </w:p>
    <w:p w14:paraId="20B641DD" w14:textId="547F3287" w:rsidR="00770036" w:rsidRDefault="003F4D07" w:rsidP="00770036">
      <w:pPr>
        <w:pStyle w:val="Heading2"/>
        <w:numPr>
          <w:ilvl w:val="0"/>
          <w:numId w:val="5"/>
        </w:numPr>
      </w:pPr>
      <w:r w:rsidRPr="003F4D07">
        <w:t xml:space="preserve">Reflection </w:t>
      </w:r>
    </w:p>
    <w:p w14:paraId="5F8367DA" w14:textId="191DA100" w:rsidR="003F4D07" w:rsidRPr="00071700" w:rsidRDefault="003F4D07" w:rsidP="003F4D07">
      <w:pPr>
        <w:pStyle w:val="BodyText"/>
        <w:rPr>
          <w:sz w:val="24"/>
          <w:szCs w:val="24"/>
        </w:rPr>
      </w:pPr>
      <w:r w:rsidRPr="00071700">
        <w:rPr>
          <w:sz w:val="24"/>
          <w:szCs w:val="24"/>
        </w:rPr>
        <w:t>A flat metal reflector plate was mounted at the rotational center of the goniometer. The transmitter was placed on the fixed arm at the 25.0 cm mark, and the receiver on the movable arm at the 100.0 cm mark. For designated angles of incidence ranging from 20° to 80° (measured relative to the reflector's normal vector), the movable arm was swept to locate the angular position of the maximum reflected signal.</w:t>
      </w:r>
    </w:p>
    <w:p w14:paraId="26CC32C9" w14:textId="2F70E604" w:rsidR="00770036" w:rsidRDefault="003F4D07" w:rsidP="00770036">
      <w:pPr>
        <w:pStyle w:val="Heading2"/>
        <w:numPr>
          <w:ilvl w:val="0"/>
          <w:numId w:val="5"/>
        </w:numPr>
      </w:pPr>
      <w:r w:rsidRPr="003F4D07">
        <w:t>Refraction</w:t>
      </w:r>
    </w:p>
    <w:p w14:paraId="13C7DDD1" w14:textId="2CCF4664" w:rsidR="008337F6" w:rsidRPr="00071700" w:rsidRDefault="003F4D07" w:rsidP="003F4D07">
      <w:pPr>
        <w:pStyle w:val="BodyText"/>
        <w:rPr>
          <w:sz w:val="24"/>
          <w:szCs w:val="24"/>
        </w:rPr>
      </w:pPr>
      <w:r w:rsidRPr="003F4D07">
        <w:t xml:space="preserve"> </w:t>
      </w:r>
      <w:r w:rsidRPr="00071700">
        <w:rPr>
          <w:sz w:val="24"/>
          <w:szCs w:val="24"/>
        </w:rPr>
        <w:t>A hollow, triangular styrene prism mold with a measured apex angle of 20° was filled with styrene pellets and placed at the center of the goniometer. The transmitter and receiver horns were rotated 90° so that their internal slits were horizontal to minimize boundary reflections. The transmitter was directed at the flat face of the prism at normal incidence. The movable receiver arm was then rotated to empirically determine the angle of maximum signal deflection exiting the hypotenuse of the prism.</w:t>
      </w:r>
    </w:p>
    <w:p w14:paraId="122593BF" w14:textId="77777777" w:rsidR="003F4D07" w:rsidRPr="003F4D07" w:rsidRDefault="003F4D07" w:rsidP="003F4D07">
      <w:pPr>
        <w:pStyle w:val="BodyText"/>
      </w:pPr>
    </w:p>
    <w:p w14:paraId="75955884" w14:textId="1224701B" w:rsidR="008337F6" w:rsidRDefault="008337F6" w:rsidP="008337F6">
      <w:pPr>
        <w:pStyle w:val="Heading1"/>
        <w:numPr>
          <w:ilvl w:val="0"/>
          <w:numId w:val="1"/>
        </w:numPr>
        <w:tabs>
          <w:tab w:val="num" w:pos="360"/>
        </w:tabs>
        <w:ind w:left="0" w:firstLine="0"/>
      </w:pPr>
      <w:r>
        <w:t>Results</w:t>
      </w:r>
      <w:r w:rsidR="001F504F">
        <w:t xml:space="preserve"> &amp; Discussion</w:t>
      </w:r>
    </w:p>
    <w:p w14:paraId="35C1E08E" w14:textId="2B3E2F55" w:rsidR="00835D18" w:rsidRPr="00835D18" w:rsidRDefault="00835D18" w:rsidP="004E2BAE">
      <w:pPr>
        <w:pStyle w:val="Heading2"/>
        <w:ind w:left="1080"/>
        <w:jc w:val="left"/>
        <w:rPr>
          <w:rFonts w:eastAsia="SimSun"/>
        </w:rPr>
      </w:pPr>
      <w:r w:rsidRPr="00835D18">
        <w:rPr>
          <w:rFonts w:eastAsia="SimSun"/>
        </w:rPr>
        <w:t>Angular Beam Spread</w:t>
      </w:r>
    </w:p>
    <w:p w14:paraId="69D07151" w14:textId="77777777" w:rsidR="00835D18" w:rsidRPr="00071700" w:rsidRDefault="00835D18" w:rsidP="00835D18">
      <w:pPr>
        <w:pStyle w:val="BodyText"/>
        <w:rPr>
          <w:sz w:val="24"/>
          <w:szCs w:val="24"/>
          <w:lang w:val="en-US"/>
        </w:rPr>
      </w:pPr>
      <w:r w:rsidRPr="00071700">
        <w:rPr>
          <w:sz w:val="24"/>
          <w:szCs w:val="24"/>
          <w:lang w:val="en-US"/>
        </w:rPr>
        <w:t xml:space="preserve">The spatial distribution of the microwave beam </w:t>
      </w:r>
      <w:proofErr w:type="gramStart"/>
      <w:r w:rsidRPr="00071700">
        <w:rPr>
          <w:sz w:val="24"/>
          <w:szCs w:val="24"/>
          <w:lang w:val="en-US"/>
        </w:rPr>
        <w:t>was plotted</w:t>
      </w:r>
      <w:proofErr w:type="gramEnd"/>
      <w:r w:rsidRPr="00071700">
        <w:rPr>
          <w:sz w:val="24"/>
          <w:szCs w:val="24"/>
          <w:lang w:val="en-US"/>
        </w:rPr>
        <w:t xml:space="preserve"> on a polar coordinate system to visualize the main radiation lobe. The </w:t>
      </w:r>
      <w:proofErr w:type="gramStart"/>
      <w:r w:rsidRPr="00071700">
        <w:rPr>
          <w:sz w:val="24"/>
          <w:szCs w:val="24"/>
          <w:lang w:val="en-US"/>
        </w:rPr>
        <w:t>full-width</w:t>
      </w:r>
      <w:proofErr w:type="gramEnd"/>
      <w:r w:rsidRPr="00071700">
        <w:rPr>
          <w:sz w:val="24"/>
          <w:szCs w:val="24"/>
          <w:lang w:val="en-US"/>
        </w:rPr>
        <w:t xml:space="preserve"> at half-maximum (FWHM) </w:t>
      </w:r>
      <w:proofErr w:type="gramStart"/>
      <w:r w:rsidRPr="00071700">
        <w:rPr>
          <w:sz w:val="24"/>
          <w:szCs w:val="24"/>
          <w:lang w:val="en-US"/>
        </w:rPr>
        <w:t>was calculated</w:t>
      </w:r>
      <w:proofErr w:type="gramEnd"/>
      <w:r w:rsidRPr="00071700">
        <w:rPr>
          <w:sz w:val="24"/>
          <w:szCs w:val="24"/>
          <w:lang w:val="en-US"/>
        </w:rPr>
        <w:t xml:space="preserve"> by finding the angular distance between the two points where the signal intensity dropped to 0.5 relative to the central maximum. The experimental FWHM </w:t>
      </w:r>
      <w:proofErr w:type="gramStart"/>
      <w:r w:rsidRPr="00071700">
        <w:rPr>
          <w:sz w:val="24"/>
          <w:szCs w:val="24"/>
          <w:lang w:val="en-US"/>
        </w:rPr>
        <w:t>was found</w:t>
      </w:r>
      <w:proofErr w:type="gramEnd"/>
      <w:r w:rsidRPr="00071700">
        <w:rPr>
          <w:sz w:val="24"/>
          <w:szCs w:val="24"/>
          <w:lang w:val="en-US"/>
        </w:rPr>
        <w:t xml:space="preserve"> to be 24°, indicating a highly symmetric and well-defined forward beam characteristic of the transmitter's horn antenna.</w:t>
      </w:r>
    </w:p>
    <w:p w14:paraId="7C981713" w14:textId="52D4EEFA" w:rsidR="00835D18" w:rsidRDefault="00690B40" w:rsidP="00835D18">
      <w:pPr>
        <w:pStyle w:val="BodyText"/>
        <w:rPr>
          <w:lang w:val="en-US"/>
        </w:rPr>
      </w:pPr>
      <w:r w:rsidRPr="00690B40">
        <w:rPr>
          <w:lang w:val="en-US"/>
        </w:rPr>
        <w:drawing>
          <wp:inline distT="0" distB="0" distL="0" distR="0" wp14:anchorId="4DE0BE91" wp14:editId="6D11C190">
            <wp:extent cx="3195955" cy="3143250"/>
            <wp:effectExtent l="0" t="0" r="4445" b="0"/>
            <wp:docPr id="78623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30803" name=""/>
                    <pic:cNvPicPr/>
                  </pic:nvPicPr>
                  <pic:blipFill>
                    <a:blip r:embed="rId7"/>
                    <a:stretch>
                      <a:fillRect/>
                    </a:stretch>
                  </pic:blipFill>
                  <pic:spPr>
                    <a:xfrm>
                      <a:off x="0" y="0"/>
                      <a:ext cx="3195955" cy="3143250"/>
                    </a:xfrm>
                    <a:prstGeom prst="rect">
                      <a:avLst/>
                    </a:prstGeom>
                  </pic:spPr>
                </pic:pic>
              </a:graphicData>
            </a:graphic>
          </wp:inline>
        </w:drawing>
      </w:r>
    </w:p>
    <w:p w14:paraId="2072A677" w14:textId="77777777" w:rsidR="00EA44EE" w:rsidRPr="00835D18" w:rsidRDefault="00EA44EE" w:rsidP="00835D18">
      <w:pPr>
        <w:pStyle w:val="BodyText"/>
        <w:rPr>
          <w:lang w:val="en-US"/>
        </w:rPr>
      </w:pPr>
    </w:p>
    <w:p w14:paraId="71BA2E42" w14:textId="0C6B673A" w:rsidR="00835D18" w:rsidRPr="00835D18" w:rsidRDefault="00835D18" w:rsidP="00AA50D2">
      <w:pPr>
        <w:pStyle w:val="Heading2"/>
        <w:ind w:left="1080"/>
        <w:jc w:val="both"/>
      </w:pPr>
      <w:r w:rsidRPr="00835D18">
        <w:lastRenderedPageBreak/>
        <w:t>Standing Waves</w:t>
      </w:r>
    </w:p>
    <w:p w14:paraId="0E8D8BA5" w14:textId="4BA845AB" w:rsidR="00835D18" w:rsidRPr="00576E87" w:rsidRDefault="00835D18" w:rsidP="00576E87">
      <w:pPr>
        <w:pStyle w:val="BodyText"/>
        <w:rPr>
          <w:sz w:val="24"/>
          <w:szCs w:val="24"/>
          <w:lang w:val="en-US"/>
        </w:rPr>
      </w:pPr>
      <w:r w:rsidRPr="00071700">
        <w:rPr>
          <w:sz w:val="24"/>
          <w:szCs w:val="24"/>
          <w:lang w:val="en-US"/>
        </w:rPr>
        <w:t>Moving the receiver away from the transmitter produced a clear periodic interference pattern. The distance between adjacent signal maxima represents half of the wavelength (</w:t>
      </w:r>
      <m:oMath>
        <m:r>
          <m:rPr>
            <m:sty m:val="p"/>
          </m:rPr>
          <w:rPr>
            <w:rFonts w:ascii="Cambria Math" w:hAnsi="Cambria Math"/>
            <w:sz w:val="24"/>
            <w:szCs w:val="24"/>
            <w:lang w:val="en-US"/>
          </w:rPr>
          <m:t>λ</m:t>
        </m:r>
        <m:r>
          <m:rPr>
            <m:lit/>
          </m:rPr>
          <w:rPr>
            <w:rFonts w:ascii="Cambria Math" w:hAnsi="Cambria Math"/>
            <w:sz w:val="24"/>
            <w:szCs w:val="24"/>
            <w:lang w:val="en-US"/>
          </w:rPr>
          <m:t>/</m:t>
        </m:r>
        <m:r>
          <w:rPr>
            <w:rFonts w:ascii="Cambria Math" w:hAnsi="Cambria Math"/>
            <w:sz w:val="24"/>
            <w:szCs w:val="24"/>
            <w:lang w:val="en-US"/>
          </w:rPr>
          <m:t>2</m:t>
        </m:r>
      </m:oMath>
      <w:r w:rsidRPr="00071700">
        <w:rPr>
          <w:sz w:val="24"/>
          <w:szCs w:val="24"/>
          <w:lang w:val="en-US"/>
        </w:rPr>
        <w:t xml:space="preserve">). The average spacing between peaks </w:t>
      </w:r>
      <w:proofErr w:type="gramStart"/>
      <w:r w:rsidRPr="00071700">
        <w:rPr>
          <w:sz w:val="24"/>
          <w:szCs w:val="24"/>
          <w:lang w:val="en-US"/>
        </w:rPr>
        <w:t>was measured</w:t>
      </w:r>
      <w:proofErr w:type="gramEnd"/>
      <w:r w:rsidRPr="00071700">
        <w:rPr>
          <w:sz w:val="24"/>
          <w:szCs w:val="24"/>
          <w:lang w:val="en-US"/>
        </w:rPr>
        <w:t xml:space="preserve"> to be 1.40 cm, yielding an experimental wavelength of</w:t>
      </w:r>
      <w:r w:rsidR="00EB36AC">
        <w:rPr>
          <w:sz w:val="24"/>
          <w:szCs w:val="24"/>
          <w:lang w:val="en-US"/>
        </w:rPr>
        <w:t xml:space="preserve"> </w:t>
      </w:r>
      <m:oMath>
        <m:r>
          <m:rPr>
            <m:sty m:val="p"/>
          </m:rPr>
          <w:rPr>
            <w:rFonts w:ascii="Cambria Math" w:hAnsi="Cambria Math"/>
            <w:sz w:val="24"/>
            <w:szCs w:val="24"/>
            <w:lang w:val="en-US"/>
          </w:rPr>
          <m:t>λ</m:t>
        </m:r>
        <m:r>
          <w:rPr>
            <w:rFonts w:ascii="Cambria Math" w:hAnsi="Cambria Math"/>
            <w:sz w:val="24"/>
            <w:szCs w:val="24"/>
            <w:lang w:val="en-US"/>
          </w:rPr>
          <m:t>= 2.80</m:t>
        </m:r>
      </m:oMath>
      <w:r w:rsidRPr="00071700">
        <w:rPr>
          <w:sz w:val="24"/>
          <w:szCs w:val="24"/>
          <w:lang w:val="en-US"/>
        </w:rPr>
        <w:t>cm.</w:t>
      </w:r>
    </w:p>
    <w:p w14:paraId="32A09052" w14:textId="513365A2" w:rsidR="00DB6F68" w:rsidRDefault="00835D18" w:rsidP="00A200C7">
      <w:pPr>
        <w:pStyle w:val="BodyText"/>
        <w:rPr>
          <w:sz w:val="24"/>
          <w:szCs w:val="24"/>
          <w:lang w:val="en-US"/>
        </w:rPr>
      </w:pPr>
      <w:r w:rsidRPr="00071700">
        <w:rPr>
          <w:sz w:val="24"/>
          <w:szCs w:val="24"/>
          <w:lang w:val="en-US"/>
        </w:rPr>
        <w:t>Using the known frequency of the Gunn diode</w:t>
      </w:r>
      <w:r w:rsidR="00550DC9">
        <w:rPr>
          <w:sz w:val="24"/>
          <w:szCs w:val="24"/>
          <w:lang w:val="en-US"/>
        </w:rPr>
        <w:t xml:space="preserve"> </w:t>
      </w:r>
      <w:r w:rsidR="00576E87">
        <w:rPr>
          <w:sz w:val="24"/>
          <w:szCs w:val="24"/>
          <w:lang w:val="en-US"/>
        </w:rPr>
        <w:t>(</w:t>
      </w:r>
      <m:oMath>
        <m:r>
          <w:rPr>
            <w:rFonts w:ascii="Cambria Math" w:hAnsi="Cambria Math"/>
            <w:sz w:val="24"/>
            <w:szCs w:val="24"/>
            <w:lang w:val="en-US"/>
          </w:rPr>
          <m:t>f = 10.525</m:t>
        </m:r>
      </m:oMath>
      <w:r w:rsidR="00550DC9">
        <w:rPr>
          <w:sz w:val="24"/>
          <w:szCs w:val="24"/>
          <w:lang w:val="en-US"/>
        </w:rPr>
        <w:t xml:space="preserve"> GHz</w:t>
      </w:r>
      <w:r w:rsidR="00576E87">
        <w:rPr>
          <w:sz w:val="24"/>
          <w:szCs w:val="24"/>
          <w:lang w:val="en-US"/>
        </w:rPr>
        <w:t>)</w:t>
      </w:r>
      <w:r w:rsidR="00550DC9">
        <w:rPr>
          <w:sz w:val="24"/>
          <w:szCs w:val="24"/>
          <w:lang w:val="en-US"/>
        </w:rPr>
        <w:t xml:space="preserve"> </w:t>
      </w:r>
      <w:r w:rsidRPr="00071700">
        <w:rPr>
          <w:sz w:val="24"/>
          <w:szCs w:val="24"/>
          <w:lang w:val="en-US"/>
        </w:rPr>
        <w:t>and the speed of light</w:t>
      </w:r>
      <w:r w:rsidR="00550DC9">
        <w:rPr>
          <w:sz w:val="24"/>
          <w:szCs w:val="24"/>
          <w:lang w:val="en-US"/>
        </w:rPr>
        <w:t xml:space="preserve"> (</w:t>
      </w:r>
      <m:oMath>
        <m:r>
          <w:rPr>
            <w:rFonts w:ascii="Cambria Math" w:hAnsi="Cambria Math"/>
            <w:sz w:val="24"/>
            <w:szCs w:val="24"/>
            <w:lang w:val="en-US"/>
          </w:rPr>
          <m:t>c=3</m:t>
        </m:r>
        <m:r>
          <m:rPr>
            <m:sty m:val="p"/>
          </m:rP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10</m:t>
            </m:r>
            <m:ctrlPr>
              <w:rPr>
                <w:rFonts w:ascii="Cambria Math" w:hAnsi="Cambria Math"/>
                <w:sz w:val="24"/>
                <w:szCs w:val="24"/>
                <w:lang w:val="en-US"/>
              </w:rPr>
            </m:ctrlPr>
          </m:e>
          <m:sup>
            <m:r>
              <w:rPr>
                <w:rFonts w:ascii="Cambria Math" w:hAnsi="Cambria Math"/>
                <w:sz w:val="24"/>
                <w:szCs w:val="24"/>
                <w:lang w:val="en-US"/>
              </w:rPr>
              <m:t>10</m:t>
            </m:r>
          </m:sup>
        </m:sSup>
      </m:oMath>
      <w:r w:rsidR="00550DC9">
        <w:rPr>
          <w:sz w:val="24"/>
          <w:szCs w:val="24"/>
          <w:lang w:val="en-US"/>
        </w:rPr>
        <w:t>cm</w:t>
      </w:r>
      <w:r w:rsidR="00B127AB">
        <w:rPr>
          <w:sz w:val="24"/>
          <w:szCs w:val="24"/>
          <w:lang w:val="en-US"/>
        </w:rPr>
        <w:t>/s</w:t>
      </w:r>
      <w:r w:rsidRPr="00071700">
        <w:rPr>
          <w:sz w:val="24"/>
          <w:szCs w:val="24"/>
          <w:lang w:val="en-US"/>
        </w:rPr>
        <w:t xml:space="preserve">), the theoretical wavelength </w:t>
      </w:r>
      <w:proofErr w:type="gramStart"/>
      <w:r w:rsidRPr="00071700">
        <w:rPr>
          <w:sz w:val="24"/>
          <w:szCs w:val="24"/>
          <w:lang w:val="en-US"/>
        </w:rPr>
        <w:t>was calculated</w:t>
      </w:r>
      <w:proofErr w:type="gramEnd"/>
      <w:r w:rsidRPr="00071700">
        <w:rPr>
          <w:sz w:val="24"/>
          <w:szCs w:val="24"/>
          <w:lang w:val="en-US"/>
        </w:rPr>
        <w:t>:</w:t>
      </w:r>
    </w:p>
    <w:p w14:paraId="6624F853" w14:textId="5DA28092" w:rsidR="00DB6F68" w:rsidRPr="00A200C7" w:rsidRDefault="00A200C7" w:rsidP="00835D18">
      <w:pPr>
        <w:pStyle w:val="BodyText"/>
        <w:rPr>
          <w:sz w:val="24"/>
          <w:szCs w:val="24"/>
          <w:lang w:val="en-US"/>
        </w:rPr>
      </w:pPr>
      <m:oMathPara>
        <m:oMath>
          <m:r>
            <m:rPr>
              <m:sty m:val="p"/>
            </m:rPr>
            <w:rPr>
              <w:rFonts w:ascii="Cambria Math" w:hAnsi="Cambria Math"/>
              <w:sz w:val="24"/>
              <w:szCs w:val="24"/>
              <w:lang w:val="en-US"/>
            </w:rPr>
            <m:t>λ</m:t>
          </m:r>
          <m: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c</m:t>
              </m:r>
              <m:ctrlPr>
                <w:rPr>
                  <w:rFonts w:ascii="Cambria Math" w:hAnsi="Cambria Math"/>
                  <w:i/>
                  <w:sz w:val="24"/>
                  <w:szCs w:val="24"/>
                  <w:lang w:val="en-US"/>
                </w:rPr>
              </m:ctrlPr>
            </m:num>
            <m:den>
              <m:r>
                <w:rPr>
                  <w:rFonts w:ascii="Cambria Math" w:hAnsi="Cambria Math"/>
                  <w:sz w:val="24"/>
                  <w:szCs w:val="24"/>
                  <w:lang w:val="en-US"/>
                </w:rPr>
                <m:t>f</m:t>
              </m:r>
              <m:ctrlPr>
                <w:rPr>
                  <w:rFonts w:ascii="Cambria Math" w:hAnsi="Cambria Math"/>
                  <w:i/>
                  <w:sz w:val="24"/>
                  <w:szCs w:val="24"/>
                  <w:lang w:val="en-US"/>
                </w:rPr>
              </m:ctrlPr>
            </m:den>
          </m:f>
          <m:r>
            <w:rPr>
              <w:rFonts w:ascii="Cambria Math" w:hAnsi="Cambria Math"/>
              <w:sz w:val="24"/>
              <w:szCs w:val="24"/>
              <w:lang w:val="en-US"/>
            </w:rPr>
            <m:t>=</m:t>
          </m:r>
          <m:f>
            <m:fPr>
              <m:ctrlPr>
                <w:rPr>
                  <w:rFonts w:ascii="Cambria Math" w:hAnsi="Cambria Math"/>
                  <w:sz w:val="24"/>
                  <w:szCs w:val="24"/>
                  <w:lang w:val="en-US"/>
                </w:rPr>
              </m:ctrlPr>
            </m:fPr>
            <m:num>
              <m:r>
                <w:rPr>
                  <w:rFonts w:ascii="Cambria Math" w:hAnsi="Cambria Math"/>
                  <w:sz w:val="24"/>
                  <w:szCs w:val="24"/>
                  <w:lang w:val="en-US"/>
                </w:rPr>
                <m:t>3</m:t>
              </m:r>
              <m:r>
                <m:rPr>
                  <m:sty m:val="p"/>
                </m:rP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10</m:t>
                  </m:r>
                  <m:ctrlPr>
                    <w:rPr>
                      <w:rFonts w:ascii="Cambria Math" w:hAnsi="Cambria Math"/>
                      <w:sz w:val="24"/>
                      <w:szCs w:val="24"/>
                      <w:lang w:val="en-US"/>
                    </w:rPr>
                  </m:ctrlPr>
                </m:e>
                <m:sup>
                  <m:r>
                    <w:rPr>
                      <w:rFonts w:ascii="Cambria Math" w:hAnsi="Cambria Math"/>
                      <w:sz w:val="24"/>
                      <w:szCs w:val="24"/>
                      <w:lang w:val="en-US"/>
                    </w:rPr>
                    <m:t>10</m:t>
                  </m:r>
                </m:sup>
              </m:sSup>
              <m:ctrlPr>
                <w:rPr>
                  <w:rFonts w:ascii="Cambria Math" w:hAnsi="Cambria Math"/>
                  <w:i/>
                  <w:sz w:val="24"/>
                  <w:szCs w:val="24"/>
                  <w:lang w:val="en-US"/>
                </w:rPr>
              </m:ctrlPr>
            </m:num>
            <m:den>
              <m:r>
                <w:rPr>
                  <w:rFonts w:ascii="Cambria Math" w:hAnsi="Cambria Math"/>
                  <w:sz w:val="24"/>
                  <w:szCs w:val="24"/>
                  <w:lang w:val="en-US"/>
                </w:rPr>
                <m:t>10.525</m:t>
              </m:r>
              <m:r>
                <m:rPr>
                  <m:sty m:val="p"/>
                </m:rP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10</m:t>
                  </m:r>
                  <m:ctrlPr>
                    <w:rPr>
                      <w:rFonts w:ascii="Cambria Math" w:hAnsi="Cambria Math"/>
                      <w:sz w:val="24"/>
                      <w:szCs w:val="24"/>
                      <w:lang w:val="en-US"/>
                    </w:rPr>
                  </m:ctrlPr>
                </m:e>
                <m:sup>
                  <m:r>
                    <w:rPr>
                      <w:rFonts w:ascii="Cambria Math" w:hAnsi="Cambria Math"/>
                      <w:sz w:val="24"/>
                      <w:szCs w:val="24"/>
                      <w:lang w:val="en-US"/>
                    </w:rPr>
                    <m:t>9</m:t>
                  </m:r>
                </m:sup>
              </m:sSup>
              <m:ctrlPr>
                <w:rPr>
                  <w:rFonts w:ascii="Cambria Math" w:hAnsi="Cambria Math"/>
                  <w:i/>
                  <w:sz w:val="24"/>
                  <w:szCs w:val="24"/>
                  <w:lang w:val="en-US"/>
                </w:rPr>
              </m:ctrlPr>
            </m:den>
          </m:f>
          <m:r>
            <w:rPr>
              <w:rFonts w:ascii="Cambria Math" w:hAnsi="Cambria Math"/>
              <w:sz w:val="24"/>
              <w:szCs w:val="24"/>
              <w:lang w:val="en-US"/>
            </w:rPr>
            <m:t>=2.85</m:t>
          </m:r>
          <m:r>
            <m:rPr>
              <m:nor/>
            </m:rPr>
            <w:rPr>
              <w:rFonts w:ascii="Cambria Math" w:hAnsi="Cambria Math"/>
              <w:sz w:val="24"/>
              <w:szCs w:val="24"/>
              <w:lang w:val="en-US"/>
            </w:rPr>
            <m:t>cm</m:t>
          </m:r>
        </m:oMath>
      </m:oMathPara>
    </w:p>
    <w:p w14:paraId="745A0636" w14:textId="77777777" w:rsidR="00A200C7" w:rsidRPr="00A200C7" w:rsidRDefault="00A200C7" w:rsidP="00835D18">
      <w:pPr>
        <w:pStyle w:val="BodyText"/>
        <w:rPr>
          <w:sz w:val="24"/>
          <w:szCs w:val="24"/>
          <w:lang w:val="en-US"/>
        </w:rPr>
      </w:pPr>
    </w:p>
    <w:p w14:paraId="69C0D10D" w14:textId="781234FC" w:rsidR="00835D18" w:rsidRPr="007604E0" w:rsidRDefault="00835D18" w:rsidP="007604E0">
      <w:pPr>
        <w:pStyle w:val="BodyText"/>
        <w:rPr>
          <w:sz w:val="24"/>
          <w:szCs w:val="24"/>
          <w:lang w:val="en-US"/>
        </w:rPr>
      </w:pPr>
      <w:r w:rsidRPr="00071700">
        <w:rPr>
          <w:sz w:val="24"/>
          <w:szCs w:val="24"/>
          <w:lang w:val="en-US"/>
        </w:rPr>
        <w:t xml:space="preserve">Comparing the experimental wavelength to </w:t>
      </w:r>
      <w:proofErr w:type="gramStart"/>
      <w:r w:rsidRPr="00071700">
        <w:rPr>
          <w:sz w:val="24"/>
          <w:szCs w:val="24"/>
          <w:lang w:val="en-US"/>
        </w:rPr>
        <w:t>the theoretical</w:t>
      </w:r>
      <w:proofErr w:type="gramEnd"/>
      <w:r w:rsidRPr="00071700">
        <w:rPr>
          <w:sz w:val="24"/>
          <w:szCs w:val="24"/>
          <w:lang w:val="en-US"/>
        </w:rPr>
        <w:t xml:space="preserve"> value resulted in a remarkably low percent error of 1.74%. When plotted against spatial distance, the experimental data closely tracked the theoretical</w:t>
      </w:r>
      <w:r w:rsidR="00D96E5E">
        <w:rPr>
          <w:sz w:val="24"/>
          <w:szCs w:val="24"/>
          <w:lang w:val="en-US"/>
        </w:rPr>
        <w:t xml:space="preserve"> </w:t>
      </w:r>
      <m:oMath>
        <m:func>
          <m:funcPr>
            <m:ctrlPr>
              <w:rPr>
                <w:rFonts w:ascii="Cambria Math" w:hAnsi="Cambria Math"/>
                <w:sz w:val="24"/>
                <w:szCs w:val="24"/>
                <w:lang w:val="en-US"/>
              </w:rPr>
            </m:ctrlPr>
          </m:funcPr>
          <m:fName>
            <m:sSup>
              <m:sSupPr>
                <m:ctrlPr>
                  <w:rPr>
                    <w:rFonts w:ascii="Cambria Math" w:hAnsi="Cambria Math"/>
                    <w:sz w:val="24"/>
                    <w:szCs w:val="24"/>
                    <w:lang w:val="en-US"/>
                  </w:rPr>
                </m:ctrlPr>
              </m:sSupPr>
              <m:e>
                <m:r>
                  <m:rPr>
                    <m:sty m:val="p"/>
                  </m:rPr>
                  <w:rPr>
                    <w:rFonts w:ascii="Cambria Math" w:hAnsi="Cambria Math"/>
                    <w:sz w:val="24"/>
                    <w:szCs w:val="24"/>
                    <w:lang w:val="en-US"/>
                  </w:rPr>
                  <m:t>cos</m:t>
                </m:r>
              </m:e>
              <m:sup>
                <m:r>
                  <m:rPr>
                    <m:sty m:val="p"/>
                  </m:rPr>
                  <w:rPr>
                    <w:rFonts w:ascii="Cambria Math" w:hAnsi="Cambria Math"/>
                    <w:sz w:val="24"/>
                    <w:szCs w:val="24"/>
                    <w:lang w:val="en-US"/>
                  </w:rPr>
                  <m:t>2</m:t>
                </m:r>
              </m:sup>
            </m:sSup>
            <m:ctrlPr>
              <w:rPr>
                <w:rFonts w:ascii="Cambria Math" w:hAnsi="Cambria Math"/>
                <w:i/>
                <w:sz w:val="24"/>
                <w:szCs w:val="24"/>
                <w:lang w:val="en-US"/>
              </w:rPr>
            </m:ctrlPr>
          </m:fName>
          <m:e>
            <m:d>
              <m:dPr>
                <m:ctrlPr>
                  <w:rPr>
                    <w:rFonts w:ascii="Cambria Math" w:hAnsi="Cambria Math"/>
                    <w:sz w:val="24"/>
                    <w:szCs w:val="24"/>
                    <w:lang w:val="en-US"/>
                  </w:rPr>
                </m:ctrlPr>
              </m:dPr>
              <m:e>
                <m:r>
                  <m:rPr>
                    <m:sty m:val="p"/>
                  </m:rPr>
                  <w:rPr>
                    <w:rFonts w:ascii="Cambria Math" w:hAnsi="Cambria Math"/>
                    <w:sz w:val="24"/>
                    <w:szCs w:val="24"/>
                    <w:lang w:val="en-US"/>
                  </w:rPr>
                  <m:t>kx</m:t>
                </m:r>
              </m:e>
            </m:d>
            <m:ctrlPr>
              <w:rPr>
                <w:rFonts w:ascii="Cambria Math" w:hAnsi="Cambria Math"/>
                <w:i/>
                <w:sz w:val="24"/>
                <w:szCs w:val="24"/>
                <w:lang w:val="en-US"/>
              </w:rPr>
            </m:ctrlPr>
          </m:e>
        </m:func>
      </m:oMath>
      <w:r w:rsidRPr="00071700">
        <w:rPr>
          <w:sz w:val="24"/>
          <w:szCs w:val="24"/>
          <w:lang w:val="en-US"/>
        </w:rPr>
        <w:t xml:space="preserve"> intensity curve rather than the</w:t>
      </w:r>
      <w:r w:rsidR="007604E0">
        <w:rPr>
          <w:sz w:val="24"/>
          <w:szCs w:val="24"/>
          <w:lang w:val="en-US"/>
        </w:rPr>
        <w:t xml:space="preserve"> </w:t>
      </w:r>
      <m:oMath>
        <m:d>
          <m:dPr>
            <m:begChr m:val="|"/>
            <m:endChr m:val="|"/>
            <m:ctrlPr>
              <w:rPr>
                <w:rFonts w:ascii="Cambria Math" w:hAnsi="Cambria Math"/>
                <w:sz w:val="24"/>
                <w:szCs w:val="24"/>
                <w:lang w:val="en-US"/>
              </w:rPr>
            </m:ctrlPr>
          </m:dPr>
          <m:e>
            <m:func>
              <m:funcPr>
                <m:ctrlPr>
                  <w:rPr>
                    <w:rFonts w:ascii="Cambria Math" w:hAnsi="Cambria Math"/>
                    <w:sz w:val="24"/>
                    <w:szCs w:val="24"/>
                    <w:lang w:val="en-US"/>
                  </w:rPr>
                </m:ctrlPr>
              </m:funcPr>
              <m:fName>
                <m:r>
                  <m:rPr>
                    <m:sty m:val="p"/>
                  </m:rPr>
                  <w:rPr>
                    <w:rFonts w:ascii="Cambria Math" w:hAnsi="Cambria Math"/>
                    <w:sz w:val="24"/>
                    <w:szCs w:val="24"/>
                    <w:lang w:val="en-US"/>
                  </w:rPr>
                  <m:t>cos</m:t>
                </m:r>
              </m:fName>
              <m:e>
                <m:d>
                  <m:dPr>
                    <m:ctrlPr>
                      <w:rPr>
                        <w:rFonts w:ascii="Cambria Math" w:hAnsi="Cambria Math"/>
                        <w:sz w:val="24"/>
                        <w:szCs w:val="24"/>
                        <w:lang w:val="en-US"/>
                      </w:rPr>
                    </m:ctrlPr>
                  </m:dPr>
                  <m:e>
                    <m:r>
                      <m:rPr>
                        <m:sty m:val="p"/>
                      </m:rPr>
                      <w:rPr>
                        <w:rFonts w:ascii="Cambria Math" w:hAnsi="Cambria Math"/>
                        <w:sz w:val="24"/>
                        <w:szCs w:val="24"/>
                        <w:lang w:val="en-US"/>
                      </w:rPr>
                      <m:t>kx</m:t>
                    </m:r>
                  </m:e>
                </m:d>
              </m:e>
            </m:func>
            <m:ctrlPr>
              <w:rPr>
                <w:rFonts w:ascii="Cambria Math"/>
                <w:sz w:val="24"/>
                <w:szCs w:val="24"/>
                <w:lang w:val="en-US"/>
              </w:rPr>
            </m:ctrlPr>
          </m:e>
        </m:d>
      </m:oMath>
      <w:r w:rsidRPr="00071700">
        <w:rPr>
          <w:sz w:val="24"/>
          <w:szCs w:val="24"/>
          <w:lang w:val="en-US"/>
        </w:rPr>
        <w:t xml:space="preserve"> electric field amplitude curve.</w:t>
      </w:r>
    </w:p>
    <w:p w14:paraId="2520CADF" w14:textId="60FAB134" w:rsidR="00835D18" w:rsidRDefault="00E134CA" w:rsidP="00E134CA">
      <w:pPr>
        <w:pStyle w:val="BodyText"/>
        <w:ind w:firstLine="0"/>
        <w:rPr>
          <w:lang w:val="en-US"/>
        </w:rPr>
      </w:pPr>
      <w:r w:rsidRPr="00E134CA">
        <w:rPr>
          <w:lang w:val="en-US"/>
        </w:rPr>
        <w:drawing>
          <wp:inline distT="0" distB="0" distL="0" distR="0" wp14:anchorId="0C6CF208" wp14:editId="49701EC0">
            <wp:extent cx="3195955" cy="1972945"/>
            <wp:effectExtent l="0" t="0" r="4445" b="8255"/>
            <wp:docPr id="158447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72684" name=""/>
                    <pic:cNvPicPr/>
                  </pic:nvPicPr>
                  <pic:blipFill>
                    <a:blip r:embed="rId8"/>
                    <a:stretch>
                      <a:fillRect/>
                    </a:stretch>
                  </pic:blipFill>
                  <pic:spPr>
                    <a:xfrm>
                      <a:off x="0" y="0"/>
                      <a:ext cx="3195955" cy="1972945"/>
                    </a:xfrm>
                    <a:prstGeom prst="rect">
                      <a:avLst/>
                    </a:prstGeom>
                  </pic:spPr>
                </pic:pic>
              </a:graphicData>
            </a:graphic>
          </wp:inline>
        </w:drawing>
      </w:r>
    </w:p>
    <w:p w14:paraId="06EEF0F6" w14:textId="77777777" w:rsidR="00EA44EE" w:rsidRPr="00835D18" w:rsidRDefault="00EA44EE" w:rsidP="00835D18">
      <w:pPr>
        <w:pStyle w:val="BodyText"/>
        <w:rPr>
          <w:lang w:val="en-US"/>
        </w:rPr>
      </w:pPr>
    </w:p>
    <w:p w14:paraId="76139D1B" w14:textId="4E683D23" w:rsidR="00835D18" w:rsidRPr="00835D18" w:rsidRDefault="00835D18" w:rsidP="00AA50D2">
      <w:pPr>
        <w:pStyle w:val="Heading2"/>
        <w:ind w:left="1080"/>
        <w:jc w:val="both"/>
      </w:pPr>
      <w:r w:rsidRPr="00835D18">
        <w:t>Polarization</w:t>
      </w:r>
    </w:p>
    <w:p w14:paraId="697F1BAD" w14:textId="77777777" w:rsidR="00835D18" w:rsidRPr="00071700" w:rsidRDefault="00835D18" w:rsidP="00835D18">
      <w:pPr>
        <w:pStyle w:val="BodyText"/>
        <w:rPr>
          <w:sz w:val="24"/>
          <w:szCs w:val="24"/>
          <w:lang w:val="en-US"/>
        </w:rPr>
      </w:pPr>
      <w:r w:rsidRPr="00071700">
        <w:rPr>
          <w:sz w:val="24"/>
          <w:szCs w:val="24"/>
          <w:lang w:val="en-US"/>
        </w:rPr>
        <w:t xml:space="preserve">The polarization data provided definitive insight into the operational nature of the Schottky diode receiver. As the transmitter </w:t>
      </w:r>
      <w:proofErr w:type="gramStart"/>
      <w:r w:rsidRPr="00071700">
        <w:rPr>
          <w:sz w:val="24"/>
          <w:szCs w:val="24"/>
          <w:lang w:val="en-US"/>
        </w:rPr>
        <w:t>was rotated</w:t>
      </w:r>
      <w:proofErr w:type="gramEnd"/>
      <w:r w:rsidRPr="00071700">
        <w:rPr>
          <w:sz w:val="24"/>
          <w:szCs w:val="24"/>
          <w:lang w:val="en-US"/>
        </w:rPr>
        <w:t>, the signal decayed from a maximum at 0° to zero at 90°, before rising back to a maximum at 180°.</w:t>
      </w:r>
    </w:p>
    <w:p w14:paraId="4C55BA40" w14:textId="4B7EE340" w:rsidR="00835D18" w:rsidRPr="00E134CA" w:rsidRDefault="00835D18" w:rsidP="00E134CA">
      <w:pPr>
        <w:pStyle w:val="BodyText"/>
        <w:rPr>
          <w:sz w:val="24"/>
          <w:szCs w:val="24"/>
          <w:lang w:val="en-US"/>
        </w:rPr>
      </w:pPr>
      <w:r w:rsidRPr="00071700">
        <w:rPr>
          <w:sz w:val="24"/>
          <w:szCs w:val="24"/>
          <w:lang w:val="en-US"/>
        </w:rPr>
        <w:t>When plotted against theoretical models, the data aligned perfectly with the</w:t>
      </w:r>
      <w:r w:rsidR="00E134CA">
        <w:rPr>
          <w:sz w:val="24"/>
          <w:szCs w:val="24"/>
          <w:lang w:val="en-US"/>
        </w:rPr>
        <w:t xml:space="preserve"> </w:t>
      </w:r>
      <m:oMath>
        <m:func>
          <m:funcPr>
            <m:ctrlPr>
              <w:rPr>
                <w:rFonts w:ascii="Cambria Math" w:hAnsi="Cambria Math"/>
                <w:sz w:val="24"/>
                <w:szCs w:val="24"/>
                <w:lang w:val="en-US"/>
              </w:rPr>
            </m:ctrlPr>
          </m:funcPr>
          <m:fName>
            <m:sSup>
              <m:sSupPr>
                <m:ctrlPr>
                  <w:rPr>
                    <w:rFonts w:ascii="Cambria Math" w:hAnsi="Cambria Math"/>
                    <w:sz w:val="24"/>
                    <w:szCs w:val="24"/>
                    <w:lang w:val="en-US"/>
                  </w:rPr>
                </m:ctrlPr>
              </m:sSupPr>
              <m:e>
                <m:r>
                  <m:rPr>
                    <m:sty m:val="p"/>
                  </m:rPr>
                  <w:rPr>
                    <w:rFonts w:ascii="Cambria Math" w:hAnsi="Cambria Math"/>
                    <w:sz w:val="24"/>
                    <w:szCs w:val="24"/>
                    <w:lang w:val="en-US"/>
                  </w:rPr>
                  <m:t>cos</m:t>
                </m:r>
              </m:e>
              <m:sup>
                <m:r>
                  <m:rPr>
                    <m:sty m:val="p"/>
                  </m:rPr>
                  <w:rPr>
                    <w:rFonts w:ascii="Cambria Math" w:hAnsi="Cambria Math"/>
                    <w:sz w:val="24"/>
                    <w:szCs w:val="24"/>
                    <w:lang w:val="en-US"/>
                  </w:rPr>
                  <m:t>2</m:t>
                </m:r>
              </m:sup>
            </m:sSup>
            <m:ctrlPr>
              <w:rPr>
                <w:rFonts w:ascii="Cambria Math" w:hAnsi="Cambria Math"/>
                <w:i/>
                <w:sz w:val="24"/>
                <w:szCs w:val="24"/>
                <w:lang w:val="en-US"/>
              </w:rPr>
            </m:ctrlPr>
          </m:fName>
          <m:e>
            <m:d>
              <m:dPr>
                <m:ctrlPr>
                  <w:rPr>
                    <w:rFonts w:ascii="Cambria Math" w:hAnsi="Cambria Math"/>
                    <w:sz w:val="24"/>
                    <w:szCs w:val="24"/>
                    <w:lang w:val="en-US"/>
                  </w:rPr>
                </m:ctrlPr>
              </m:dPr>
              <m:e>
                <m:r>
                  <m:rPr>
                    <m:sty m:val="p"/>
                  </m:rPr>
                  <w:rPr>
                    <w:rFonts w:ascii="Cambria Math" w:hAnsi="Cambria Math"/>
                    <w:sz w:val="24"/>
                    <w:szCs w:val="24"/>
                    <w:lang w:val="en-US"/>
                  </w:rPr>
                  <m:t>θ</m:t>
                </m:r>
              </m:e>
            </m:d>
            <m:ctrlPr>
              <w:rPr>
                <w:rFonts w:ascii="Cambria Math" w:hAnsi="Cambria Math"/>
                <w:i/>
                <w:sz w:val="24"/>
                <w:szCs w:val="24"/>
                <w:lang w:val="en-US"/>
              </w:rPr>
            </m:ctrlPr>
          </m:e>
        </m:func>
      </m:oMath>
      <w:r w:rsidRPr="00071700">
        <w:rPr>
          <w:sz w:val="24"/>
          <w:szCs w:val="24"/>
          <w:lang w:val="en-US"/>
        </w:rPr>
        <w:t xml:space="preserve"> distribution. This alignment verifies that Malus’s Law governs the system and that the receiver diode measures the intensity (power per unit area) of the incident </w:t>
      </w:r>
      <w:r w:rsidRPr="00071700">
        <w:rPr>
          <w:sz w:val="24"/>
          <w:szCs w:val="24"/>
          <w:lang w:val="en-US"/>
        </w:rPr>
        <w:t>microwave radiation rather than the raw electric field amplitude.</w:t>
      </w:r>
    </w:p>
    <w:p w14:paraId="0FD71380" w14:textId="21CA8C0E" w:rsidR="00835D18" w:rsidRPr="00835D18" w:rsidRDefault="00F637AD" w:rsidP="00F637AD">
      <w:pPr>
        <w:pStyle w:val="BodyText"/>
        <w:ind w:firstLine="0"/>
        <w:rPr>
          <w:lang w:val="en-US"/>
        </w:rPr>
      </w:pPr>
      <w:r w:rsidRPr="00F637AD">
        <w:rPr>
          <w:lang w:val="en-US"/>
        </w:rPr>
        <w:drawing>
          <wp:inline distT="0" distB="0" distL="0" distR="0" wp14:anchorId="726BBF69" wp14:editId="41D2C8FC">
            <wp:extent cx="3195955" cy="1977390"/>
            <wp:effectExtent l="0" t="0" r="4445" b="3810"/>
            <wp:docPr id="47736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61749" name=""/>
                    <pic:cNvPicPr/>
                  </pic:nvPicPr>
                  <pic:blipFill>
                    <a:blip r:embed="rId9"/>
                    <a:stretch>
                      <a:fillRect/>
                    </a:stretch>
                  </pic:blipFill>
                  <pic:spPr>
                    <a:xfrm>
                      <a:off x="0" y="0"/>
                      <a:ext cx="3195955" cy="1977390"/>
                    </a:xfrm>
                    <a:prstGeom prst="rect">
                      <a:avLst/>
                    </a:prstGeom>
                  </pic:spPr>
                </pic:pic>
              </a:graphicData>
            </a:graphic>
          </wp:inline>
        </w:drawing>
      </w:r>
    </w:p>
    <w:p w14:paraId="4913DEB4" w14:textId="50BB7102" w:rsidR="00835D18" w:rsidRPr="00835D18" w:rsidRDefault="00835D18" w:rsidP="00AA50D2">
      <w:pPr>
        <w:pStyle w:val="Heading2"/>
        <w:ind w:left="1080"/>
        <w:jc w:val="both"/>
      </w:pPr>
      <w:r w:rsidRPr="00835D18">
        <w:t>Reflection</w:t>
      </w:r>
    </w:p>
    <w:p w14:paraId="1A538AFE" w14:textId="55E98078" w:rsidR="00835D18" w:rsidRPr="00635484" w:rsidRDefault="00835D18" w:rsidP="00634523">
      <w:pPr>
        <w:pStyle w:val="BodyText"/>
        <w:rPr>
          <w:sz w:val="24"/>
          <w:szCs w:val="24"/>
          <w:lang w:val="en-US"/>
        </w:rPr>
      </w:pPr>
      <w:r w:rsidRPr="00071700">
        <w:rPr>
          <w:sz w:val="24"/>
          <w:szCs w:val="24"/>
          <w:lang w:val="en-US"/>
        </w:rPr>
        <w:t>The law of reflection dictates that the angle of incidence must equal the angle of reflection</w:t>
      </w:r>
      <w:r w:rsidR="00635484">
        <w:rPr>
          <w:sz w:val="24"/>
          <w:szCs w:val="24"/>
          <w:lang w:val="en-US"/>
        </w:rPr>
        <w:t xml:space="preserve"> </w:t>
      </w:r>
      <m:oMath>
        <m:sSub>
          <m:sSubPr>
            <m:ctrlPr>
              <w:rPr>
                <w:rFonts w:ascii="Cambria Math" w:hAnsi="Cambria Math"/>
                <w:sz w:val="24"/>
                <w:szCs w:val="24"/>
                <w:lang w:val="en-US"/>
              </w:rPr>
            </m:ctrlPr>
          </m:sSubPr>
          <m:e>
            <m:r>
              <m:rPr>
                <m:sty m:val="p"/>
              </m:rPr>
              <w:rPr>
                <w:rFonts w:ascii="Cambria Math" w:hAnsi="Cambria Math"/>
                <w:sz w:val="24"/>
                <w:szCs w:val="24"/>
                <w:lang w:val="en-US"/>
              </w:rPr>
              <m:t>θ</m:t>
            </m:r>
          </m:e>
          <m:sub>
            <m:r>
              <m:rPr>
                <m:sty m:val="p"/>
              </m:rPr>
              <w:rPr>
                <w:rFonts w:ascii="Cambria Math" w:hAnsi="Cambria Math"/>
                <w:sz w:val="24"/>
                <w:szCs w:val="24"/>
                <w:lang w:val="en-US"/>
              </w:rPr>
              <m:t>i</m:t>
            </m:r>
          </m:sub>
        </m:sSub>
        <m:r>
          <m:rPr>
            <m:sty m:val="p"/>
          </m:rPr>
          <w:rPr>
            <w:rFonts w:ascii="Cambria Math" w:hAnsi="Cambria Math"/>
            <w:sz w:val="24"/>
            <w:szCs w:val="24"/>
            <w:lang w:val="en-US"/>
          </w:rPr>
          <m:t>=</m:t>
        </m:r>
        <m:sSub>
          <m:sSubPr>
            <m:ctrlPr>
              <w:rPr>
                <w:rFonts w:ascii="Cambria Math" w:hAnsi="Cambria Math"/>
                <w:sz w:val="24"/>
                <w:szCs w:val="24"/>
                <w:lang w:val="en-US"/>
              </w:rPr>
            </m:ctrlPr>
          </m:sSubPr>
          <m:e>
            <m:r>
              <m:rPr>
                <m:sty m:val="p"/>
              </m:rPr>
              <w:rPr>
                <w:rFonts w:ascii="Cambria Math" w:hAnsi="Cambria Math"/>
                <w:sz w:val="24"/>
                <w:szCs w:val="24"/>
                <w:lang w:val="en-US"/>
              </w:rPr>
              <m:t>θ</m:t>
            </m:r>
          </m:e>
          <m:sub>
            <m:r>
              <m:rPr>
                <m:sty m:val="p"/>
              </m:rPr>
              <w:rPr>
                <w:rFonts w:ascii="Cambria Math" w:hAnsi="Cambria Math"/>
                <w:sz w:val="24"/>
                <w:szCs w:val="24"/>
                <w:lang w:val="en-US"/>
              </w:rPr>
              <m:t>r</m:t>
            </m:r>
          </m:sub>
        </m:sSub>
      </m:oMath>
      <w:r w:rsidRPr="00071700">
        <w:rPr>
          <w:sz w:val="24"/>
          <w:szCs w:val="24"/>
          <w:lang w:val="en-US"/>
        </w:rPr>
        <w:t xml:space="preserve">. Experimental measurements taken between incidence angles of 20° and 50° demonstrated a strong linear correlation with a slope approaching </w:t>
      </w:r>
      <w:proofErr w:type="gramStart"/>
      <w:r w:rsidRPr="00071700">
        <w:rPr>
          <w:sz w:val="24"/>
          <w:szCs w:val="24"/>
          <w:lang w:val="en-US"/>
        </w:rPr>
        <w:t>1</w:t>
      </w:r>
      <w:proofErr w:type="gramEnd"/>
      <w:r w:rsidRPr="00071700">
        <w:rPr>
          <w:sz w:val="24"/>
          <w:szCs w:val="24"/>
          <w:lang w:val="en-US"/>
        </w:rPr>
        <w:t>, validating the theoretical model. While physical limitations of the goniometer apparatus prevented accurate data collection at incidence angles of 60° and above, the available data robustly supports the classical geometric optics principle of reflection.</w:t>
      </w:r>
    </w:p>
    <w:p w14:paraId="1207DF75" w14:textId="4BFCD64D" w:rsidR="00835D18" w:rsidRPr="00835D18" w:rsidRDefault="00E846E0" w:rsidP="00E846E0">
      <w:pPr>
        <w:pStyle w:val="BodyText"/>
        <w:ind w:firstLine="0"/>
        <w:rPr>
          <w:lang w:val="en-US"/>
        </w:rPr>
      </w:pPr>
      <w:r w:rsidRPr="00E846E0">
        <w:rPr>
          <w:lang w:val="en-US"/>
        </w:rPr>
        <w:drawing>
          <wp:inline distT="0" distB="0" distL="0" distR="0" wp14:anchorId="3DB6372B" wp14:editId="25067EE8">
            <wp:extent cx="3195955" cy="3211195"/>
            <wp:effectExtent l="0" t="0" r="4445" b="8255"/>
            <wp:docPr id="6467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5181" name=""/>
                    <pic:cNvPicPr/>
                  </pic:nvPicPr>
                  <pic:blipFill>
                    <a:blip r:embed="rId10"/>
                    <a:stretch>
                      <a:fillRect/>
                    </a:stretch>
                  </pic:blipFill>
                  <pic:spPr>
                    <a:xfrm>
                      <a:off x="0" y="0"/>
                      <a:ext cx="3195955" cy="3211195"/>
                    </a:xfrm>
                    <a:prstGeom prst="rect">
                      <a:avLst/>
                    </a:prstGeom>
                  </pic:spPr>
                </pic:pic>
              </a:graphicData>
            </a:graphic>
          </wp:inline>
        </w:drawing>
      </w:r>
    </w:p>
    <w:p w14:paraId="53145349" w14:textId="44167F11" w:rsidR="00835D18" w:rsidRPr="00835D18" w:rsidRDefault="00835D18" w:rsidP="00AA50D2">
      <w:pPr>
        <w:pStyle w:val="Heading2"/>
        <w:ind w:left="1080"/>
        <w:jc w:val="left"/>
      </w:pPr>
      <w:r w:rsidRPr="00835D18">
        <w:lastRenderedPageBreak/>
        <w:t>Refraction</w:t>
      </w:r>
    </w:p>
    <w:p w14:paraId="4DCBF1CF" w14:textId="69120B3F" w:rsidR="00835D18" w:rsidRPr="00571DAD" w:rsidRDefault="00835D18" w:rsidP="00571DAD">
      <w:pPr>
        <w:pStyle w:val="BodyText"/>
        <w:rPr>
          <w:sz w:val="24"/>
          <w:szCs w:val="24"/>
          <w:lang w:val="en-US"/>
        </w:rPr>
      </w:pPr>
      <w:r w:rsidRPr="00071700">
        <w:rPr>
          <w:sz w:val="24"/>
          <w:szCs w:val="24"/>
          <w:lang w:val="en-US"/>
        </w:rPr>
        <w:t xml:space="preserve">The refractive properties of the styrene pellets </w:t>
      </w:r>
      <w:proofErr w:type="gramStart"/>
      <w:r w:rsidRPr="00071700">
        <w:rPr>
          <w:sz w:val="24"/>
          <w:szCs w:val="24"/>
          <w:lang w:val="en-US"/>
        </w:rPr>
        <w:t>were analyzed</w:t>
      </w:r>
      <w:proofErr w:type="gramEnd"/>
      <w:r w:rsidRPr="00071700">
        <w:rPr>
          <w:sz w:val="24"/>
          <w:szCs w:val="24"/>
          <w:lang w:val="en-US"/>
        </w:rPr>
        <w:t xml:space="preserve"> utilizing Snell's Law. With the microwave beam entering the flat face of the prism at normal incidence, the beam traversed the styrene medium</w:t>
      </w:r>
      <w:r w:rsidR="00E846E0">
        <w:rPr>
          <w:sz w:val="24"/>
          <w:szCs w:val="24"/>
          <w:lang w:val="en-US"/>
        </w:rPr>
        <w:t xml:space="preserve"> (</w:t>
      </w:r>
      <m:oMath>
        <m:sSub>
          <m:sSubPr>
            <m:ctrlPr>
              <w:rPr>
                <w:rFonts w:ascii="Cambria Math" w:hAnsi="Cambria Math"/>
                <w:i/>
                <w:sz w:val="24"/>
                <w:szCs w:val="24"/>
                <w:lang w:val="en-US"/>
              </w:rPr>
            </m:ctrlPr>
          </m:sSubPr>
          <m:e>
            <m:r>
              <w:rPr>
                <w:rFonts w:ascii="Cambria Math" w:hAnsi="Cambria Math"/>
                <w:sz w:val="24"/>
                <w:szCs w:val="24"/>
                <w:lang w:val="en-US"/>
              </w:rPr>
              <m:t>n</m:t>
            </m:r>
          </m:e>
          <m:sub>
            <m:r>
              <w:rPr>
                <w:rFonts w:ascii="Cambria Math" w:hAnsi="Cambria Math"/>
                <w:sz w:val="24"/>
                <w:szCs w:val="24"/>
                <w:lang w:val="en-US"/>
              </w:rPr>
              <m:t>1</m:t>
            </m:r>
          </m:sub>
        </m:sSub>
      </m:oMath>
      <w:r w:rsidRPr="00071700">
        <w:rPr>
          <w:sz w:val="24"/>
          <w:szCs w:val="24"/>
          <w:lang w:val="en-US"/>
        </w:rPr>
        <w:t xml:space="preserve">) and exited the hypotenuse into the air </w:t>
      </w:r>
      <w:proofErr w:type="gramStart"/>
      <w:r w:rsidR="001F559E">
        <w:rPr>
          <w:sz w:val="24"/>
          <w:szCs w:val="24"/>
          <w:lang w:val="en-US"/>
        </w:rPr>
        <w:t xml:space="preserve">   </w:t>
      </w:r>
      <w:r w:rsidRPr="00071700">
        <w:rPr>
          <w:sz w:val="24"/>
          <w:szCs w:val="24"/>
          <w:lang w:val="en-US"/>
        </w:rPr>
        <w:t>(</w:t>
      </w:r>
      <w:proofErr w:type="gramEnd"/>
      <m:oMath>
        <m:sSub>
          <m:sSubPr>
            <m:ctrlPr>
              <w:rPr>
                <w:rFonts w:ascii="Cambria Math" w:hAnsi="Cambria Math"/>
                <w:i/>
                <w:sz w:val="24"/>
                <w:szCs w:val="24"/>
                <w:lang w:val="en-US"/>
              </w:rPr>
            </m:ctrlPr>
          </m:sSubPr>
          <m:e>
            <m:r>
              <w:rPr>
                <w:rFonts w:ascii="Cambria Math" w:hAnsi="Cambria Math"/>
                <w:sz w:val="24"/>
                <w:szCs w:val="24"/>
                <w:lang w:val="en-US"/>
              </w:rPr>
              <m:t>n</m:t>
            </m:r>
          </m:e>
          <m:sub>
            <m:r>
              <w:rPr>
                <w:rFonts w:ascii="Cambria Math" w:hAnsi="Cambria Math"/>
                <w:sz w:val="24"/>
                <w:szCs w:val="24"/>
                <w:lang w:val="en-US"/>
              </w:rPr>
              <m:t>2</m:t>
            </m:r>
          </m:sub>
        </m:sSub>
        <m:r>
          <m:rPr>
            <m:sty m:val="p"/>
          </m:rPr>
          <w:rPr>
            <w:rFonts w:ascii="Cambria Math" w:hAnsi="Cambria Math" w:hint="eastAsia"/>
            <w:sz w:val="24"/>
            <w:szCs w:val="24"/>
            <w:lang w:val="en-US"/>
          </w:rPr>
          <m:t>≈</m:t>
        </m:r>
        <m:r>
          <w:rPr>
            <w:rFonts w:ascii="Cambria Math" w:hAnsi="Cambria Math"/>
            <w:sz w:val="24"/>
            <w:szCs w:val="24"/>
            <w:lang w:val="en-US"/>
          </w:rPr>
          <m:t>1.0</m:t>
        </m:r>
      </m:oMath>
      <w:r w:rsidRPr="00071700">
        <w:rPr>
          <w:sz w:val="24"/>
          <w:szCs w:val="24"/>
          <w:lang w:val="en-US"/>
        </w:rPr>
        <w:t xml:space="preserve">). The physical prism angle </w:t>
      </w:r>
      <w:proofErr w:type="gramStart"/>
      <w:r w:rsidRPr="00071700">
        <w:rPr>
          <w:sz w:val="24"/>
          <w:szCs w:val="24"/>
          <w:lang w:val="en-US"/>
        </w:rPr>
        <w:t>was measured</w:t>
      </w:r>
      <w:proofErr w:type="gramEnd"/>
      <w:r w:rsidRPr="00071700">
        <w:rPr>
          <w:sz w:val="24"/>
          <w:szCs w:val="24"/>
          <w:lang w:val="en-US"/>
        </w:rPr>
        <w:t xml:space="preserve"> as</w:t>
      </w:r>
      <w:r w:rsidR="001F559E">
        <w:rPr>
          <w:sz w:val="24"/>
          <w:szCs w:val="24"/>
          <w:lang w:val="en-US"/>
        </w:rPr>
        <w:t xml:space="preserve"> </w:t>
      </w:r>
      <m:oMath>
        <m:sSub>
          <m:sSubPr>
            <m:ctrlPr>
              <w:rPr>
                <w:rFonts w:ascii="Cambria Math" w:hAnsi="Cambria Math"/>
                <w:sz w:val="24"/>
                <w:szCs w:val="24"/>
                <w:lang w:val="en-US"/>
              </w:rPr>
            </m:ctrlPr>
          </m:sSubPr>
          <m:e>
            <m:r>
              <m:rPr>
                <m:sty m:val="p"/>
              </m:rPr>
              <w:rPr>
                <w:rFonts w:ascii="Cambria Math" w:hAnsi="Cambria Math"/>
                <w:sz w:val="24"/>
                <w:szCs w:val="24"/>
                <w:lang w:val="en-US"/>
              </w:rPr>
              <m:t>θ</m:t>
            </m:r>
          </m:e>
          <m:sub>
            <m:r>
              <m:rPr>
                <m:sty m:val="p"/>
              </m:rPr>
              <w:rPr>
                <w:rFonts w:ascii="Cambria Math" w:hAnsi="Cambria Math"/>
                <w:sz w:val="24"/>
                <w:szCs w:val="24"/>
                <w:lang w:val="en-US"/>
              </w:rPr>
              <m:t>1</m:t>
            </m:r>
          </m:sub>
        </m:sSub>
        <m:r>
          <m:rPr>
            <m:sty m:val="p"/>
          </m:rPr>
          <w:rPr>
            <w:rFonts w:ascii="Cambria Math" w:hAnsi="Cambria Math"/>
            <w:sz w:val="24"/>
            <w:szCs w:val="24"/>
            <w:lang w:val="en-US"/>
          </w:rPr>
          <m:t>=</m:t>
        </m:r>
        <m:sSup>
          <m:sSupPr>
            <m:ctrlPr>
              <w:rPr>
                <w:rFonts w:ascii="Cambria Math" w:hAnsi="Cambria Math"/>
                <w:sz w:val="24"/>
                <w:szCs w:val="24"/>
                <w:lang w:val="en-US"/>
              </w:rPr>
            </m:ctrlPr>
          </m:sSupPr>
          <m:e>
            <m:r>
              <m:rPr>
                <m:sty m:val="p"/>
              </m:rPr>
              <w:rPr>
                <w:rFonts w:ascii="Cambria Math" w:hAnsi="Cambria Math"/>
                <w:sz w:val="24"/>
                <w:szCs w:val="24"/>
                <w:lang w:val="en-US"/>
              </w:rPr>
              <m:t>20</m:t>
            </m:r>
          </m:e>
          <m:sup>
            <m:r>
              <m:rPr>
                <m:sty m:val="p"/>
              </m:rPr>
              <w:rPr>
                <w:rFonts w:ascii="Cambria Math" w:hAnsi="Cambria Math"/>
                <w:sz w:val="24"/>
                <w:szCs w:val="24"/>
                <w:lang w:val="en-US"/>
              </w:rPr>
              <m:t>∘</m:t>
            </m:r>
          </m:sup>
        </m:sSup>
      </m:oMath>
      <w:r w:rsidRPr="00071700">
        <w:rPr>
          <w:sz w:val="24"/>
          <w:szCs w:val="24"/>
          <w:lang w:val="en-US"/>
        </w:rPr>
        <w:t xml:space="preserve">. The maximum signal deflection angle </w:t>
      </w:r>
      <w:proofErr w:type="gramStart"/>
      <w:r w:rsidRPr="00071700">
        <w:rPr>
          <w:sz w:val="24"/>
          <w:szCs w:val="24"/>
          <w:lang w:val="en-US"/>
        </w:rPr>
        <w:t>exiting</w:t>
      </w:r>
      <w:proofErr w:type="gramEnd"/>
      <w:r w:rsidRPr="00071700">
        <w:rPr>
          <w:sz w:val="24"/>
          <w:szCs w:val="24"/>
          <w:lang w:val="en-US"/>
        </w:rPr>
        <w:t xml:space="preserve"> the prism </w:t>
      </w:r>
      <w:proofErr w:type="gramStart"/>
      <w:r w:rsidRPr="00071700">
        <w:rPr>
          <w:sz w:val="24"/>
          <w:szCs w:val="24"/>
          <w:lang w:val="en-US"/>
        </w:rPr>
        <w:t>was measured</w:t>
      </w:r>
      <w:proofErr w:type="gramEnd"/>
      <w:r w:rsidRPr="00071700">
        <w:rPr>
          <w:sz w:val="24"/>
          <w:szCs w:val="24"/>
          <w:lang w:val="en-US"/>
        </w:rPr>
        <w:t xml:space="preserve"> experimentally as</w:t>
      </w:r>
      <w:r w:rsidR="00571DAD">
        <w:rPr>
          <w:sz w:val="24"/>
          <w:szCs w:val="24"/>
          <w:lang w:val="en-US"/>
        </w:rPr>
        <w:t xml:space="preserve"> </w:t>
      </w:r>
      <m:oMath>
        <m:r>
          <m:rPr>
            <m:sty m:val="p"/>
          </m:rPr>
          <w:rPr>
            <w:rFonts w:ascii="Cambria Math" w:hAnsi="Cambria Math"/>
            <w:sz w:val="24"/>
            <w:szCs w:val="24"/>
            <w:lang w:val="en-US"/>
          </w:rPr>
          <m:t>θ=</m:t>
        </m:r>
        <m:sSup>
          <m:sSupPr>
            <m:ctrlPr>
              <w:rPr>
                <w:rFonts w:ascii="Cambria Math" w:hAnsi="Cambria Math"/>
                <w:sz w:val="24"/>
                <w:szCs w:val="24"/>
                <w:lang w:val="en-US"/>
              </w:rPr>
            </m:ctrlPr>
          </m:sSupPr>
          <m:e>
            <m:r>
              <m:rPr>
                <m:sty m:val="p"/>
              </m:rPr>
              <w:rPr>
                <w:rFonts w:ascii="Cambria Math" w:hAnsi="Cambria Math"/>
                <w:sz w:val="24"/>
                <w:szCs w:val="24"/>
                <w:lang w:val="en-US"/>
              </w:rPr>
              <m:t>19</m:t>
            </m:r>
          </m:e>
          <m:sup>
            <m:r>
              <m:rPr>
                <m:sty m:val="p"/>
              </m:rPr>
              <w:rPr>
                <w:rFonts w:ascii="Cambria Math" w:hAnsi="Cambria Math"/>
                <w:sz w:val="24"/>
                <w:szCs w:val="24"/>
                <w:lang w:val="en-US"/>
              </w:rPr>
              <m:t>∘</m:t>
            </m:r>
          </m:sup>
        </m:sSup>
      </m:oMath>
      <w:r w:rsidRPr="00071700">
        <w:rPr>
          <w:sz w:val="24"/>
          <w:szCs w:val="24"/>
          <w:lang w:val="en-US"/>
        </w:rPr>
        <w:t>.</w:t>
      </w:r>
    </w:p>
    <w:p w14:paraId="2EA693EE" w14:textId="77777777" w:rsidR="001778BA" w:rsidRDefault="00835D18" w:rsidP="001778BA">
      <w:pPr>
        <w:pStyle w:val="BodyText"/>
        <w:rPr>
          <w:sz w:val="24"/>
          <w:szCs w:val="24"/>
          <w:lang w:val="en-US"/>
        </w:rPr>
      </w:pPr>
      <w:r w:rsidRPr="00071700">
        <w:rPr>
          <w:sz w:val="24"/>
          <w:szCs w:val="24"/>
          <w:lang w:val="en-US"/>
        </w:rPr>
        <w:t>Based on the geometry of the setup, the angle of refraction relative to the surface normal is</w:t>
      </w:r>
    </w:p>
    <w:p w14:paraId="3A89D153" w14:textId="533A169C" w:rsidR="001778BA" w:rsidRDefault="000655CA" w:rsidP="0051480A">
      <w:pPr>
        <w:pStyle w:val="BodyText"/>
        <w:jc w:val="center"/>
        <w:rPr>
          <w:sz w:val="24"/>
          <w:szCs w:val="24"/>
          <w:lang w:val="en-US"/>
        </w:rPr>
      </w:pPr>
      <m:oMath>
        <m:sSub>
          <m:sSubPr>
            <m:ctrlPr>
              <w:rPr>
                <w:rFonts w:ascii="Cambria Math" w:hAnsi="Cambria Math"/>
                <w:sz w:val="24"/>
                <w:szCs w:val="24"/>
                <w:lang w:val="en-US"/>
              </w:rPr>
            </m:ctrlPr>
          </m:sSubPr>
          <m:e>
            <m:r>
              <m:rPr>
                <m:sty m:val="p"/>
              </m:rPr>
              <w:rPr>
                <w:rFonts w:ascii="Cambria Math" w:hAnsi="Cambria Math"/>
                <w:sz w:val="24"/>
                <w:szCs w:val="24"/>
                <w:lang w:val="en-US"/>
              </w:rPr>
              <m:t>θ</m:t>
            </m:r>
          </m:e>
          <m:sub>
            <m:r>
              <m:rPr>
                <m:sty m:val="p"/>
              </m:rPr>
              <w:rPr>
                <w:rFonts w:ascii="Cambria Math" w:hAnsi="Cambria Math"/>
                <w:sz w:val="24"/>
                <w:szCs w:val="24"/>
                <w:lang w:val="en-US"/>
              </w:rPr>
              <m:t>2</m:t>
            </m:r>
          </m:sub>
        </m:sSub>
        <m:r>
          <m:rPr>
            <m:sty m:val="p"/>
          </m:rPr>
          <w:rPr>
            <w:rFonts w:ascii="Cambria Math" w:hAnsi="Cambria Math"/>
            <w:sz w:val="24"/>
            <w:szCs w:val="24"/>
            <w:lang w:val="en-US"/>
          </w:rPr>
          <m:t>=</m:t>
        </m:r>
        <m:sSub>
          <m:sSubPr>
            <m:ctrlPr>
              <w:rPr>
                <w:rFonts w:ascii="Cambria Math" w:hAnsi="Cambria Math"/>
                <w:sz w:val="24"/>
                <w:szCs w:val="24"/>
                <w:lang w:val="en-US"/>
              </w:rPr>
            </m:ctrlPr>
          </m:sSubPr>
          <m:e>
            <m:r>
              <m:rPr>
                <m:sty m:val="p"/>
              </m:rPr>
              <w:rPr>
                <w:rFonts w:ascii="Cambria Math" w:hAnsi="Cambria Math"/>
                <w:sz w:val="24"/>
                <w:szCs w:val="24"/>
                <w:lang w:val="en-US"/>
              </w:rPr>
              <m:t>θ</m:t>
            </m:r>
          </m:e>
          <m:sub>
            <m:r>
              <m:rPr>
                <m:sty m:val="p"/>
              </m:rPr>
              <w:rPr>
                <w:rFonts w:ascii="Cambria Math" w:hAnsi="Cambria Math"/>
                <w:sz w:val="24"/>
                <w:szCs w:val="24"/>
                <w:lang w:val="en-US"/>
              </w:rPr>
              <m:t>1</m:t>
            </m:r>
          </m:sub>
        </m:sSub>
        <m:r>
          <m:rPr>
            <m:sty m:val="p"/>
          </m:rPr>
          <w:rPr>
            <w:rFonts w:ascii="Cambria Math" w:hAnsi="Cambria Math"/>
            <w:sz w:val="24"/>
            <w:szCs w:val="24"/>
            <w:lang w:val="en-US"/>
          </w:rPr>
          <m:t>+</m:t>
        </m:r>
        <m:r>
          <m:rPr>
            <m:sty m:val="p"/>
          </m:rPr>
          <w:rPr>
            <w:rFonts w:ascii="Cambria Math" w:hAnsi="Cambria Math"/>
            <w:sz w:val="24"/>
            <w:szCs w:val="24"/>
            <w:lang w:val="en-US"/>
          </w:rPr>
          <m:t>θ</m:t>
        </m:r>
        <m:r>
          <m:rPr>
            <m:sty m:val="p"/>
          </m:rPr>
          <w:rPr>
            <w:rFonts w:ascii="Cambria Math" w:hAnsi="Cambria Math"/>
            <w:sz w:val="24"/>
            <w:szCs w:val="24"/>
            <w:lang w:val="en-US"/>
          </w:rPr>
          <m:t>=</m:t>
        </m:r>
        <m:sSup>
          <m:sSupPr>
            <m:ctrlPr>
              <w:rPr>
                <w:rFonts w:ascii="Cambria Math" w:hAnsi="Cambria Math"/>
                <w:sz w:val="24"/>
                <w:szCs w:val="24"/>
                <w:lang w:val="en-US"/>
              </w:rPr>
            </m:ctrlPr>
          </m:sSupPr>
          <m:e>
            <m:r>
              <m:rPr>
                <m:sty m:val="p"/>
              </m:rPr>
              <w:rPr>
                <w:rFonts w:ascii="Cambria Math" w:hAnsi="Cambria Math"/>
                <w:sz w:val="24"/>
                <w:szCs w:val="24"/>
                <w:lang w:val="en-US"/>
              </w:rPr>
              <m:t>39</m:t>
            </m:r>
          </m:e>
          <m:sup>
            <m:r>
              <m:rPr>
                <m:sty m:val="p"/>
              </m:rPr>
              <w:rPr>
                <w:rFonts w:ascii="Cambria Math" w:hAnsi="Cambria Math"/>
                <w:sz w:val="24"/>
                <w:szCs w:val="24"/>
                <w:lang w:val="en-US"/>
              </w:rPr>
              <m:t>∘</m:t>
            </m:r>
          </m:sup>
        </m:sSup>
      </m:oMath>
      <w:r w:rsidR="00835D18" w:rsidRPr="00071700">
        <w:rPr>
          <w:sz w:val="24"/>
          <w:szCs w:val="24"/>
          <w:lang w:val="en-US"/>
        </w:rPr>
        <w:t>.</w:t>
      </w:r>
    </w:p>
    <w:p w14:paraId="5702B3BB" w14:textId="7A70AE9B" w:rsidR="001778BA" w:rsidRPr="000655CA" w:rsidRDefault="00835D18" w:rsidP="001778BA">
      <w:pPr>
        <w:pStyle w:val="BodyText"/>
        <w:ind w:firstLine="0"/>
        <w:rPr>
          <w:sz w:val="24"/>
          <w:szCs w:val="24"/>
          <w:lang w:val="en-US"/>
        </w:rPr>
      </w:pPr>
      <w:r w:rsidRPr="00071700">
        <w:rPr>
          <w:sz w:val="24"/>
          <w:szCs w:val="24"/>
          <w:lang w:val="en-US"/>
        </w:rPr>
        <w:t>Applying Snell's Law:</w:t>
      </w:r>
    </w:p>
    <w:p w14:paraId="0BCF7B9F" w14:textId="5A35A7AA" w:rsidR="00123FA5" w:rsidRPr="00123FA5" w:rsidRDefault="00123FA5" w:rsidP="00DC7F83">
      <w:pPr>
        <w:pStyle w:val="BodyText"/>
        <w:rPr>
          <w:sz w:val="24"/>
          <w:szCs w:val="24"/>
          <w:lang w:val="en-US"/>
        </w:rPr>
      </w:pPr>
      <m:oMathPara>
        <m:oMath>
          <m:sSub>
            <m:sSubPr>
              <m:ctrlPr>
                <w:rPr>
                  <w:rFonts w:ascii="Cambria Math" w:hAnsi="Cambria Math"/>
                  <w:sz w:val="24"/>
                  <w:szCs w:val="24"/>
                  <w:lang w:val="en-US"/>
                </w:rPr>
              </m:ctrlPr>
            </m:sSubPr>
            <m:e>
              <m:r>
                <m:rPr>
                  <m:sty m:val="p"/>
                </m:rPr>
                <w:rPr>
                  <w:rFonts w:ascii="Cambria Math" w:hAnsi="Cambria Math"/>
                  <w:sz w:val="24"/>
                  <w:szCs w:val="24"/>
                  <w:lang w:val="en-US"/>
                </w:rPr>
                <m:t>n</m:t>
              </m:r>
            </m:e>
            <m:sub>
              <m:r>
                <m:rPr>
                  <m:sty m:val="p"/>
                </m:rPr>
                <w:rPr>
                  <w:rFonts w:ascii="Cambria Math" w:hAnsi="Cambria Math"/>
                  <w:sz w:val="24"/>
                  <w:szCs w:val="24"/>
                  <w:lang w:val="en-US"/>
                </w:rPr>
                <m:t>1</m:t>
              </m:r>
            </m:sub>
          </m:sSub>
          <m:func>
            <m:funcPr>
              <m:ctrlPr>
                <w:rPr>
                  <w:rFonts w:ascii="Cambria Math" w:hAnsi="Cambria Math"/>
                  <w:sz w:val="24"/>
                  <w:szCs w:val="24"/>
                  <w:lang w:val="en-US"/>
                </w:rPr>
              </m:ctrlPr>
            </m:funcPr>
            <m:fName>
              <m:r>
                <m:rPr>
                  <m:sty m:val="p"/>
                </m:rPr>
                <w:rPr>
                  <w:rFonts w:ascii="Cambria Math" w:hAnsi="Cambria Math"/>
                  <w:sz w:val="24"/>
                  <w:szCs w:val="24"/>
                  <w:lang w:val="en-US"/>
                </w:rPr>
                <m:t>sin</m:t>
              </m:r>
            </m:fName>
            <m:e>
              <m:sSub>
                <m:sSubPr>
                  <m:ctrlPr>
                    <w:rPr>
                      <w:rFonts w:ascii="Cambria Math" w:hAnsi="Cambria Math"/>
                      <w:sz w:val="24"/>
                      <w:szCs w:val="24"/>
                      <w:lang w:val="en-US"/>
                    </w:rPr>
                  </m:ctrlPr>
                </m:sSubPr>
                <m:e>
                  <m:r>
                    <m:rPr>
                      <m:sty m:val="p"/>
                    </m:rPr>
                    <w:rPr>
                      <w:rFonts w:ascii="Cambria Math" w:hAnsi="Cambria Math"/>
                      <w:sz w:val="24"/>
                      <w:szCs w:val="24"/>
                      <w:lang w:val="en-US"/>
                    </w:rPr>
                    <m:t>θ</m:t>
                  </m:r>
                </m:e>
                <m:sub>
                  <m:r>
                    <m:rPr>
                      <m:sty m:val="p"/>
                    </m:rPr>
                    <w:rPr>
                      <w:rFonts w:ascii="Cambria Math" w:hAnsi="Cambria Math"/>
                      <w:sz w:val="24"/>
                      <w:szCs w:val="24"/>
                      <w:lang w:val="en-US"/>
                    </w:rPr>
                    <m:t>1</m:t>
                  </m:r>
                </m:sub>
              </m:sSub>
            </m:e>
          </m:func>
          <m:r>
            <m:rPr>
              <m:sty m:val="p"/>
            </m:rPr>
            <w:rPr>
              <w:rFonts w:ascii="Cambria Math" w:hAnsi="Cambria Math"/>
              <w:sz w:val="24"/>
              <w:szCs w:val="24"/>
              <w:lang w:val="en-US"/>
            </w:rPr>
            <m:t>=</m:t>
          </m:r>
          <m:sSub>
            <m:sSubPr>
              <m:ctrlPr>
                <w:rPr>
                  <w:rFonts w:ascii="Cambria Math" w:hAnsi="Cambria Math"/>
                  <w:sz w:val="24"/>
                  <w:szCs w:val="24"/>
                  <w:lang w:val="en-US"/>
                </w:rPr>
              </m:ctrlPr>
            </m:sSubPr>
            <m:e>
              <m:r>
                <m:rPr>
                  <m:sty m:val="p"/>
                </m:rPr>
                <w:rPr>
                  <w:rFonts w:ascii="Cambria Math" w:hAnsi="Cambria Math"/>
                  <w:sz w:val="24"/>
                  <w:szCs w:val="24"/>
                  <w:lang w:val="en-US"/>
                </w:rPr>
                <m:t>n</m:t>
              </m:r>
            </m:e>
            <m:sub>
              <m:r>
                <m:rPr>
                  <m:sty m:val="p"/>
                </m:rPr>
                <w:rPr>
                  <w:rFonts w:ascii="Cambria Math" w:hAnsi="Cambria Math"/>
                  <w:sz w:val="24"/>
                  <w:szCs w:val="24"/>
                  <w:lang w:val="en-US"/>
                </w:rPr>
                <m:t>2</m:t>
              </m:r>
            </m:sub>
          </m:sSub>
          <m:func>
            <m:funcPr>
              <m:ctrlPr>
                <w:rPr>
                  <w:rFonts w:ascii="Cambria Math" w:hAnsi="Cambria Math"/>
                  <w:sz w:val="24"/>
                  <w:szCs w:val="24"/>
                  <w:lang w:val="en-US"/>
                </w:rPr>
              </m:ctrlPr>
            </m:funcPr>
            <m:fName>
              <m:r>
                <m:rPr>
                  <m:sty m:val="p"/>
                </m:rPr>
                <w:rPr>
                  <w:rFonts w:ascii="Cambria Math" w:hAnsi="Cambria Math"/>
                  <w:sz w:val="24"/>
                  <w:szCs w:val="24"/>
                  <w:lang w:val="en-US"/>
                </w:rPr>
                <m:t>sin</m:t>
              </m:r>
            </m:fName>
            <m:e>
              <m:sSub>
                <m:sSubPr>
                  <m:ctrlPr>
                    <w:rPr>
                      <w:rFonts w:ascii="Cambria Math" w:hAnsi="Cambria Math"/>
                      <w:sz w:val="24"/>
                      <w:szCs w:val="24"/>
                      <w:lang w:val="en-US"/>
                    </w:rPr>
                  </m:ctrlPr>
                </m:sSubPr>
                <m:e>
                  <m:r>
                    <m:rPr>
                      <m:sty m:val="p"/>
                    </m:rPr>
                    <w:rPr>
                      <w:rFonts w:ascii="Cambria Math" w:hAnsi="Cambria Math"/>
                      <w:sz w:val="24"/>
                      <w:szCs w:val="24"/>
                      <w:lang w:val="en-US"/>
                    </w:rPr>
                    <m:t>θ</m:t>
                  </m:r>
                </m:e>
                <m:sub>
                  <m:r>
                    <m:rPr>
                      <m:sty m:val="p"/>
                    </m:rPr>
                    <w:rPr>
                      <w:rFonts w:ascii="Cambria Math" w:hAnsi="Cambria Math"/>
                      <w:sz w:val="24"/>
                      <w:szCs w:val="24"/>
                      <w:lang w:val="en-US"/>
                    </w:rPr>
                    <m:t>2</m:t>
                  </m:r>
                </m:sub>
              </m:sSub>
            </m:e>
          </m:func>
        </m:oMath>
      </m:oMathPara>
    </w:p>
    <w:p w14:paraId="3E449F5D" w14:textId="77777777" w:rsidR="00AC1ADF" w:rsidRDefault="00AC1ADF" w:rsidP="00AC1ADF">
      <w:pPr>
        <w:pStyle w:val="BodyText"/>
        <w:rPr>
          <w:sz w:val="24"/>
          <w:szCs w:val="24"/>
          <w:lang w:val="en-US"/>
        </w:rPr>
      </w:pPr>
      <m:oMathPara>
        <m:oMath>
          <m:sSub>
            <m:sSubPr>
              <m:ctrlPr>
                <w:rPr>
                  <w:rFonts w:ascii="Cambria Math" w:hAnsi="Cambria Math"/>
                  <w:sz w:val="24"/>
                  <w:szCs w:val="24"/>
                  <w:lang w:val="en-US"/>
                </w:rPr>
              </m:ctrlPr>
            </m:sSubPr>
            <m:e>
              <m:r>
                <m:rPr>
                  <m:sty m:val="p"/>
                </m:rPr>
                <w:rPr>
                  <w:rFonts w:ascii="Cambria Math" w:hAnsi="Cambria Math"/>
                  <w:sz w:val="24"/>
                  <w:szCs w:val="24"/>
                  <w:lang w:val="en-US"/>
                </w:rPr>
                <m:t>n</m:t>
              </m:r>
            </m:e>
            <m:sub>
              <m:r>
                <m:rPr>
                  <m:sty m:val="p"/>
                </m:rPr>
                <w:rPr>
                  <w:rFonts w:ascii="Cambria Math" w:hAnsi="Cambria Math"/>
                  <w:sz w:val="24"/>
                  <w:szCs w:val="24"/>
                  <w:lang w:val="en-US"/>
                </w:rPr>
                <m:t>1</m:t>
              </m:r>
            </m:sub>
          </m:sSub>
          <m:func>
            <m:funcPr>
              <m:ctrlPr>
                <w:rPr>
                  <w:rFonts w:ascii="Cambria Math" w:hAnsi="Cambria Math"/>
                  <w:sz w:val="24"/>
                  <w:szCs w:val="24"/>
                  <w:lang w:val="en-US"/>
                </w:rPr>
              </m:ctrlPr>
            </m:funcPr>
            <m:fName>
              <m:r>
                <m:rPr>
                  <m:sty m:val="p"/>
                </m:rPr>
                <w:rPr>
                  <w:rFonts w:ascii="Cambria Math" w:hAnsi="Cambria Math"/>
                  <w:sz w:val="24"/>
                  <w:szCs w:val="24"/>
                  <w:lang w:val="en-US"/>
                </w:rPr>
                <m:t>sin</m:t>
              </m:r>
            </m:fName>
            <m:e>
              <m:sSup>
                <m:sSupPr>
                  <m:ctrlPr>
                    <w:rPr>
                      <w:rFonts w:ascii="Cambria Math" w:hAnsi="Cambria Math"/>
                      <w:sz w:val="24"/>
                      <w:szCs w:val="24"/>
                      <w:lang w:val="en-US"/>
                    </w:rPr>
                  </m:ctrlPr>
                </m:sSupPr>
                <m:e>
                  <m:r>
                    <m:rPr>
                      <m:sty m:val="p"/>
                    </m:rPr>
                    <w:rPr>
                      <w:rFonts w:ascii="Cambria Math" w:hAnsi="Cambria Math"/>
                      <w:sz w:val="24"/>
                      <w:szCs w:val="24"/>
                      <w:lang w:val="en-US"/>
                    </w:rPr>
                    <m:t>20</m:t>
                  </m:r>
                </m:e>
                <m:sup>
                  <m:r>
                    <m:rPr>
                      <m:sty m:val="p"/>
                    </m:rPr>
                    <w:rPr>
                      <w:rFonts w:ascii="Cambria Math" w:hAnsi="Cambria Math"/>
                      <w:sz w:val="24"/>
                      <w:szCs w:val="24"/>
                      <w:lang w:val="en-US"/>
                    </w:rPr>
                    <m:t>∘</m:t>
                  </m:r>
                </m:sup>
              </m:sSup>
            </m:e>
          </m:func>
          <m:r>
            <m:rPr>
              <m:sty m:val="p"/>
            </m:rPr>
            <w:rPr>
              <w:rFonts w:ascii="Cambria Math" w:hAnsi="Cambria Math"/>
              <w:sz w:val="24"/>
              <w:szCs w:val="24"/>
              <w:lang w:val="en-US"/>
            </w:rPr>
            <m:t>=1.0</m:t>
          </m:r>
          <m:func>
            <m:funcPr>
              <m:ctrlPr>
                <w:rPr>
                  <w:rFonts w:ascii="Cambria Math" w:hAnsi="Cambria Math"/>
                  <w:sz w:val="24"/>
                  <w:szCs w:val="24"/>
                  <w:lang w:val="en-US"/>
                </w:rPr>
              </m:ctrlPr>
            </m:funcPr>
            <m:fName>
              <m:r>
                <m:rPr>
                  <m:sty m:val="p"/>
                </m:rPr>
                <w:rPr>
                  <w:rFonts w:ascii="Cambria Math" w:hAnsi="Cambria Math"/>
                  <w:sz w:val="24"/>
                  <w:szCs w:val="24"/>
                  <w:lang w:val="en-US"/>
                </w:rPr>
                <m:t>sin</m:t>
              </m:r>
            </m:fName>
            <m:e>
              <m:sSup>
                <m:sSupPr>
                  <m:ctrlPr>
                    <w:rPr>
                      <w:rFonts w:ascii="Cambria Math" w:hAnsi="Cambria Math"/>
                      <w:sz w:val="24"/>
                      <w:szCs w:val="24"/>
                      <w:lang w:val="en-US"/>
                    </w:rPr>
                  </m:ctrlPr>
                </m:sSupPr>
                <m:e>
                  <m:r>
                    <m:rPr>
                      <m:sty m:val="p"/>
                    </m:rPr>
                    <w:rPr>
                      <w:rFonts w:ascii="Cambria Math" w:hAnsi="Cambria Math"/>
                      <w:sz w:val="24"/>
                      <w:szCs w:val="24"/>
                      <w:lang w:val="en-US"/>
                    </w:rPr>
                    <m:t>39</m:t>
                  </m:r>
                </m:e>
                <m:sup>
                  <m:r>
                    <m:rPr>
                      <m:sty m:val="p"/>
                    </m:rPr>
                    <w:rPr>
                      <w:rFonts w:ascii="Cambria Math" w:hAnsi="Cambria Math"/>
                      <w:sz w:val="24"/>
                      <w:szCs w:val="24"/>
                      <w:lang w:val="en-US"/>
                    </w:rPr>
                    <m:t>∘</m:t>
                  </m:r>
                </m:sup>
              </m:sSup>
            </m:e>
          </m:func>
        </m:oMath>
      </m:oMathPara>
    </w:p>
    <w:p w14:paraId="54FA5D2F" w14:textId="5C05A47B" w:rsidR="00AC1ADF" w:rsidRPr="00AC1ADF" w:rsidRDefault="00AC1ADF" w:rsidP="001778BA">
      <w:pPr>
        <w:pStyle w:val="BodyText"/>
        <w:jc w:val="center"/>
        <w:rPr>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n</m:t>
              </m:r>
            </m:e>
            <m:sub>
              <m:r>
                <w:rPr>
                  <w:rFonts w:ascii="Cambria Math" w:hAnsi="Cambria Math"/>
                  <w:sz w:val="24"/>
                  <w:szCs w:val="24"/>
                  <w:lang w:val="en-US"/>
                </w:rPr>
                <m:t>1</m:t>
              </m:r>
            </m:sub>
          </m:sSub>
          <m:r>
            <w:rPr>
              <w:rFonts w:ascii="Cambria Math" w:hAnsi="Cambria Math"/>
              <w:sz w:val="24"/>
              <w:szCs w:val="24"/>
              <w:lang w:val="en-US"/>
            </w:rPr>
            <m:t>=1.84</m:t>
          </m:r>
        </m:oMath>
      </m:oMathPara>
    </w:p>
    <w:p w14:paraId="734BDAE1" w14:textId="598876FD" w:rsidR="00071700" w:rsidRPr="00071700" w:rsidRDefault="00835D18" w:rsidP="00071700">
      <w:pPr>
        <w:pStyle w:val="BodyText"/>
        <w:rPr>
          <w:sz w:val="24"/>
          <w:szCs w:val="24"/>
          <w:lang w:val="en-US"/>
        </w:rPr>
      </w:pPr>
      <w:r w:rsidRPr="00071700">
        <w:rPr>
          <w:sz w:val="24"/>
          <w:szCs w:val="24"/>
          <w:lang w:val="en-US"/>
        </w:rPr>
        <w:t xml:space="preserve">The calculated index of refraction for the styrene pellet medium is 1.84. This value is slightly higher than the accepted index for solid polystyrene (typically ~1.55 to 1.59). This minor deviation is </w:t>
      </w:r>
      <w:proofErr w:type="gramStart"/>
      <w:r w:rsidRPr="00071700">
        <w:rPr>
          <w:sz w:val="24"/>
          <w:szCs w:val="24"/>
          <w:lang w:val="en-US"/>
        </w:rPr>
        <w:t>likely attributable</w:t>
      </w:r>
      <w:proofErr w:type="gramEnd"/>
      <w:r w:rsidRPr="00071700">
        <w:rPr>
          <w:sz w:val="24"/>
          <w:szCs w:val="24"/>
          <w:lang w:val="en-US"/>
        </w:rPr>
        <w:t xml:space="preserve"> to the wide spatial footprint of the microwave beam, which makes pinpointing the exact angular center of the refracted wave slightly subjective.</w:t>
      </w:r>
    </w:p>
    <w:p w14:paraId="368473EA" w14:textId="77777777" w:rsidR="008337F6" w:rsidRPr="005B520E" w:rsidRDefault="008337F6" w:rsidP="008337F6">
      <w:pPr>
        <w:pStyle w:val="BodyText"/>
      </w:pPr>
    </w:p>
    <w:p w14:paraId="125F98F9" w14:textId="1512AF80" w:rsidR="008337F6" w:rsidRDefault="00166CD9" w:rsidP="00166CD9">
      <w:pPr>
        <w:pStyle w:val="Heading1"/>
        <w:numPr>
          <w:ilvl w:val="0"/>
          <w:numId w:val="1"/>
        </w:numPr>
        <w:jc w:val="both"/>
      </w:pPr>
      <w:r>
        <w:t>Conclusion</w:t>
      </w:r>
      <w:r w:rsidR="00E07973">
        <w:t>s</w:t>
      </w:r>
    </w:p>
    <w:p w14:paraId="201B3C32" w14:textId="24A1DC10" w:rsidR="008337F6" w:rsidRPr="00071700" w:rsidRDefault="008337F6" w:rsidP="00E07973">
      <w:pPr>
        <w:jc w:val="left"/>
        <w:rPr>
          <w:color w:val="000000"/>
          <w:sz w:val="24"/>
          <w:szCs w:val="24"/>
        </w:rPr>
      </w:pPr>
      <w:r>
        <w:t xml:space="preserve">     </w:t>
      </w:r>
      <w:r w:rsidR="00071700" w:rsidRPr="00071700">
        <w:rPr>
          <w:sz w:val="24"/>
          <w:szCs w:val="24"/>
        </w:rPr>
        <w:t xml:space="preserve">This laboratory experiment successfully utilized a 10.525 GHz microwave system to provide a comprehensive macroscopic verification of fundamental electromagnetic wave behaviors. The beam divergence </w:t>
      </w:r>
      <w:proofErr w:type="gramStart"/>
      <w:r w:rsidR="00071700" w:rsidRPr="00071700">
        <w:rPr>
          <w:sz w:val="24"/>
          <w:szCs w:val="24"/>
        </w:rPr>
        <w:t>was quantified</w:t>
      </w:r>
      <w:proofErr w:type="gramEnd"/>
      <w:r w:rsidR="00071700" w:rsidRPr="00071700">
        <w:rPr>
          <w:sz w:val="24"/>
          <w:szCs w:val="24"/>
        </w:rPr>
        <w:t xml:space="preserve"> with a measured FWHM of 24°. Standing wave interference patterns allowed for the experimental calculation of the microwave's wavelength at 2.80 cm, resulting in a minimal 1.74% error compared to theoretical predictions. Polarization testing definitively proved that the Schottky diode receiver detects wave intensity according to Malus's Law, rather than electric field amplitude. Finally, the geometric principles of reflection and refraction </w:t>
      </w:r>
      <w:proofErr w:type="gramStart"/>
      <w:r w:rsidR="00071700" w:rsidRPr="00071700">
        <w:rPr>
          <w:sz w:val="24"/>
          <w:szCs w:val="24"/>
        </w:rPr>
        <w:t>were validated</w:t>
      </w:r>
      <w:proofErr w:type="gramEnd"/>
      <w:r w:rsidR="00071700" w:rsidRPr="00071700">
        <w:rPr>
          <w:sz w:val="24"/>
          <w:szCs w:val="24"/>
        </w:rPr>
        <w:t xml:space="preserve">, with the styrene medium exhibiting an </w:t>
      </w:r>
      <w:r w:rsidR="00071700" w:rsidRPr="00071700">
        <w:rPr>
          <w:sz w:val="24"/>
          <w:szCs w:val="24"/>
        </w:rPr>
        <w:t>experimental index of refraction of 1.84. Overall, the data collected strongly aligns with classical electromagnetic and geometric optics theory.</w:t>
      </w:r>
    </w:p>
    <w:p w14:paraId="4FE11252" w14:textId="77777777" w:rsidR="008337F6" w:rsidRDefault="008337F6" w:rsidP="008337F6">
      <w:pPr>
        <w:pStyle w:val="BodyText"/>
        <w:rPr>
          <w:lang w:val="en-US"/>
        </w:rPr>
      </w:pPr>
    </w:p>
    <w:p w14:paraId="0888AA8F" w14:textId="77777777" w:rsidR="008337F6" w:rsidRDefault="008337F6" w:rsidP="00166CD9">
      <w:pPr>
        <w:pStyle w:val="Heading1"/>
        <w:numPr>
          <w:ilvl w:val="0"/>
          <w:numId w:val="1"/>
        </w:numPr>
        <w:tabs>
          <w:tab w:val="num" w:pos="360"/>
        </w:tabs>
        <w:ind w:left="0" w:firstLine="0"/>
      </w:pPr>
      <w:r>
        <w:t>References</w:t>
      </w:r>
    </w:p>
    <w:p w14:paraId="22A35816" w14:textId="0353A690" w:rsidR="008337F6" w:rsidRPr="001039EA" w:rsidRDefault="00032087" w:rsidP="00032087">
      <w:pPr>
        <w:pStyle w:val="BodyText"/>
        <w:ind w:left="288" w:hanging="288"/>
        <w:rPr>
          <w:color w:val="000000"/>
          <w:lang w:val="en-US"/>
        </w:rPr>
      </w:pPr>
      <w:sdt>
        <w:sdtPr>
          <w:rPr>
            <w:color w:val="000000"/>
            <w:lang w:val="en-US"/>
          </w:rPr>
          <w:id w:val="-621155562"/>
          <w:citation/>
        </w:sdtPr>
        <w:sdtContent>
          <w:r>
            <w:rPr>
              <w:color w:val="000000"/>
              <w:lang w:val="en-US"/>
            </w:rPr>
            <w:fldChar w:fldCharType="begin"/>
          </w:r>
          <w:r>
            <w:rPr>
              <w:noProof/>
              <w:color w:val="000000"/>
              <w:lang w:val="en-US"/>
            </w:rPr>
            <w:instrText xml:space="preserve"> CITATION DrS261 \l 1033 </w:instrText>
          </w:r>
          <w:r>
            <w:rPr>
              <w:color w:val="000000"/>
              <w:lang w:val="en-US"/>
            </w:rPr>
            <w:fldChar w:fldCharType="separate"/>
          </w:r>
          <w:r w:rsidRPr="00032087">
            <w:rPr>
              <w:noProof/>
              <w:color w:val="000000"/>
              <w:lang w:val="en-US"/>
            </w:rPr>
            <w:t>[1]</w:t>
          </w:r>
          <w:r>
            <w:rPr>
              <w:color w:val="000000"/>
              <w:lang w:val="en-US"/>
            </w:rPr>
            <w:fldChar w:fldCharType="end"/>
          </w:r>
        </w:sdtContent>
      </w:sdt>
      <w:r>
        <w:rPr>
          <w:color w:val="000000"/>
          <w:lang w:val="en-US"/>
        </w:rPr>
        <w:t xml:space="preserve"> Dr. </w:t>
      </w:r>
      <w:r w:rsidR="00B65092">
        <w:rPr>
          <w:color w:val="000000"/>
          <w:lang w:val="en-US"/>
        </w:rPr>
        <w:t xml:space="preserve">William V. Slaton, Lab 2: Microwave Optics, Conway, </w:t>
      </w:r>
      <w:proofErr w:type="spellStart"/>
      <w:r w:rsidR="00B65092">
        <w:rPr>
          <w:color w:val="000000"/>
          <w:lang w:val="en-US"/>
        </w:rPr>
        <w:t>Ar</w:t>
      </w:r>
      <w:proofErr w:type="spellEnd"/>
      <w:r w:rsidR="00B65092">
        <w:rPr>
          <w:color w:val="000000"/>
          <w:lang w:val="en-US"/>
        </w:rPr>
        <w:t>, University of Central Arkansas, 2026</w:t>
      </w:r>
    </w:p>
    <w:p w14:paraId="6F7717C2" w14:textId="77777777" w:rsidR="008337F6" w:rsidRPr="00EA2768" w:rsidRDefault="008337F6" w:rsidP="008337F6">
      <w:pPr>
        <w:pStyle w:val="BodyText"/>
        <w:rPr>
          <w:lang w:val="en-US"/>
        </w:rPr>
      </w:pPr>
    </w:p>
    <w:p w14:paraId="070EEA42" w14:textId="77777777" w:rsidR="00AF0CA7" w:rsidRDefault="00AF0CA7"/>
    <w:sectPr w:rsidR="00AF0CA7" w:rsidSect="008337F6">
      <w:type w:val="continuous"/>
      <w:pgSz w:w="12240" w:h="15840" w:code="1"/>
      <w:pgMar w:top="1080" w:right="907" w:bottom="1440" w:left="907"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AF4BA" w14:textId="77777777" w:rsidR="008337F6" w:rsidRPr="006F6D3D" w:rsidRDefault="008337F6">
    <w:pPr>
      <w:pStyle w:val="Footer"/>
      <w:jc w:val="left"/>
      <w:rPr>
        <w:sz w:val="16"/>
        <w:szCs w:val="16"/>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5DC1"/>
    <w:multiLevelType w:val="multilevel"/>
    <w:tmpl w:val="16C0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95FCE"/>
    <w:multiLevelType w:val="multilevel"/>
    <w:tmpl w:val="3B46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0226DB"/>
    <w:multiLevelType w:val="hybridMultilevel"/>
    <w:tmpl w:val="B18CC566"/>
    <w:lvl w:ilvl="0" w:tplc="B30ECEA8">
      <w:start w:val="1"/>
      <w:numFmt w:val="upperLetter"/>
      <w:lvlText w:val="%1."/>
      <w:lvlJc w:val="left"/>
      <w:pPr>
        <w:ind w:left="720" w:hanging="360"/>
      </w:pPr>
      <w:rPr>
        <w:rFonts w:eastAsiaTheme="majorEastAsia"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612654"/>
    <w:multiLevelType w:val="hybridMultilevel"/>
    <w:tmpl w:val="96BE8B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CB1893"/>
    <w:multiLevelType w:val="hybridMultilevel"/>
    <w:tmpl w:val="6086668E"/>
    <w:lvl w:ilvl="0" w:tplc="7444D5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EC03EB8"/>
    <w:multiLevelType w:val="hybridMultilevel"/>
    <w:tmpl w:val="82542F10"/>
    <w:lvl w:ilvl="0" w:tplc="007261C0">
      <w:start w:val="1"/>
      <w:numFmt w:val="upp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6" w15:restartNumberingAfterBreak="0">
    <w:nsid w:val="72491976"/>
    <w:multiLevelType w:val="hybridMultilevel"/>
    <w:tmpl w:val="89A4E1A2"/>
    <w:lvl w:ilvl="0" w:tplc="3BCA18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2542242">
    <w:abstractNumId w:val="6"/>
  </w:num>
  <w:num w:numId="2" w16cid:durableId="477310530">
    <w:abstractNumId w:val="1"/>
  </w:num>
  <w:num w:numId="3" w16cid:durableId="1900938487">
    <w:abstractNumId w:val="0"/>
  </w:num>
  <w:num w:numId="4" w16cid:durableId="539560349">
    <w:abstractNumId w:val="5"/>
  </w:num>
  <w:num w:numId="5" w16cid:durableId="209998305">
    <w:abstractNumId w:val="2"/>
  </w:num>
  <w:num w:numId="6" w16cid:durableId="70083348">
    <w:abstractNumId w:val="3"/>
  </w:num>
  <w:num w:numId="7" w16cid:durableId="11006861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D89"/>
    <w:rsid w:val="00032087"/>
    <w:rsid w:val="00037161"/>
    <w:rsid w:val="00047DDC"/>
    <w:rsid w:val="000655CA"/>
    <w:rsid w:val="000678C0"/>
    <w:rsid w:val="00071700"/>
    <w:rsid w:val="000F3451"/>
    <w:rsid w:val="00110274"/>
    <w:rsid w:val="00111840"/>
    <w:rsid w:val="00123FA5"/>
    <w:rsid w:val="00166CD9"/>
    <w:rsid w:val="001778BA"/>
    <w:rsid w:val="001F504F"/>
    <w:rsid w:val="001F559E"/>
    <w:rsid w:val="00275337"/>
    <w:rsid w:val="002B6FBA"/>
    <w:rsid w:val="002C2BE5"/>
    <w:rsid w:val="002D015A"/>
    <w:rsid w:val="00322DAF"/>
    <w:rsid w:val="003527B2"/>
    <w:rsid w:val="00395D89"/>
    <w:rsid w:val="003F4D07"/>
    <w:rsid w:val="004046B2"/>
    <w:rsid w:val="004221AD"/>
    <w:rsid w:val="00452EAE"/>
    <w:rsid w:val="004E2BAE"/>
    <w:rsid w:val="004E2C10"/>
    <w:rsid w:val="0051480A"/>
    <w:rsid w:val="0052294F"/>
    <w:rsid w:val="00550DC9"/>
    <w:rsid w:val="00571DAD"/>
    <w:rsid w:val="00576E87"/>
    <w:rsid w:val="0059231F"/>
    <w:rsid w:val="00634523"/>
    <w:rsid w:val="00635484"/>
    <w:rsid w:val="00672189"/>
    <w:rsid w:val="00690B40"/>
    <w:rsid w:val="007604E0"/>
    <w:rsid w:val="00765107"/>
    <w:rsid w:val="00770036"/>
    <w:rsid w:val="0079485F"/>
    <w:rsid w:val="007C50B2"/>
    <w:rsid w:val="008004A7"/>
    <w:rsid w:val="008337F6"/>
    <w:rsid w:val="00835D18"/>
    <w:rsid w:val="00854AEC"/>
    <w:rsid w:val="008F0BEC"/>
    <w:rsid w:val="009B656B"/>
    <w:rsid w:val="00A155CC"/>
    <w:rsid w:val="00A200C7"/>
    <w:rsid w:val="00AA30C6"/>
    <w:rsid w:val="00AA50D2"/>
    <w:rsid w:val="00AC1ADF"/>
    <w:rsid w:val="00AF0CA7"/>
    <w:rsid w:val="00B127AB"/>
    <w:rsid w:val="00B142FA"/>
    <w:rsid w:val="00B65092"/>
    <w:rsid w:val="00B72B6C"/>
    <w:rsid w:val="00B80570"/>
    <w:rsid w:val="00BD6841"/>
    <w:rsid w:val="00BE5D3D"/>
    <w:rsid w:val="00BF64E9"/>
    <w:rsid w:val="00C27C52"/>
    <w:rsid w:val="00C95189"/>
    <w:rsid w:val="00CA1616"/>
    <w:rsid w:val="00CF006C"/>
    <w:rsid w:val="00D23C4E"/>
    <w:rsid w:val="00D93228"/>
    <w:rsid w:val="00D96E5E"/>
    <w:rsid w:val="00DA42D0"/>
    <w:rsid w:val="00DB6F68"/>
    <w:rsid w:val="00DC7F83"/>
    <w:rsid w:val="00E07973"/>
    <w:rsid w:val="00E07E78"/>
    <w:rsid w:val="00E134CA"/>
    <w:rsid w:val="00E846E0"/>
    <w:rsid w:val="00EA44EE"/>
    <w:rsid w:val="00EB36AC"/>
    <w:rsid w:val="00EE3E72"/>
    <w:rsid w:val="00EF173E"/>
    <w:rsid w:val="00F637AD"/>
    <w:rsid w:val="00FD2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57346"/>
  <w15:chartTrackingRefBased/>
  <w15:docId w15:val="{0740D727-47D7-4EBE-AD77-E0C765E9D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7F6"/>
    <w:pPr>
      <w:spacing w:after="0" w:line="240" w:lineRule="auto"/>
      <w:jc w:val="center"/>
    </w:pPr>
    <w:rPr>
      <w:rFonts w:ascii="Times New Roman" w:eastAsia="SimSun" w:hAnsi="Times New Roman" w:cs="Times New Roman"/>
      <w:kern w:val="0"/>
      <w:sz w:val="20"/>
      <w:szCs w:val="20"/>
      <w14:ligatures w14:val="none"/>
    </w:rPr>
  </w:style>
  <w:style w:type="paragraph" w:styleId="Heading1">
    <w:name w:val="heading 1"/>
    <w:basedOn w:val="Normal"/>
    <w:next w:val="Normal"/>
    <w:link w:val="Heading1Char"/>
    <w:qFormat/>
    <w:rsid w:val="00395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5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D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D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D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D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D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D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D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D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5D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D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D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D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D89"/>
    <w:rPr>
      <w:rFonts w:eastAsiaTheme="majorEastAsia" w:cstheme="majorBidi"/>
      <w:color w:val="272727" w:themeColor="text1" w:themeTint="D8"/>
    </w:rPr>
  </w:style>
  <w:style w:type="paragraph" w:styleId="Title">
    <w:name w:val="Title"/>
    <w:basedOn w:val="Normal"/>
    <w:next w:val="Normal"/>
    <w:link w:val="TitleChar"/>
    <w:uiPriority w:val="10"/>
    <w:qFormat/>
    <w:rsid w:val="00395D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D89"/>
    <w:pPr>
      <w:spacing w:before="160"/>
    </w:pPr>
    <w:rPr>
      <w:i/>
      <w:iCs/>
      <w:color w:val="404040" w:themeColor="text1" w:themeTint="BF"/>
    </w:rPr>
  </w:style>
  <w:style w:type="character" w:customStyle="1" w:styleId="QuoteChar">
    <w:name w:val="Quote Char"/>
    <w:basedOn w:val="DefaultParagraphFont"/>
    <w:link w:val="Quote"/>
    <w:uiPriority w:val="29"/>
    <w:rsid w:val="00395D89"/>
    <w:rPr>
      <w:i/>
      <w:iCs/>
      <w:color w:val="404040" w:themeColor="text1" w:themeTint="BF"/>
    </w:rPr>
  </w:style>
  <w:style w:type="paragraph" w:styleId="ListParagraph">
    <w:name w:val="List Paragraph"/>
    <w:basedOn w:val="Normal"/>
    <w:uiPriority w:val="34"/>
    <w:qFormat/>
    <w:rsid w:val="00395D89"/>
    <w:pPr>
      <w:ind w:left="720"/>
      <w:contextualSpacing/>
    </w:pPr>
  </w:style>
  <w:style w:type="character" w:styleId="IntenseEmphasis">
    <w:name w:val="Intense Emphasis"/>
    <w:basedOn w:val="DefaultParagraphFont"/>
    <w:uiPriority w:val="21"/>
    <w:qFormat/>
    <w:rsid w:val="00395D89"/>
    <w:rPr>
      <w:i/>
      <w:iCs/>
      <w:color w:val="0F4761" w:themeColor="accent1" w:themeShade="BF"/>
    </w:rPr>
  </w:style>
  <w:style w:type="paragraph" w:styleId="IntenseQuote">
    <w:name w:val="Intense Quote"/>
    <w:basedOn w:val="Normal"/>
    <w:next w:val="Normal"/>
    <w:link w:val="IntenseQuoteChar"/>
    <w:uiPriority w:val="30"/>
    <w:qFormat/>
    <w:rsid w:val="00395D89"/>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395D89"/>
    <w:rPr>
      <w:i/>
      <w:iCs/>
      <w:color w:val="0F4761" w:themeColor="accent1" w:themeShade="BF"/>
    </w:rPr>
  </w:style>
  <w:style w:type="character" w:styleId="IntenseReference">
    <w:name w:val="Intense Reference"/>
    <w:basedOn w:val="DefaultParagraphFont"/>
    <w:uiPriority w:val="32"/>
    <w:qFormat/>
    <w:rsid w:val="00395D89"/>
    <w:rPr>
      <w:b/>
      <w:bCs/>
      <w:smallCaps/>
      <w:color w:val="0F4761" w:themeColor="accent1" w:themeShade="BF"/>
      <w:spacing w:val="5"/>
    </w:rPr>
  </w:style>
  <w:style w:type="paragraph" w:customStyle="1" w:styleId="Abstract">
    <w:name w:val="Abstract"/>
    <w:rsid w:val="008337F6"/>
    <w:pPr>
      <w:spacing w:after="200" w:line="240" w:lineRule="auto"/>
      <w:ind w:firstLine="272"/>
      <w:jc w:val="both"/>
    </w:pPr>
    <w:rPr>
      <w:rFonts w:ascii="Times New Roman" w:eastAsia="SimSun" w:hAnsi="Times New Roman" w:cs="Times New Roman"/>
      <w:b/>
      <w:bCs/>
      <w:kern w:val="0"/>
      <w:sz w:val="18"/>
      <w:szCs w:val="18"/>
      <w14:ligatures w14:val="none"/>
    </w:rPr>
  </w:style>
  <w:style w:type="paragraph" w:customStyle="1" w:styleId="Author">
    <w:name w:val="Author"/>
    <w:rsid w:val="008337F6"/>
    <w:pPr>
      <w:spacing w:before="360" w:after="40" w:line="240" w:lineRule="auto"/>
      <w:jc w:val="center"/>
    </w:pPr>
    <w:rPr>
      <w:rFonts w:ascii="Times New Roman" w:eastAsia="SimSun" w:hAnsi="Times New Roman" w:cs="Times New Roman"/>
      <w:noProof/>
      <w:kern w:val="0"/>
      <w:sz w:val="22"/>
      <w:szCs w:val="22"/>
      <w14:ligatures w14:val="none"/>
    </w:rPr>
  </w:style>
  <w:style w:type="paragraph" w:styleId="BodyText">
    <w:name w:val="Body Text"/>
    <w:basedOn w:val="Normal"/>
    <w:link w:val="BodyTextChar"/>
    <w:rsid w:val="008337F6"/>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8337F6"/>
    <w:rPr>
      <w:rFonts w:ascii="Times New Roman" w:eastAsia="SimSun" w:hAnsi="Times New Roman" w:cs="Times New Roman"/>
      <w:spacing w:val="-1"/>
      <w:kern w:val="0"/>
      <w:sz w:val="20"/>
      <w:szCs w:val="20"/>
      <w:lang w:val="x-none" w:eastAsia="x-none"/>
      <w14:ligatures w14:val="none"/>
    </w:rPr>
  </w:style>
  <w:style w:type="paragraph" w:customStyle="1" w:styleId="papertitle">
    <w:name w:val="paper title"/>
    <w:rsid w:val="008337F6"/>
    <w:pPr>
      <w:spacing w:after="120" w:line="240" w:lineRule="auto"/>
      <w:jc w:val="center"/>
    </w:pPr>
    <w:rPr>
      <w:rFonts w:ascii="Times New Roman" w:eastAsia="MS Mincho" w:hAnsi="Times New Roman" w:cs="Times New Roman"/>
      <w:noProof/>
      <w:kern w:val="0"/>
      <w:sz w:val="48"/>
      <w:szCs w:val="48"/>
      <w14:ligatures w14:val="none"/>
    </w:rPr>
  </w:style>
  <w:style w:type="paragraph" w:styleId="Footer">
    <w:name w:val="footer"/>
    <w:basedOn w:val="Normal"/>
    <w:link w:val="FooterChar"/>
    <w:rsid w:val="008337F6"/>
    <w:pPr>
      <w:tabs>
        <w:tab w:val="center" w:pos="4680"/>
        <w:tab w:val="right" w:pos="9360"/>
      </w:tabs>
    </w:pPr>
  </w:style>
  <w:style w:type="character" w:customStyle="1" w:styleId="FooterChar">
    <w:name w:val="Footer Char"/>
    <w:basedOn w:val="DefaultParagraphFont"/>
    <w:link w:val="Footer"/>
    <w:rsid w:val="008337F6"/>
    <w:rPr>
      <w:rFonts w:ascii="Times New Roman" w:eastAsia="SimSun" w:hAnsi="Times New Roman" w:cs="Times New Roman"/>
      <w:kern w:val="0"/>
      <w:sz w:val="20"/>
      <w:szCs w:val="20"/>
      <w14:ligatures w14:val="none"/>
    </w:rPr>
  </w:style>
  <w:style w:type="table" w:styleId="TableGrid">
    <w:name w:val="Table Grid"/>
    <w:basedOn w:val="TableNormal"/>
    <w:uiPriority w:val="39"/>
    <w:rsid w:val="00833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337F6"/>
    <w:rPr>
      <w:color w:val="467886"/>
      <w:u w:val="single"/>
    </w:rPr>
  </w:style>
  <w:style w:type="paragraph" w:styleId="NormalWeb">
    <w:name w:val="Normal (Web)"/>
    <w:basedOn w:val="Normal"/>
    <w:uiPriority w:val="99"/>
    <w:semiHidden/>
    <w:unhideWhenUsed/>
    <w:rsid w:val="008337F6"/>
    <w:pPr>
      <w:spacing w:before="100" w:beforeAutospacing="1" w:after="100" w:afterAutospacing="1"/>
      <w:jc w:val="left"/>
    </w:pPr>
    <w:rPr>
      <w:rFonts w:eastAsia="Times New Roman"/>
      <w:sz w:val="24"/>
      <w:szCs w:val="24"/>
    </w:rPr>
  </w:style>
  <w:style w:type="character" w:styleId="UnresolvedMention">
    <w:name w:val="Unresolved Mention"/>
    <w:basedOn w:val="DefaultParagraphFont"/>
    <w:uiPriority w:val="99"/>
    <w:semiHidden/>
    <w:unhideWhenUsed/>
    <w:rsid w:val="004046B2"/>
    <w:rPr>
      <w:color w:val="605E5C"/>
      <w:shd w:val="clear" w:color="auto" w:fill="E1DFDD"/>
    </w:rPr>
  </w:style>
  <w:style w:type="character" w:styleId="PlaceholderText">
    <w:name w:val="Placeholder Text"/>
    <w:basedOn w:val="DefaultParagraphFont"/>
    <w:uiPriority w:val="99"/>
    <w:semiHidden/>
    <w:rsid w:val="0003716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4771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er" Target="footer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Hom26</b:Tag>
    <b:SourceType>InternetSite</b:SourceType>
    <b:Guid>{F21E3591-5EC0-4411-A886-181B0F739808}</b:Guid>
    <b:Title>Home Depot</b:Title>
    <b:Author>
      <b:Author>
        <b:NameList>
          <b:Person>
            <b:Last>Depot</b:Last>
            <b:First>Home</b:First>
          </b:Person>
        </b:NameList>
      </b:Author>
    </b:Author>
    <b:ProductionCompany>USG</b:ProductionCompany>
    <b:YearAccessed>2026</b:YearAccessed>
    <b:MonthAccessed>04</b:MonthAccessed>
    <b:DayAccessed>27</b:DayAccessed>
    <b:URL>https://www.homedepot.com/p/USG-Ceilings-2-ft-x-2-ft-Luna-White-Shadowline-Tapered-Edge-Lay-In-Ceiling-Tile-case-of-12-48-sq-ft-R76775/203628313</b:URL>
    <b:RefOrder>2</b:RefOrder>
  </b:Source>
  <b:Source>
    <b:Tag>asd</b:Tag>
    <b:SourceType>InternetSite</b:SourceType>
    <b:Guid>{1DB4903E-49C4-4BDF-8F9F-EB84F190DEDF}</b:Guid>
    <b:URL>asdf</b:URL>
    <b:RefOrder>3</b:RefOrder>
  </b:Source>
  <b:Source>
    <b:Tag>DrS261</b:Tag>
    <b:SourceType>ElectronicSource</b:SourceType>
    <b:Guid>{EA654BD4-963E-40B4-8757-716BAFC2904F}</b:Guid>
    <b:Title>Lab 2: Microwave Optics</b:Title>
    <b:Year>2026</b:Year>
    <b:City>Conway</b:City>
    <b:Publisher>University of Central Arkansas</b:Publisher>
    <b:Author>
      <b:Author>
        <b:NameList>
          <b:Person>
            <b:Last>Ph.D</b:Last>
            <b:First>Dr.</b:First>
            <b:Middle>Slaton</b:Middle>
          </b:Person>
        </b:NameList>
      </b:Author>
    </b:Author>
    <b:RefOrder>1</b:RefOrder>
  </b:Source>
</b:Sources>
</file>

<file path=customXml/itemProps1.xml><?xml version="1.0" encoding="utf-8"?>
<ds:datastoreItem xmlns:ds="http://schemas.openxmlformats.org/officeDocument/2006/customXml" ds:itemID="{99E666D4-EAA1-4A81-AA5F-09EA47208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4</Pages>
  <Words>1577</Words>
  <Characters>8994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Milton Young</dc:creator>
  <cp:keywords/>
  <dc:description/>
  <cp:lastModifiedBy>Caleb Milton Young</cp:lastModifiedBy>
  <cp:revision>74</cp:revision>
  <dcterms:created xsi:type="dcterms:W3CDTF">2026-04-29T05:34:00Z</dcterms:created>
  <dcterms:modified xsi:type="dcterms:W3CDTF">2026-04-29T06:53:00Z</dcterms:modified>
</cp:coreProperties>
</file>