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F56A" w14:textId="77E20A3C" w:rsidR="00180A7E" w:rsidRDefault="00180A7E" w:rsidP="00796AEF">
      <w:pPr>
        <w:jc w:val="center"/>
        <w:rPr>
          <w:b/>
          <w:bCs/>
          <w:sz w:val="28"/>
          <w:szCs w:val="28"/>
        </w:rPr>
      </w:pPr>
      <w:r w:rsidRPr="00180A7E">
        <w:rPr>
          <w:b/>
          <w:bCs/>
          <w:sz w:val="36"/>
          <w:szCs w:val="36"/>
        </w:rPr>
        <w:t xml:space="preserve">Phase 2 – Data Preparation &amp; </w:t>
      </w:r>
      <w:r>
        <w:rPr>
          <w:b/>
          <w:bCs/>
          <w:sz w:val="36"/>
          <w:szCs w:val="36"/>
        </w:rPr>
        <w:t>Analysis</w:t>
      </w:r>
    </w:p>
    <w:p w14:paraId="60F5A85D" w14:textId="77777777" w:rsidR="00180A7E" w:rsidRPr="00633C32" w:rsidRDefault="00180A7E" w:rsidP="00180A7E">
      <w:pPr>
        <w:jc w:val="center"/>
        <w:rPr>
          <w:b/>
          <w:bCs/>
          <w:sz w:val="36"/>
          <w:szCs w:val="36"/>
        </w:rPr>
      </w:pPr>
    </w:p>
    <w:p w14:paraId="4B48F537" w14:textId="77777777" w:rsidR="00180A7E" w:rsidRPr="00633C32" w:rsidRDefault="00180A7E" w:rsidP="00180A7E">
      <w:pPr>
        <w:spacing w:line="360" w:lineRule="auto"/>
        <w:rPr>
          <w:sz w:val="24"/>
          <w:szCs w:val="24"/>
        </w:rPr>
      </w:pPr>
      <w:r w:rsidRPr="00633C32">
        <w:rPr>
          <w:sz w:val="24"/>
          <w:szCs w:val="24"/>
        </w:rPr>
        <w:t>Name: Caleb. S</w:t>
      </w:r>
    </w:p>
    <w:p w14:paraId="48F41B5E" w14:textId="77777777" w:rsidR="00180A7E" w:rsidRPr="00633C32" w:rsidRDefault="00180A7E" w:rsidP="00180A7E">
      <w:pPr>
        <w:spacing w:line="360" w:lineRule="auto"/>
        <w:rPr>
          <w:sz w:val="24"/>
          <w:szCs w:val="24"/>
        </w:rPr>
      </w:pPr>
      <w:r w:rsidRPr="00633C32">
        <w:rPr>
          <w:sz w:val="24"/>
          <w:szCs w:val="24"/>
        </w:rPr>
        <w:t>Department: Mechanical Engineering</w:t>
      </w:r>
    </w:p>
    <w:p w14:paraId="2ECB4B70" w14:textId="35AF9A02" w:rsidR="00180A7E" w:rsidRPr="00180A7E" w:rsidRDefault="00180A7E" w:rsidP="00180A7E">
      <w:pPr>
        <w:spacing w:line="360" w:lineRule="auto"/>
        <w:rPr>
          <w:b/>
          <w:bCs/>
          <w:sz w:val="28"/>
          <w:szCs w:val="28"/>
        </w:rPr>
      </w:pPr>
      <w:r w:rsidRPr="00633C32">
        <w:rPr>
          <w:sz w:val="24"/>
          <w:szCs w:val="24"/>
        </w:rPr>
        <w:t>Roll no: 2503713811421004</w:t>
      </w:r>
      <w:r>
        <w:rPr>
          <w:b/>
          <w:bCs/>
          <w:sz w:val="28"/>
          <w:szCs w:val="28"/>
        </w:rPr>
        <w:br/>
        <w:t>--------------------------------------------------------------------------------------------------------</w:t>
      </w:r>
    </w:p>
    <w:p w14:paraId="701462B6" w14:textId="5352E941" w:rsidR="00E07B18" w:rsidRPr="00180A7E" w:rsidRDefault="00000000" w:rsidP="00180A7E">
      <w:pPr>
        <w:pStyle w:val="Heading2"/>
        <w:spacing w:before="240" w:after="120" w:line="276" w:lineRule="auto"/>
        <w:jc w:val="both"/>
        <w:rPr>
          <w:color w:val="auto"/>
          <w:sz w:val="32"/>
          <w:szCs w:val="32"/>
        </w:rPr>
      </w:pPr>
      <w:r w:rsidRPr="00180A7E">
        <w:rPr>
          <w:b/>
          <w:bCs/>
          <w:color w:val="auto"/>
          <w:sz w:val="28"/>
          <w:szCs w:val="28"/>
        </w:rPr>
        <w:t>1. Data Collection</w:t>
      </w:r>
    </w:p>
    <w:tbl>
      <w:tblPr>
        <w:tblStyle w:val="TableGrid"/>
        <w:tblW w:w="9200" w:type="dxa"/>
        <w:tblLook w:val="04A0" w:firstRow="1" w:lastRow="0" w:firstColumn="1" w:lastColumn="0" w:noHBand="0" w:noVBand="1"/>
      </w:tblPr>
      <w:tblGrid>
        <w:gridCol w:w="3200"/>
        <w:gridCol w:w="6000"/>
      </w:tblGrid>
      <w:tr w:rsidR="00E07B18" w:rsidRPr="00180A7E" w14:paraId="06356650" w14:textId="77777777" w:rsidTr="00CA2D99">
        <w:trPr>
          <w:trHeight w:val="432"/>
        </w:trPr>
        <w:tc>
          <w:tcPr>
            <w:tcW w:w="3200" w:type="dxa"/>
          </w:tcPr>
          <w:p w14:paraId="591BD06F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6000" w:type="dxa"/>
          </w:tcPr>
          <w:p w14:paraId="1B1816F5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E07B18" w:rsidRPr="00180A7E" w14:paraId="30944820" w14:textId="77777777" w:rsidTr="00CA2D99">
        <w:trPr>
          <w:trHeight w:val="432"/>
        </w:trPr>
        <w:tc>
          <w:tcPr>
            <w:tcW w:w="3200" w:type="dxa"/>
          </w:tcPr>
          <w:p w14:paraId="49A2AC1B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Source of Dataset</w:t>
            </w:r>
          </w:p>
        </w:tc>
        <w:tc>
          <w:tcPr>
            <w:tcW w:w="6000" w:type="dxa"/>
          </w:tcPr>
          <w:p w14:paraId="00B1659F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Provided CSV file: customer_churn_dataset-testing-master.csv (publicly available customer churn dataset)</w:t>
            </w:r>
          </w:p>
        </w:tc>
      </w:tr>
      <w:tr w:rsidR="00E07B18" w:rsidRPr="00180A7E" w14:paraId="0834A3F8" w14:textId="77777777" w:rsidTr="00CA2D99">
        <w:trPr>
          <w:trHeight w:val="432"/>
        </w:trPr>
        <w:tc>
          <w:tcPr>
            <w:tcW w:w="3200" w:type="dxa"/>
          </w:tcPr>
          <w:p w14:paraId="439FB26B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Dataset Size</w:t>
            </w:r>
          </w:p>
        </w:tc>
        <w:tc>
          <w:tcPr>
            <w:tcW w:w="6000" w:type="dxa"/>
          </w:tcPr>
          <w:p w14:paraId="608C7A17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64,374 rows × 12 columns</w:t>
            </w:r>
          </w:p>
        </w:tc>
      </w:tr>
      <w:tr w:rsidR="00E07B18" w:rsidRPr="00180A7E" w14:paraId="53F58230" w14:textId="77777777" w:rsidTr="00CA2D99">
        <w:trPr>
          <w:trHeight w:val="432"/>
        </w:trPr>
        <w:tc>
          <w:tcPr>
            <w:tcW w:w="3200" w:type="dxa"/>
          </w:tcPr>
          <w:p w14:paraId="66830BE0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Number of Features/Columns</w:t>
            </w:r>
          </w:p>
        </w:tc>
        <w:tc>
          <w:tcPr>
            <w:tcW w:w="6000" w:type="dxa"/>
          </w:tcPr>
          <w:p w14:paraId="4C6B85B6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12 total (10 predictor features, 1 identifier, 1 target variable)</w:t>
            </w:r>
          </w:p>
        </w:tc>
      </w:tr>
    </w:tbl>
    <w:p w14:paraId="0C905AEF" w14:textId="77777777" w:rsidR="00E07B18" w:rsidRPr="00180A7E" w:rsidRDefault="00000000" w:rsidP="00180A7E">
      <w:pPr>
        <w:spacing w:before="160" w:after="8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</w:rPr>
        <w:t>Description of Important Attributes</w:t>
      </w:r>
    </w:p>
    <w:tbl>
      <w:tblPr>
        <w:tblStyle w:val="TableGrid"/>
        <w:tblW w:w="9200" w:type="dxa"/>
        <w:tblLook w:val="04A0" w:firstRow="1" w:lastRow="0" w:firstColumn="1" w:lastColumn="0" w:noHBand="0" w:noVBand="1"/>
      </w:tblPr>
      <w:tblGrid>
        <w:gridCol w:w="2600"/>
        <w:gridCol w:w="6600"/>
      </w:tblGrid>
      <w:tr w:rsidR="00E07B18" w:rsidRPr="00180A7E" w14:paraId="71C99895" w14:textId="77777777" w:rsidTr="00CA2D99">
        <w:trPr>
          <w:trHeight w:val="432"/>
        </w:trPr>
        <w:tc>
          <w:tcPr>
            <w:tcW w:w="2600" w:type="dxa"/>
          </w:tcPr>
          <w:p w14:paraId="18FD4118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6600" w:type="dxa"/>
          </w:tcPr>
          <w:p w14:paraId="46B6E706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07B18" w:rsidRPr="00180A7E" w14:paraId="228368D2" w14:textId="77777777" w:rsidTr="00CA2D99">
        <w:trPr>
          <w:trHeight w:val="432"/>
        </w:trPr>
        <w:tc>
          <w:tcPr>
            <w:tcW w:w="2600" w:type="dxa"/>
          </w:tcPr>
          <w:p w14:paraId="5DEF904D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180A7E">
              <w:rPr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6600" w:type="dxa"/>
          </w:tcPr>
          <w:p w14:paraId="4A7FC3B2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Unique identifier for each customer</w:t>
            </w:r>
          </w:p>
        </w:tc>
      </w:tr>
      <w:tr w:rsidR="00E07B18" w:rsidRPr="00180A7E" w14:paraId="332125BD" w14:textId="77777777" w:rsidTr="00CA2D99">
        <w:trPr>
          <w:trHeight w:val="432"/>
        </w:trPr>
        <w:tc>
          <w:tcPr>
            <w:tcW w:w="2600" w:type="dxa"/>
          </w:tcPr>
          <w:p w14:paraId="2658FC02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Age</w:t>
            </w:r>
          </w:p>
        </w:tc>
        <w:tc>
          <w:tcPr>
            <w:tcW w:w="6600" w:type="dxa"/>
          </w:tcPr>
          <w:p w14:paraId="3EC8A9A6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Age of the customer (18–65 years)</w:t>
            </w:r>
          </w:p>
        </w:tc>
      </w:tr>
      <w:tr w:rsidR="00E07B18" w:rsidRPr="00180A7E" w14:paraId="3FE2512B" w14:textId="77777777" w:rsidTr="00CA2D99">
        <w:trPr>
          <w:trHeight w:val="432"/>
        </w:trPr>
        <w:tc>
          <w:tcPr>
            <w:tcW w:w="2600" w:type="dxa"/>
          </w:tcPr>
          <w:p w14:paraId="19B194BC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Gender</w:t>
            </w:r>
          </w:p>
        </w:tc>
        <w:tc>
          <w:tcPr>
            <w:tcW w:w="6600" w:type="dxa"/>
          </w:tcPr>
          <w:p w14:paraId="4CA3B84D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Customer gender (Male/Female)</w:t>
            </w:r>
          </w:p>
        </w:tc>
      </w:tr>
      <w:tr w:rsidR="00E07B18" w:rsidRPr="00180A7E" w14:paraId="0CB83074" w14:textId="77777777" w:rsidTr="00CA2D99">
        <w:trPr>
          <w:trHeight w:val="432"/>
        </w:trPr>
        <w:tc>
          <w:tcPr>
            <w:tcW w:w="2600" w:type="dxa"/>
          </w:tcPr>
          <w:p w14:paraId="6850A760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Tenure</w:t>
            </w:r>
          </w:p>
        </w:tc>
        <w:tc>
          <w:tcPr>
            <w:tcW w:w="6600" w:type="dxa"/>
          </w:tcPr>
          <w:p w14:paraId="7931F606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Number of months the customer has been with the company (1–60)</w:t>
            </w:r>
          </w:p>
        </w:tc>
      </w:tr>
      <w:tr w:rsidR="00E07B18" w:rsidRPr="00180A7E" w14:paraId="00F43579" w14:textId="77777777" w:rsidTr="00CA2D99">
        <w:trPr>
          <w:trHeight w:val="432"/>
        </w:trPr>
        <w:tc>
          <w:tcPr>
            <w:tcW w:w="2600" w:type="dxa"/>
          </w:tcPr>
          <w:p w14:paraId="112797C1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Usage Frequency</w:t>
            </w:r>
          </w:p>
        </w:tc>
        <w:tc>
          <w:tcPr>
            <w:tcW w:w="6600" w:type="dxa"/>
          </w:tcPr>
          <w:p w14:paraId="36F570C6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Frequency of service usage (1–30)</w:t>
            </w:r>
          </w:p>
        </w:tc>
      </w:tr>
      <w:tr w:rsidR="00E07B18" w:rsidRPr="00180A7E" w14:paraId="2521FB24" w14:textId="77777777" w:rsidTr="00CA2D99">
        <w:trPr>
          <w:trHeight w:val="432"/>
        </w:trPr>
        <w:tc>
          <w:tcPr>
            <w:tcW w:w="2600" w:type="dxa"/>
          </w:tcPr>
          <w:p w14:paraId="33B418C2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Support Calls</w:t>
            </w:r>
          </w:p>
        </w:tc>
        <w:tc>
          <w:tcPr>
            <w:tcW w:w="6600" w:type="dxa"/>
          </w:tcPr>
          <w:p w14:paraId="1F268DFE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Number of customer support calls made (0–10)</w:t>
            </w:r>
          </w:p>
        </w:tc>
      </w:tr>
      <w:tr w:rsidR="00E07B18" w:rsidRPr="00180A7E" w14:paraId="68A46EFD" w14:textId="77777777" w:rsidTr="00CA2D99">
        <w:trPr>
          <w:trHeight w:val="432"/>
        </w:trPr>
        <w:tc>
          <w:tcPr>
            <w:tcW w:w="2600" w:type="dxa"/>
          </w:tcPr>
          <w:p w14:paraId="23AC5634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Payment Delay</w:t>
            </w:r>
          </w:p>
        </w:tc>
        <w:tc>
          <w:tcPr>
            <w:tcW w:w="6600" w:type="dxa"/>
          </w:tcPr>
          <w:p w14:paraId="2573DAFA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Number of days payment was delayed (0–30)</w:t>
            </w:r>
          </w:p>
        </w:tc>
      </w:tr>
      <w:tr w:rsidR="00E07B18" w:rsidRPr="00180A7E" w14:paraId="630123BD" w14:textId="77777777" w:rsidTr="00CA2D99">
        <w:trPr>
          <w:trHeight w:val="432"/>
        </w:trPr>
        <w:tc>
          <w:tcPr>
            <w:tcW w:w="2600" w:type="dxa"/>
          </w:tcPr>
          <w:p w14:paraId="0742D105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Subscription Type</w:t>
            </w:r>
          </w:p>
        </w:tc>
        <w:tc>
          <w:tcPr>
            <w:tcW w:w="6600" w:type="dxa"/>
          </w:tcPr>
          <w:p w14:paraId="2959543B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Type of subscription plan – Basic, Standard, or Premium</w:t>
            </w:r>
          </w:p>
        </w:tc>
      </w:tr>
      <w:tr w:rsidR="00E07B18" w:rsidRPr="00180A7E" w14:paraId="63C2A685" w14:textId="77777777" w:rsidTr="00CA2D99">
        <w:trPr>
          <w:trHeight w:val="432"/>
        </w:trPr>
        <w:tc>
          <w:tcPr>
            <w:tcW w:w="2600" w:type="dxa"/>
          </w:tcPr>
          <w:p w14:paraId="3DC4EE5D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Contract Length</w:t>
            </w:r>
          </w:p>
        </w:tc>
        <w:tc>
          <w:tcPr>
            <w:tcW w:w="6600" w:type="dxa"/>
          </w:tcPr>
          <w:p w14:paraId="46F9446B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Duration of contract – Monthly, Quarterly, or Annual</w:t>
            </w:r>
          </w:p>
        </w:tc>
      </w:tr>
      <w:tr w:rsidR="00E07B18" w:rsidRPr="00180A7E" w14:paraId="46A077F0" w14:textId="77777777" w:rsidTr="00CA2D99">
        <w:trPr>
          <w:trHeight w:val="432"/>
        </w:trPr>
        <w:tc>
          <w:tcPr>
            <w:tcW w:w="2600" w:type="dxa"/>
          </w:tcPr>
          <w:p w14:paraId="3D7B1A80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Total Spend</w:t>
            </w:r>
          </w:p>
        </w:tc>
        <w:tc>
          <w:tcPr>
            <w:tcW w:w="6600" w:type="dxa"/>
          </w:tcPr>
          <w:p w14:paraId="36B486B4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Total amount spent by the customer (100–1000)</w:t>
            </w:r>
          </w:p>
        </w:tc>
      </w:tr>
      <w:tr w:rsidR="00E07B18" w:rsidRPr="00180A7E" w14:paraId="4AF0009C" w14:textId="77777777" w:rsidTr="00CA2D99">
        <w:trPr>
          <w:trHeight w:val="432"/>
        </w:trPr>
        <w:tc>
          <w:tcPr>
            <w:tcW w:w="2600" w:type="dxa"/>
          </w:tcPr>
          <w:p w14:paraId="15261625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Last Interaction</w:t>
            </w:r>
          </w:p>
        </w:tc>
        <w:tc>
          <w:tcPr>
            <w:tcW w:w="6600" w:type="dxa"/>
          </w:tcPr>
          <w:p w14:paraId="712C48C1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Days since the customer's last interaction (1–30)</w:t>
            </w:r>
          </w:p>
        </w:tc>
      </w:tr>
      <w:tr w:rsidR="00E07B18" w:rsidRPr="00180A7E" w14:paraId="04198402" w14:textId="77777777" w:rsidTr="00CA2D99">
        <w:trPr>
          <w:trHeight w:val="432"/>
        </w:trPr>
        <w:tc>
          <w:tcPr>
            <w:tcW w:w="2600" w:type="dxa"/>
          </w:tcPr>
          <w:p w14:paraId="74543B1C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Churn</w:t>
            </w:r>
          </w:p>
        </w:tc>
        <w:tc>
          <w:tcPr>
            <w:tcW w:w="6600" w:type="dxa"/>
          </w:tcPr>
          <w:p w14:paraId="5E6C843A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Target variable – 1 if the customer churned, 0 otherwise</w:t>
            </w:r>
          </w:p>
        </w:tc>
      </w:tr>
    </w:tbl>
    <w:p w14:paraId="61E9F985" w14:textId="77777777" w:rsidR="00E07B18" w:rsidRPr="00180A7E" w:rsidRDefault="00000000" w:rsidP="00180A7E">
      <w:pPr>
        <w:pStyle w:val="Heading2"/>
        <w:spacing w:before="240" w:after="120" w:line="276" w:lineRule="auto"/>
        <w:jc w:val="both"/>
        <w:rPr>
          <w:color w:val="auto"/>
          <w:sz w:val="32"/>
          <w:szCs w:val="32"/>
        </w:rPr>
      </w:pPr>
      <w:r w:rsidRPr="00180A7E">
        <w:rPr>
          <w:b/>
          <w:bCs/>
          <w:color w:val="auto"/>
          <w:sz w:val="28"/>
          <w:szCs w:val="28"/>
        </w:rPr>
        <w:t>2. Data Cleaning</w:t>
      </w:r>
    </w:p>
    <w:p w14:paraId="68165761" w14:textId="77777777" w:rsidR="00E07B18" w:rsidRPr="00180A7E" w:rsidRDefault="00000000" w:rsidP="00180A7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  <w:u w:val="single"/>
        </w:rPr>
        <w:t>Missing-Value Handling:</w:t>
      </w:r>
      <w:r w:rsidRPr="00180A7E">
        <w:rPr>
          <w:sz w:val="24"/>
          <w:szCs w:val="24"/>
        </w:rPr>
        <w:t xml:space="preserve"> The dataset was checked column-by-column for null/missing values using </w:t>
      </w:r>
      <w:proofErr w:type="spellStart"/>
      <w:proofErr w:type="gramStart"/>
      <w:r w:rsidRPr="00180A7E">
        <w:rPr>
          <w:sz w:val="24"/>
          <w:szCs w:val="24"/>
        </w:rPr>
        <w:t>df.isnull</w:t>
      </w:r>
      <w:proofErr w:type="spellEnd"/>
      <w:proofErr w:type="gramEnd"/>
      <w:r w:rsidRPr="00180A7E">
        <w:rPr>
          <w:sz w:val="24"/>
          <w:szCs w:val="24"/>
        </w:rPr>
        <w:t>(</w:t>
      </w:r>
      <w:proofErr w:type="gramStart"/>
      <w:r w:rsidRPr="00180A7E">
        <w:rPr>
          <w:sz w:val="24"/>
          <w:szCs w:val="24"/>
        </w:rPr>
        <w:t>).sum</w:t>
      </w:r>
      <w:proofErr w:type="gramEnd"/>
      <w:r w:rsidRPr="00180A7E">
        <w:rPr>
          <w:sz w:val="24"/>
          <w:szCs w:val="24"/>
        </w:rPr>
        <w:t>(); no missing values were found across any of the 12 columns, so no imputation was required.</w:t>
      </w:r>
    </w:p>
    <w:p w14:paraId="3C230BF1" w14:textId="77777777" w:rsidR="00E07B18" w:rsidRPr="00180A7E" w:rsidRDefault="00000000" w:rsidP="00180A7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  <w:u w:val="single"/>
        </w:rPr>
        <w:t>Duplicate Removal:</w:t>
      </w:r>
      <w:r w:rsidRPr="00180A7E">
        <w:rPr>
          <w:sz w:val="24"/>
          <w:szCs w:val="24"/>
        </w:rPr>
        <w:t xml:space="preserve"> The dataset was checked for duplicate rows using </w:t>
      </w:r>
      <w:proofErr w:type="spellStart"/>
      <w:proofErr w:type="gramStart"/>
      <w:r w:rsidRPr="00180A7E">
        <w:rPr>
          <w:sz w:val="24"/>
          <w:szCs w:val="24"/>
        </w:rPr>
        <w:t>df.duplicated</w:t>
      </w:r>
      <w:proofErr w:type="spellEnd"/>
      <w:proofErr w:type="gramEnd"/>
      <w:r w:rsidRPr="00180A7E">
        <w:rPr>
          <w:sz w:val="24"/>
          <w:szCs w:val="24"/>
        </w:rPr>
        <w:t>(</w:t>
      </w:r>
      <w:proofErr w:type="gramStart"/>
      <w:r w:rsidRPr="00180A7E">
        <w:rPr>
          <w:sz w:val="24"/>
          <w:szCs w:val="24"/>
        </w:rPr>
        <w:t>).sum</w:t>
      </w:r>
      <w:proofErr w:type="gramEnd"/>
      <w:r w:rsidRPr="00180A7E">
        <w:rPr>
          <w:sz w:val="24"/>
          <w:szCs w:val="24"/>
        </w:rPr>
        <w:t>(); zero duplicate records were found, confirming each row represents a unique customer entry.</w:t>
      </w:r>
    </w:p>
    <w:p w14:paraId="278DDF04" w14:textId="77777777" w:rsidR="00E07B18" w:rsidRPr="00180A7E" w:rsidRDefault="00000000" w:rsidP="00180A7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  <w:u w:val="single"/>
        </w:rPr>
        <w:t>Outlier Handling:</w:t>
      </w:r>
      <w:r w:rsidRPr="00180A7E">
        <w:rPr>
          <w:sz w:val="24"/>
          <w:szCs w:val="24"/>
        </w:rPr>
        <w:t xml:space="preserve"> Numerical columns (Age, Tenure, Support Calls, Payment Delay, Total Spend) were examined using box plots and the Interquartile Range (IQR) method. Values fall </w:t>
      </w:r>
      <w:r w:rsidRPr="00180A7E">
        <w:rPr>
          <w:sz w:val="24"/>
          <w:szCs w:val="24"/>
        </w:rPr>
        <w:lastRenderedPageBreak/>
        <w:t>within realistic, bounded ranges (e.g., Age: 18–65, Support Calls: 0–10), indicating the dataset is largely free of extreme outliers, so no rows required removal.</w:t>
      </w:r>
    </w:p>
    <w:p w14:paraId="08B1545A" w14:textId="77777777" w:rsidR="00E07B18" w:rsidRPr="00180A7E" w:rsidRDefault="00000000" w:rsidP="00180A7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  <w:u w:val="single"/>
        </w:rPr>
        <w:t>Incorrect/Inconsistent Data Handling:</w:t>
      </w:r>
      <w:r w:rsidRPr="00180A7E">
        <w:rPr>
          <w:sz w:val="24"/>
          <w:szCs w:val="24"/>
        </w:rPr>
        <w:t xml:space="preserve"> Data types were verified for each column (numerical fields stored as integers, categorical fields as strings). Categorical columns (Gender, Subscription Type, Contract Length) were checked for consistent labelling/spelling, and </w:t>
      </w:r>
      <w:proofErr w:type="spellStart"/>
      <w:r w:rsidRPr="00180A7E">
        <w:rPr>
          <w:sz w:val="24"/>
          <w:szCs w:val="24"/>
        </w:rPr>
        <w:t>CustomerID</w:t>
      </w:r>
      <w:proofErr w:type="spellEnd"/>
      <w:r w:rsidRPr="00180A7E">
        <w:rPr>
          <w:sz w:val="24"/>
          <w:szCs w:val="24"/>
        </w:rPr>
        <w:t xml:space="preserve"> was verified to contain unique, sequential values with no formatting anomalies.</w:t>
      </w:r>
    </w:p>
    <w:p w14:paraId="46105702" w14:textId="77777777" w:rsidR="00180A7E" w:rsidRPr="00180A7E" w:rsidRDefault="00180A7E" w:rsidP="00180A7E">
      <w:pPr>
        <w:pStyle w:val="ListParagraph"/>
        <w:spacing w:after="80" w:line="276" w:lineRule="auto"/>
        <w:ind w:left="480"/>
        <w:jc w:val="both"/>
        <w:rPr>
          <w:sz w:val="22"/>
          <w:szCs w:val="22"/>
        </w:rPr>
      </w:pPr>
    </w:p>
    <w:p w14:paraId="15FDC781" w14:textId="77777777" w:rsidR="00E07B18" w:rsidRPr="00180A7E" w:rsidRDefault="00000000" w:rsidP="00180A7E">
      <w:pPr>
        <w:pStyle w:val="Heading2"/>
        <w:spacing w:before="240" w:after="120" w:line="276" w:lineRule="auto"/>
        <w:jc w:val="both"/>
        <w:rPr>
          <w:color w:val="auto"/>
          <w:sz w:val="32"/>
          <w:szCs w:val="32"/>
        </w:rPr>
      </w:pPr>
      <w:r w:rsidRPr="00180A7E">
        <w:rPr>
          <w:b/>
          <w:bCs/>
          <w:color w:val="auto"/>
          <w:sz w:val="28"/>
          <w:szCs w:val="28"/>
        </w:rPr>
        <w:t>3. Exploratory Data Analysis (EDA)</w:t>
      </w:r>
    </w:p>
    <w:p w14:paraId="43DB6C4A" w14:textId="77777777" w:rsidR="00E07B18" w:rsidRPr="00180A7E" w:rsidRDefault="00000000" w:rsidP="00180A7E">
      <w:pPr>
        <w:spacing w:before="120" w:after="8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</w:rPr>
        <w:t>Descriptive Statistics</w:t>
      </w:r>
    </w:p>
    <w:tbl>
      <w:tblPr>
        <w:tblStyle w:val="TableGrid"/>
        <w:tblW w:w="8050" w:type="dxa"/>
        <w:tblLook w:val="04A0" w:firstRow="1" w:lastRow="0" w:firstColumn="1" w:lastColumn="0" w:noHBand="0" w:noVBand="1"/>
      </w:tblPr>
      <w:tblGrid>
        <w:gridCol w:w="2400"/>
        <w:gridCol w:w="1130"/>
        <w:gridCol w:w="1130"/>
        <w:gridCol w:w="1130"/>
        <w:gridCol w:w="1130"/>
        <w:gridCol w:w="1130"/>
      </w:tblGrid>
      <w:tr w:rsidR="00E07B18" w:rsidRPr="00180A7E" w14:paraId="5789CBEF" w14:textId="77777777" w:rsidTr="00CA2D99">
        <w:trPr>
          <w:trHeight w:val="432"/>
        </w:trPr>
        <w:tc>
          <w:tcPr>
            <w:tcW w:w="2400" w:type="dxa"/>
          </w:tcPr>
          <w:p w14:paraId="53D63736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1130" w:type="dxa"/>
          </w:tcPr>
          <w:p w14:paraId="5C10F4C6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Mean</w:t>
            </w:r>
          </w:p>
        </w:tc>
        <w:tc>
          <w:tcPr>
            <w:tcW w:w="1130" w:type="dxa"/>
          </w:tcPr>
          <w:p w14:paraId="118B27D3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Std Dev</w:t>
            </w:r>
          </w:p>
        </w:tc>
        <w:tc>
          <w:tcPr>
            <w:tcW w:w="1130" w:type="dxa"/>
          </w:tcPr>
          <w:p w14:paraId="22837F9A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Min</w:t>
            </w:r>
          </w:p>
        </w:tc>
        <w:tc>
          <w:tcPr>
            <w:tcW w:w="1130" w:type="dxa"/>
          </w:tcPr>
          <w:p w14:paraId="29C30865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Median</w:t>
            </w:r>
          </w:p>
        </w:tc>
        <w:tc>
          <w:tcPr>
            <w:tcW w:w="1130" w:type="dxa"/>
          </w:tcPr>
          <w:p w14:paraId="3A25CF2D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Max</w:t>
            </w:r>
          </w:p>
        </w:tc>
      </w:tr>
      <w:tr w:rsidR="00E07B18" w:rsidRPr="00180A7E" w14:paraId="448E6993" w14:textId="77777777" w:rsidTr="00CA2D99">
        <w:trPr>
          <w:trHeight w:val="432"/>
        </w:trPr>
        <w:tc>
          <w:tcPr>
            <w:tcW w:w="2400" w:type="dxa"/>
          </w:tcPr>
          <w:p w14:paraId="5C6180D1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Age</w:t>
            </w:r>
          </w:p>
        </w:tc>
        <w:tc>
          <w:tcPr>
            <w:tcW w:w="1130" w:type="dxa"/>
          </w:tcPr>
          <w:p w14:paraId="2397A878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41.97</w:t>
            </w:r>
          </w:p>
        </w:tc>
        <w:tc>
          <w:tcPr>
            <w:tcW w:w="1130" w:type="dxa"/>
          </w:tcPr>
          <w:p w14:paraId="0C26D592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13.92</w:t>
            </w:r>
          </w:p>
        </w:tc>
        <w:tc>
          <w:tcPr>
            <w:tcW w:w="1130" w:type="dxa"/>
          </w:tcPr>
          <w:p w14:paraId="48DBEA93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18</w:t>
            </w:r>
          </w:p>
        </w:tc>
        <w:tc>
          <w:tcPr>
            <w:tcW w:w="1130" w:type="dxa"/>
          </w:tcPr>
          <w:p w14:paraId="37C2ED82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42</w:t>
            </w:r>
          </w:p>
        </w:tc>
        <w:tc>
          <w:tcPr>
            <w:tcW w:w="1130" w:type="dxa"/>
          </w:tcPr>
          <w:p w14:paraId="4C1E617A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65</w:t>
            </w:r>
          </w:p>
        </w:tc>
      </w:tr>
      <w:tr w:rsidR="00E07B18" w:rsidRPr="00180A7E" w14:paraId="534AD748" w14:textId="77777777" w:rsidTr="00CA2D99">
        <w:trPr>
          <w:trHeight w:val="432"/>
        </w:trPr>
        <w:tc>
          <w:tcPr>
            <w:tcW w:w="2400" w:type="dxa"/>
          </w:tcPr>
          <w:p w14:paraId="26750798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Tenure</w:t>
            </w:r>
          </w:p>
        </w:tc>
        <w:tc>
          <w:tcPr>
            <w:tcW w:w="1130" w:type="dxa"/>
          </w:tcPr>
          <w:p w14:paraId="72B107DD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31.99</w:t>
            </w:r>
          </w:p>
        </w:tc>
        <w:tc>
          <w:tcPr>
            <w:tcW w:w="1130" w:type="dxa"/>
          </w:tcPr>
          <w:p w14:paraId="0C87AB97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17.10</w:t>
            </w:r>
          </w:p>
        </w:tc>
        <w:tc>
          <w:tcPr>
            <w:tcW w:w="1130" w:type="dxa"/>
          </w:tcPr>
          <w:p w14:paraId="4BCE6E89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</w:t>
            </w:r>
          </w:p>
        </w:tc>
        <w:tc>
          <w:tcPr>
            <w:tcW w:w="1130" w:type="dxa"/>
          </w:tcPr>
          <w:p w14:paraId="49735DD4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33</w:t>
            </w:r>
          </w:p>
        </w:tc>
        <w:tc>
          <w:tcPr>
            <w:tcW w:w="1130" w:type="dxa"/>
          </w:tcPr>
          <w:p w14:paraId="69E3629C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60</w:t>
            </w:r>
          </w:p>
        </w:tc>
      </w:tr>
      <w:tr w:rsidR="00E07B18" w:rsidRPr="00180A7E" w14:paraId="69ADB60B" w14:textId="77777777" w:rsidTr="00CA2D99">
        <w:trPr>
          <w:trHeight w:val="432"/>
        </w:trPr>
        <w:tc>
          <w:tcPr>
            <w:tcW w:w="2400" w:type="dxa"/>
          </w:tcPr>
          <w:p w14:paraId="7931D279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Usage Frequency</w:t>
            </w:r>
          </w:p>
        </w:tc>
        <w:tc>
          <w:tcPr>
            <w:tcW w:w="1130" w:type="dxa"/>
          </w:tcPr>
          <w:p w14:paraId="07646CB0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15.08</w:t>
            </w:r>
          </w:p>
        </w:tc>
        <w:tc>
          <w:tcPr>
            <w:tcW w:w="1130" w:type="dxa"/>
          </w:tcPr>
          <w:p w14:paraId="32AA51D0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8.82</w:t>
            </w:r>
          </w:p>
        </w:tc>
        <w:tc>
          <w:tcPr>
            <w:tcW w:w="1130" w:type="dxa"/>
          </w:tcPr>
          <w:p w14:paraId="4B11630A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</w:t>
            </w:r>
          </w:p>
        </w:tc>
        <w:tc>
          <w:tcPr>
            <w:tcW w:w="1130" w:type="dxa"/>
          </w:tcPr>
          <w:p w14:paraId="75116599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15</w:t>
            </w:r>
          </w:p>
        </w:tc>
        <w:tc>
          <w:tcPr>
            <w:tcW w:w="1130" w:type="dxa"/>
          </w:tcPr>
          <w:p w14:paraId="37739F29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30</w:t>
            </w:r>
          </w:p>
        </w:tc>
      </w:tr>
      <w:tr w:rsidR="00E07B18" w:rsidRPr="00180A7E" w14:paraId="60727590" w14:textId="77777777" w:rsidTr="00CA2D99">
        <w:trPr>
          <w:trHeight w:val="432"/>
        </w:trPr>
        <w:tc>
          <w:tcPr>
            <w:tcW w:w="2400" w:type="dxa"/>
          </w:tcPr>
          <w:p w14:paraId="482DAF25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Support Calls</w:t>
            </w:r>
          </w:p>
        </w:tc>
        <w:tc>
          <w:tcPr>
            <w:tcW w:w="1130" w:type="dxa"/>
          </w:tcPr>
          <w:p w14:paraId="1BA4EE8B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5.40</w:t>
            </w:r>
          </w:p>
        </w:tc>
        <w:tc>
          <w:tcPr>
            <w:tcW w:w="1130" w:type="dxa"/>
          </w:tcPr>
          <w:p w14:paraId="216004A5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3.11</w:t>
            </w:r>
          </w:p>
        </w:tc>
        <w:tc>
          <w:tcPr>
            <w:tcW w:w="1130" w:type="dxa"/>
          </w:tcPr>
          <w:p w14:paraId="7B9EDF9E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0</w:t>
            </w:r>
          </w:p>
        </w:tc>
        <w:tc>
          <w:tcPr>
            <w:tcW w:w="1130" w:type="dxa"/>
          </w:tcPr>
          <w:p w14:paraId="18F59AA6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6</w:t>
            </w:r>
          </w:p>
        </w:tc>
        <w:tc>
          <w:tcPr>
            <w:tcW w:w="1130" w:type="dxa"/>
          </w:tcPr>
          <w:p w14:paraId="213A9BA9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10</w:t>
            </w:r>
          </w:p>
        </w:tc>
      </w:tr>
      <w:tr w:rsidR="00E07B18" w:rsidRPr="00180A7E" w14:paraId="3937C42C" w14:textId="77777777" w:rsidTr="00CA2D99">
        <w:trPr>
          <w:trHeight w:val="432"/>
        </w:trPr>
        <w:tc>
          <w:tcPr>
            <w:tcW w:w="2400" w:type="dxa"/>
          </w:tcPr>
          <w:p w14:paraId="221506FB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Payment Delay</w:t>
            </w:r>
          </w:p>
        </w:tc>
        <w:tc>
          <w:tcPr>
            <w:tcW w:w="1130" w:type="dxa"/>
          </w:tcPr>
          <w:p w14:paraId="1BB993B7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17.13</w:t>
            </w:r>
          </w:p>
        </w:tc>
        <w:tc>
          <w:tcPr>
            <w:tcW w:w="1130" w:type="dxa"/>
          </w:tcPr>
          <w:p w14:paraId="3964A6BA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8.85</w:t>
            </w:r>
          </w:p>
        </w:tc>
        <w:tc>
          <w:tcPr>
            <w:tcW w:w="1130" w:type="dxa"/>
          </w:tcPr>
          <w:p w14:paraId="655CFFD7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0</w:t>
            </w:r>
          </w:p>
        </w:tc>
        <w:tc>
          <w:tcPr>
            <w:tcW w:w="1130" w:type="dxa"/>
          </w:tcPr>
          <w:p w14:paraId="3BCFC5E1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19</w:t>
            </w:r>
          </w:p>
        </w:tc>
        <w:tc>
          <w:tcPr>
            <w:tcW w:w="1130" w:type="dxa"/>
          </w:tcPr>
          <w:p w14:paraId="2CE71C5C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30</w:t>
            </w:r>
          </w:p>
        </w:tc>
      </w:tr>
      <w:tr w:rsidR="00E07B18" w:rsidRPr="00180A7E" w14:paraId="3BE9E249" w14:textId="77777777" w:rsidTr="00CA2D99">
        <w:trPr>
          <w:trHeight w:val="432"/>
        </w:trPr>
        <w:tc>
          <w:tcPr>
            <w:tcW w:w="2400" w:type="dxa"/>
          </w:tcPr>
          <w:p w14:paraId="2B6DA227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Total Spend</w:t>
            </w:r>
          </w:p>
        </w:tc>
        <w:tc>
          <w:tcPr>
            <w:tcW w:w="1130" w:type="dxa"/>
          </w:tcPr>
          <w:p w14:paraId="27F287AA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541.02</w:t>
            </w:r>
          </w:p>
        </w:tc>
        <w:tc>
          <w:tcPr>
            <w:tcW w:w="1130" w:type="dxa"/>
          </w:tcPr>
          <w:p w14:paraId="1E4B41E7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260.87</w:t>
            </w:r>
          </w:p>
        </w:tc>
        <w:tc>
          <w:tcPr>
            <w:tcW w:w="1130" w:type="dxa"/>
          </w:tcPr>
          <w:p w14:paraId="482BF6C9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100</w:t>
            </w:r>
          </w:p>
        </w:tc>
        <w:tc>
          <w:tcPr>
            <w:tcW w:w="1130" w:type="dxa"/>
          </w:tcPr>
          <w:p w14:paraId="59A75BE1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534</w:t>
            </w:r>
          </w:p>
        </w:tc>
        <w:tc>
          <w:tcPr>
            <w:tcW w:w="1130" w:type="dxa"/>
          </w:tcPr>
          <w:p w14:paraId="047C9EEF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1000</w:t>
            </w:r>
          </w:p>
        </w:tc>
      </w:tr>
      <w:tr w:rsidR="00E07B18" w:rsidRPr="00180A7E" w14:paraId="0F60E1F4" w14:textId="77777777" w:rsidTr="00CA2D99">
        <w:trPr>
          <w:trHeight w:val="432"/>
        </w:trPr>
        <w:tc>
          <w:tcPr>
            <w:tcW w:w="2400" w:type="dxa"/>
          </w:tcPr>
          <w:p w14:paraId="169ACB7C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Last Interaction</w:t>
            </w:r>
          </w:p>
        </w:tc>
        <w:tc>
          <w:tcPr>
            <w:tcW w:w="1130" w:type="dxa"/>
          </w:tcPr>
          <w:p w14:paraId="4B7D1A08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15.50</w:t>
            </w:r>
          </w:p>
        </w:tc>
        <w:tc>
          <w:tcPr>
            <w:tcW w:w="1130" w:type="dxa"/>
          </w:tcPr>
          <w:p w14:paraId="195C7169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8.64</w:t>
            </w:r>
          </w:p>
        </w:tc>
        <w:tc>
          <w:tcPr>
            <w:tcW w:w="1130" w:type="dxa"/>
          </w:tcPr>
          <w:p w14:paraId="0A778E15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</w:t>
            </w:r>
          </w:p>
        </w:tc>
        <w:tc>
          <w:tcPr>
            <w:tcW w:w="1130" w:type="dxa"/>
          </w:tcPr>
          <w:p w14:paraId="2792734D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15</w:t>
            </w:r>
          </w:p>
        </w:tc>
        <w:tc>
          <w:tcPr>
            <w:tcW w:w="1130" w:type="dxa"/>
          </w:tcPr>
          <w:p w14:paraId="385E293D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30</w:t>
            </w:r>
          </w:p>
        </w:tc>
      </w:tr>
    </w:tbl>
    <w:p w14:paraId="12C90A7C" w14:textId="77777777" w:rsidR="00E07B18" w:rsidRPr="00180A7E" w:rsidRDefault="00000000" w:rsidP="00180A7E">
      <w:pPr>
        <w:spacing w:before="200" w:after="8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</w:rPr>
        <w:t>Univariate Analysis</w:t>
      </w:r>
    </w:p>
    <w:p w14:paraId="545B061B" w14:textId="14B7A117" w:rsidR="00180A7E" w:rsidRPr="00180A7E" w:rsidRDefault="00000000" w:rsidP="00180A7E">
      <w:pPr>
        <w:spacing w:after="140" w:line="276" w:lineRule="auto"/>
        <w:ind w:firstLine="720"/>
        <w:jc w:val="both"/>
        <w:rPr>
          <w:sz w:val="24"/>
          <w:szCs w:val="24"/>
        </w:rPr>
      </w:pPr>
      <w:r w:rsidRPr="00180A7E">
        <w:rPr>
          <w:sz w:val="24"/>
          <w:szCs w:val="24"/>
        </w:rPr>
        <w:t>Individual feature distributions were examined to understand their shape and spread. The Churn target variable is fairly balanced, with 33,881 customers (52.6%) not churning and 30,493 customers (47.4%) churning. Age is roughly uniformly distributed between 18 and 65 years. Support Calls and Payment Delay show right-skewed patterns, with a meaningful proportion of customers having low support-call counts and minimal payment delays, and a smaller group with high values in both.</w:t>
      </w:r>
    </w:p>
    <w:p w14:paraId="3F3D47C3" w14:textId="77777777" w:rsidR="00E07B18" w:rsidRPr="00180A7E" w:rsidRDefault="00000000" w:rsidP="00180A7E">
      <w:pPr>
        <w:spacing w:before="200" w:after="8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</w:rPr>
        <w:t>Bivariate/Multivariate Analysis</w:t>
      </w:r>
    </w:p>
    <w:p w14:paraId="5B4F176C" w14:textId="63ABA0CE" w:rsidR="00180A7E" w:rsidRPr="00180A7E" w:rsidRDefault="00000000" w:rsidP="00180A7E">
      <w:pPr>
        <w:spacing w:after="140" w:line="276" w:lineRule="auto"/>
        <w:ind w:firstLine="720"/>
        <w:jc w:val="both"/>
        <w:rPr>
          <w:sz w:val="24"/>
          <w:szCs w:val="24"/>
        </w:rPr>
      </w:pPr>
      <w:r w:rsidRPr="00180A7E">
        <w:rPr>
          <w:sz w:val="24"/>
          <w:szCs w:val="24"/>
        </w:rPr>
        <w:t>Relationships between individual features and the target variable (Churn) were explored. Customers with higher Payment Delay and a greater number of Support Calls show a noticeably higher tendency to churn, suggesting these are strong behavioural risk indicators. Contract Length also shows an association with churn, with monthly-contract customers churning more often than annual-contract customers. Total Spend and Usage Frequency show a mild negative relationship with churn</w:t>
      </w:r>
      <w:r w:rsidR="00CA2D99" w:rsidRPr="00180A7E">
        <w:rPr>
          <w:sz w:val="24"/>
          <w:szCs w:val="24"/>
        </w:rPr>
        <w:t>,</w:t>
      </w:r>
      <w:r w:rsidRPr="00180A7E">
        <w:rPr>
          <w:sz w:val="24"/>
          <w:szCs w:val="24"/>
        </w:rPr>
        <w:t xml:space="preserve"> customers who spend more and use the service more frequently are somewhat less likely to churn.</w:t>
      </w:r>
    </w:p>
    <w:p w14:paraId="152A7351" w14:textId="77777777" w:rsidR="00E07B18" w:rsidRPr="00180A7E" w:rsidRDefault="00000000" w:rsidP="00180A7E">
      <w:pPr>
        <w:spacing w:before="200" w:after="8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</w:rPr>
        <w:t>Correlation Analysis</w:t>
      </w:r>
    </w:p>
    <w:p w14:paraId="1896B116" w14:textId="77777777" w:rsidR="00E07B18" w:rsidRPr="00180A7E" w:rsidRDefault="00000000" w:rsidP="00180A7E">
      <w:pPr>
        <w:spacing w:after="140" w:line="276" w:lineRule="auto"/>
        <w:ind w:firstLine="720"/>
        <w:jc w:val="both"/>
        <w:rPr>
          <w:sz w:val="24"/>
          <w:szCs w:val="24"/>
        </w:rPr>
      </w:pPr>
      <w:r w:rsidRPr="00180A7E">
        <w:rPr>
          <w:sz w:val="24"/>
          <w:szCs w:val="24"/>
        </w:rPr>
        <w:t>A Pearson correlation analysis was performed on all numerical features against the Churn target. Payment Delay shows the strongest positive correlation with churn (r ≈ 0.56), followed by Support Calls (r ≈ 0.30) and Tenure (r ≈ 0.20). Usage Frequency (r ≈ -0.12) and Total Spend (r ≈ -0.08) show weak negative correlations, while Age and Last Interaction show negligible correlation with churn. These results guide feature selection for the predictive modelling stage.</w:t>
      </w:r>
    </w:p>
    <w:p w14:paraId="534C7C10" w14:textId="77777777" w:rsidR="00180A7E" w:rsidRDefault="00180A7E" w:rsidP="00180A7E">
      <w:pPr>
        <w:pStyle w:val="Heading2"/>
        <w:spacing w:before="240" w:after="120" w:line="276" w:lineRule="auto"/>
        <w:jc w:val="both"/>
        <w:rPr>
          <w:b/>
          <w:bCs/>
          <w:color w:val="auto"/>
          <w:sz w:val="28"/>
          <w:szCs w:val="28"/>
        </w:rPr>
      </w:pPr>
    </w:p>
    <w:p w14:paraId="6814577B" w14:textId="4A44FA8B" w:rsidR="00E07B18" w:rsidRPr="00180A7E" w:rsidRDefault="00000000" w:rsidP="00180A7E">
      <w:pPr>
        <w:pStyle w:val="Heading2"/>
        <w:spacing w:before="240" w:after="120" w:line="276" w:lineRule="auto"/>
        <w:jc w:val="both"/>
        <w:rPr>
          <w:color w:val="auto"/>
          <w:sz w:val="32"/>
          <w:szCs w:val="32"/>
        </w:rPr>
      </w:pPr>
      <w:r w:rsidRPr="00180A7E">
        <w:rPr>
          <w:b/>
          <w:bCs/>
          <w:color w:val="auto"/>
          <w:sz w:val="28"/>
          <w:szCs w:val="28"/>
        </w:rPr>
        <w:lastRenderedPageBreak/>
        <w:t>4. Data Visualization</w:t>
      </w:r>
    </w:p>
    <w:p w14:paraId="6F6CF641" w14:textId="77777777" w:rsidR="00E07B18" w:rsidRPr="00180A7E" w:rsidRDefault="00000000" w:rsidP="00180A7E">
      <w:pPr>
        <w:spacing w:before="120" w:after="4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</w:rPr>
        <w:t>Bar Chart – Churn Count by Subscription Type</w:t>
      </w:r>
    </w:p>
    <w:p w14:paraId="422FFD05" w14:textId="77777777" w:rsidR="00E07B18" w:rsidRPr="00180A7E" w:rsidRDefault="00000000" w:rsidP="00180A7E">
      <w:pPr>
        <w:spacing w:before="160" w:after="40" w:line="276" w:lineRule="auto"/>
        <w:jc w:val="both"/>
        <w:rPr>
          <w:sz w:val="22"/>
          <w:szCs w:val="22"/>
        </w:rPr>
      </w:pPr>
      <w:r w:rsidRPr="00180A7E">
        <w:rPr>
          <w:noProof/>
          <w:sz w:val="22"/>
          <w:szCs w:val="22"/>
        </w:rPr>
        <w:drawing>
          <wp:inline distT="0" distB="0" distL="0" distR="0" wp14:anchorId="2338B676" wp14:editId="51BC82F7">
            <wp:extent cx="4500000" cy="30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87C0" w14:textId="77777777" w:rsidR="00E07B18" w:rsidRPr="00180A7E" w:rsidRDefault="00000000" w:rsidP="00180A7E">
      <w:pPr>
        <w:spacing w:before="60" w:after="240" w:line="276" w:lineRule="auto"/>
        <w:jc w:val="both"/>
        <w:rPr>
          <w:sz w:val="22"/>
          <w:szCs w:val="22"/>
        </w:rPr>
      </w:pPr>
      <w:r w:rsidRPr="00180A7E">
        <w:rPr>
          <w:i/>
          <w:iCs/>
          <w:sz w:val="22"/>
          <w:szCs w:val="22"/>
        </w:rPr>
        <w:t>Figure 1: Distribution of churned vs. retained customers across Basic, Standard, and Premium subscription tiers.</w:t>
      </w:r>
    </w:p>
    <w:p w14:paraId="1D06AFE9" w14:textId="77777777" w:rsidR="00E07B18" w:rsidRPr="00180A7E" w:rsidRDefault="00000000" w:rsidP="00180A7E">
      <w:pPr>
        <w:spacing w:before="120" w:after="4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</w:rPr>
        <w:t>Histogram – Age Distribution</w:t>
      </w:r>
    </w:p>
    <w:p w14:paraId="24974B59" w14:textId="77777777" w:rsidR="00E07B18" w:rsidRPr="00180A7E" w:rsidRDefault="00000000" w:rsidP="00180A7E">
      <w:pPr>
        <w:spacing w:before="160" w:after="40" w:line="276" w:lineRule="auto"/>
        <w:jc w:val="both"/>
        <w:rPr>
          <w:sz w:val="22"/>
          <w:szCs w:val="22"/>
        </w:rPr>
      </w:pPr>
      <w:r w:rsidRPr="00180A7E">
        <w:rPr>
          <w:noProof/>
          <w:sz w:val="22"/>
          <w:szCs w:val="22"/>
        </w:rPr>
        <w:drawing>
          <wp:inline distT="0" distB="0" distL="0" distR="0" wp14:anchorId="47F91D1D" wp14:editId="3ADEC424">
            <wp:extent cx="4500000" cy="3000000"/>
            <wp:effectExtent l="0" t="0" r="0" b="0"/>
            <wp:docPr id="369802816" name="Picture 369802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56AB" w14:textId="77777777" w:rsidR="00E07B18" w:rsidRPr="00180A7E" w:rsidRDefault="00000000" w:rsidP="00180A7E">
      <w:pPr>
        <w:spacing w:before="60" w:after="240" w:line="276" w:lineRule="auto"/>
        <w:jc w:val="both"/>
        <w:rPr>
          <w:i/>
          <w:iCs/>
          <w:sz w:val="22"/>
          <w:szCs w:val="22"/>
        </w:rPr>
      </w:pPr>
      <w:r w:rsidRPr="00180A7E">
        <w:rPr>
          <w:i/>
          <w:iCs/>
          <w:sz w:val="22"/>
          <w:szCs w:val="22"/>
        </w:rPr>
        <w:t>Figure 2: Frequency distribution of customer age, showing a broadly uniform spread between 18 and 65 years.</w:t>
      </w:r>
    </w:p>
    <w:p w14:paraId="02E27516" w14:textId="77777777" w:rsidR="00180A7E" w:rsidRPr="00180A7E" w:rsidRDefault="00180A7E" w:rsidP="00180A7E">
      <w:pPr>
        <w:spacing w:before="60" w:after="240" w:line="276" w:lineRule="auto"/>
        <w:jc w:val="both"/>
        <w:rPr>
          <w:i/>
          <w:iCs/>
          <w:sz w:val="22"/>
          <w:szCs w:val="22"/>
        </w:rPr>
      </w:pPr>
    </w:p>
    <w:p w14:paraId="0C2B8D79" w14:textId="77777777" w:rsidR="00180A7E" w:rsidRPr="00180A7E" w:rsidRDefault="00180A7E" w:rsidP="00180A7E">
      <w:pPr>
        <w:spacing w:before="60" w:after="240" w:line="276" w:lineRule="auto"/>
        <w:jc w:val="both"/>
        <w:rPr>
          <w:i/>
          <w:iCs/>
          <w:sz w:val="22"/>
          <w:szCs w:val="22"/>
        </w:rPr>
      </w:pPr>
    </w:p>
    <w:p w14:paraId="7327F3C0" w14:textId="77777777" w:rsidR="00180A7E" w:rsidRPr="00180A7E" w:rsidRDefault="00180A7E" w:rsidP="00180A7E">
      <w:pPr>
        <w:spacing w:before="60" w:after="240" w:line="276" w:lineRule="auto"/>
        <w:jc w:val="both"/>
        <w:rPr>
          <w:i/>
          <w:iCs/>
          <w:sz w:val="22"/>
          <w:szCs w:val="22"/>
        </w:rPr>
      </w:pPr>
    </w:p>
    <w:p w14:paraId="5F97DE75" w14:textId="77777777" w:rsidR="00180A7E" w:rsidRPr="00180A7E" w:rsidRDefault="00180A7E" w:rsidP="00180A7E">
      <w:pPr>
        <w:spacing w:before="60" w:after="240" w:line="276" w:lineRule="auto"/>
        <w:jc w:val="both"/>
        <w:rPr>
          <w:i/>
          <w:iCs/>
          <w:sz w:val="22"/>
          <w:szCs w:val="22"/>
        </w:rPr>
      </w:pPr>
    </w:p>
    <w:p w14:paraId="3533C6F2" w14:textId="77777777" w:rsidR="00E07B18" w:rsidRPr="00180A7E" w:rsidRDefault="00000000" w:rsidP="00180A7E">
      <w:pPr>
        <w:spacing w:before="120" w:after="4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</w:rPr>
        <w:lastRenderedPageBreak/>
        <w:t>Box Plot – Total Spend by Churn Status</w:t>
      </w:r>
    </w:p>
    <w:p w14:paraId="1E64102D" w14:textId="77777777" w:rsidR="00E07B18" w:rsidRPr="00180A7E" w:rsidRDefault="00000000" w:rsidP="00180A7E">
      <w:pPr>
        <w:spacing w:before="160" w:after="40" w:line="276" w:lineRule="auto"/>
        <w:jc w:val="both"/>
        <w:rPr>
          <w:sz w:val="22"/>
          <w:szCs w:val="22"/>
        </w:rPr>
      </w:pPr>
      <w:r w:rsidRPr="00180A7E">
        <w:rPr>
          <w:noProof/>
          <w:sz w:val="22"/>
          <w:szCs w:val="22"/>
        </w:rPr>
        <w:drawing>
          <wp:inline distT="0" distB="0" distL="0" distR="0" wp14:anchorId="0F17746B" wp14:editId="11D9F076">
            <wp:extent cx="4500000" cy="3000000"/>
            <wp:effectExtent l="0" t="0" r="0" b="0"/>
            <wp:docPr id="981049071" name="Picture 981049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5527" w14:textId="77777777" w:rsidR="00E07B18" w:rsidRPr="00180A7E" w:rsidRDefault="00000000" w:rsidP="00180A7E">
      <w:pPr>
        <w:spacing w:before="60" w:after="240" w:line="276" w:lineRule="auto"/>
        <w:jc w:val="both"/>
        <w:rPr>
          <w:sz w:val="22"/>
          <w:szCs w:val="22"/>
        </w:rPr>
      </w:pPr>
      <w:r w:rsidRPr="00180A7E">
        <w:rPr>
          <w:i/>
          <w:iCs/>
          <w:sz w:val="22"/>
          <w:szCs w:val="22"/>
        </w:rPr>
        <w:t>Figure 3: Comparison of total spend distribution between churned and non-churned customers, highlighting median, quartiles, and spread.</w:t>
      </w:r>
    </w:p>
    <w:p w14:paraId="0348ABF6" w14:textId="77777777" w:rsidR="00E07B18" w:rsidRPr="00180A7E" w:rsidRDefault="00000000" w:rsidP="00180A7E">
      <w:pPr>
        <w:spacing w:before="120" w:after="4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</w:rPr>
        <w:t>Scatter Plot – Tenure vs. Total Spend</w:t>
      </w:r>
    </w:p>
    <w:p w14:paraId="15F9BA56" w14:textId="77777777" w:rsidR="00E07B18" w:rsidRPr="00180A7E" w:rsidRDefault="00000000" w:rsidP="00180A7E">
      <w:pPr>
        <w:spacing w:before="160" w:after="40" w:line="276" w:lineRule="auto"/>
        <w:jc w:val="both"/>
        <w:rPr>
          <w:sz w:val="22"/>
          <w:szCs w:val="22"/>
        </w:rPr>
      </w:pPr>
      <w:r w:rsidRPr="00180A7E">
        <w:rPr>
          <w:noProof/>
          <w:sz w:val="22"/>
          <w:szCs w:val="22"/>
        </w:rPr>
        <w:drawing>
          <wp:inline distT="0" distB="0" distL="0" distR="0" wp14:anchorId="70EA8C32" wp14:editId="7111563E">
            <wp:extent cx="4500000" cy="3000000"/>
            <wp:effectExtent l="0" t="0" r="0" b="0"/>
            <wp:docPr id="949344301" name="Picture 949344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310A" w14:textId="77777777" w:rsidR="00E07B18" w:rsidRPr="00180A7E" w:rsidRDefault="00000000" w:rsidP="00180A7E">
      <w:pPr>
        <w:spacing w:before="60" w:after="240" w:line="276" w:lineRule="auto"/>
        <w:jc w:val="both"/>
        <w:rPr>
          <w:i/>
          <w:iCs/>
          <w:sz w:val="22"/>
          <w:szCs w:val="22"/>
        </w:rPr>
      </w:pPr>
      <w:r w:rsidRPr="00180A7E">
        <w:rPr>
          <w:i/>
          <w:iCs/>
          <w:sz w:val="22"/>
          <w:szCs w:val="22"/>
        </w:rPr>
        <w:t>Figure 4: Relationship between customer tenure and total spend (sampled), coloured by churn status.</w:t>
      </w:r>
    </w:p>
    <w:p w14:paraId="07262979" w14:textId="77777777" w:rsidR="00180A7E" w:rsidRPr="00180A7E" w:rsidRDefault="00180A7E" w:rsidP="00180A7E">
      <w:pPr>
        <w:spacing w:before="60" w:after="240" w:line="276" w:lineRule="auto"/>
        <w:jc w:val="both"/>
        <w:rPr>
          <w:i/>
          <w:iCs/>
          <w:sz w:val="22"/>
          <w:szCs w:val="22"/>
        </w:rPr>
      </w:pPr>
    </w:p>
    <w:p w14:paraId="6680C4A5" w14:textId="77777777" w:rsidR="00180A7E" w:rsidRPr="00180A7E" w:rsidRDefault="00180A7E" w:rsidP="00180A7E">
      <w:pPr>
        <w:spacing w:before="60" w:after="240" w:line="276" w:lineRule="auto"/>
        <w:jc w:val="both"/>
        <w:rPr>
          <w:i/>
          <w:iCs/>
          <w:sz w:val="22"/>
          <w:szCs w:val="22"/>
        </w:rPr>
      </w:pPr>
    </w:p>
    <w:p w14:paraId="560357B6" w14:textId="77777777" w:rsidR="00180A7E" w:rsidRPr="00180A7E" w:rsidRDefault="00180A7E" w:rsidP="00180A7E">
      <w:pPr>
        <w:spacing w:before="60" w:after="240" w:line="276" w:lineRule="auto"/>
        <w:jc w:val="both"/>
        <w:rPr>
          <w:i/>
          <w:iCs/>
          <w:sz w:val="22"/>
          <w:szCs w:val="22"/>
        </w:rPr>
      </w:pPr>
    </w:p>
    <w:p w14:paraId="587800CF" w14:textId="77777777" w:rsidR="00180A7E" w:rsidRPr="00180A7E" w:rsidRDefault="00180A7E" w:rsidP="00180A7E">
      <w:pPr>
        <w:spacing w:before="60" w:after="240" w:line="276" w:lineRule="auto"/>
        <w:jc w:val="both"/>
        <w:rPr>
          <w:i/>
          <w:iCs/>
          <w:sz w:val="22"/>
          <w:szCs w:val="22"/>
        </w:rPr>
      </w:pPr>
    </w:p>
    <w:p w14:paraId="0E35F2F1" w14:textId="77777777" w:rsidR="00180A7E" w:rsidRPr="00180A7E" w:rsidRDefault="00180A7E" w:rsidP="00180A7E">
      <w:pPr>
        <w:spacing w:before="60" w:after="240" w:line="276" w:lineRule="auto"/>
        <w:jc w:val="both"/>
        <w:rPr>
          <w:i/>
          <w:iCs/>
          <w:sz w:val="22"/>
          <w:szCs w:val="22"/>
        </w:rPr>
      </w:pPr>
    </w:p>
    <w:p w14:paraId="46673B1C" w14:textId="77777777" w:rsidR="00180A7E" w:rsidRPr="00180A7E" w:rsidRDefault="00180A7E" w:rsidP="00180A7E">
      <w:pPr>
        <w:spacing w:before="60" w:after="240" w:line="276" w:lineRule="auto"/>
        <w:jc w:val="both"/>
        <w:rPr>
          <w:sz w:val="22"/>
          <w:szCs w:val="22"/>
        </w:rPr>
      </w:pPr>
    </w:p>
    <w:p w14:paraId="265C152A" w14:textId="77777777" w:rsidR="00E07B18" w:rsidRPr="00180A7E" w:rsidRDefault="00000000" w:rsidP="00180A7E">
      <w:pPr>
        <w:spacing w:before="120" w:after="4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</w:rPr>
        <w:t>Heatmap – Correlation Matrix</w:t>
      </w:r>
    </w:p>
    <w:p w14:paraId="35A4BF81" w14:textId="77777777" w:rsidR="00E07B18" w:rsidRPr="00180A7E" w:rsidRDefault="00000000" w:rsidP="00180A7E">
      <w:pPr>
        <w:spacing w:before="160" w:after="40" w:line="276" w:lineRule="auto"/>
        <w:jc w:val="both"/>
        <w:rPr>
          <w:sz w:val="22"/>
          <w:szCs w:val="22"/>
        </w:rPr>
      </w:pPr>
      <w:r w:rsidRPr="00180A7E">
        <w:rPr>
          <w:noProof/>
          <w:sz w:val="22"/>
          <w:szCs w:val="22"/>
        </w:rPr>
        <w:drawing>
          <wp:inline distT="0" distB="0" distL="0" distR="0" wp14:anchorId="412680EF" wp14:editId="7D2D26C3">
            <wp:extent cx="5200000" cy="3700000"/>
            <wp:effectExtent l="0" t="0" r="0" b="0"/>
            <wp:docPr id="1712070170" name="Picture 1712070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00" cy="3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8A23" w14:textId="77777777" w:rsidR="00E07B18" w:rsidRPr="00180A7E" w:rsidRDefault="00000000" w:rsidP="00180A7E">
      <w:pPr>
        <w:spacing w:before="60" w:after="240" w:line="276" w:lineRule="auto"/>
        <w:jc w:val="both"/>
        <w:rPr>
          <w:sz w:val="22"/>
          <w:szCs w:val="22"/>
        </w:rPr>
      </w:pPr>
      <w:r w:rsidRPr="00180A7E">
        <w:rPr>
          <w:i/>
          <w:iCs/>
          <w:sz w:val="22"/>
          <w:szCs w:val="22"/>
        </w:rPr>
        <w:t>Figure 5: Pairwise Pearson correlation between all numerical features, including the target variable Churn.</w:t>
      </w:r>
    </w:p>
    <w:p w14:paraId="7BE7251F" w14:textId="77777777" w:rsidR="00E07B18" w:rsidRPr="00180A7E" w:rsidRDefault="00000000" w:rsidP="00180A7E">
      <w:pPr>
        <w:spacing w:before="120" w:after="40" w:line="276" w:lineRule="auto"/>
        <w:jc w:val="both"/>
        <w:rPr>
          <w:sz w:val="22"/>
          <w:szCs w:val="22"/>
        </w:rPr>
      </w:pPr>
      <w:r w:rsidRPr="00180A7E">
        <w:rPr>
          <w:b/>
          <w:bCs/>
          <w:sz w:val="24"/>
          <w:szCs w:val="24"/>
        </w:rPr>
        <w:t>Pie Chart – Overall Churn Proportion</w:t>
      </w:r>
    </w:p>
    <w:p w14:paraId="6D88103E" w14:textId="77777777" w:rsidR="00E07B18" w:rsidRPr="00180A7E" w:rsidRDefault="00000000" w:rsidP="00180A7E">
      <w:pPr>
        <w:spacing w:before="160" w:after="40" w:line="276" w:lineRule="auto"/>
        <w:jc w:val="both"/>
        <w:rPr>
          <w:sz w:val="22"/>
          <w:szCs w:val="22"/>
        </w:rPr>
      </w:pPr>
      <w:r w:rsidRPr="00180A7E">
        <w:rPr>
          <w:noProof/>
          <w:sz w:val="22"/>
          <w:szCs w:val="22"/>
        </w:rPr>
        <w:drawing>
          <wp:inline distT="0" distB="0" distL="0" distR="0" wp14:anchorId="48351428" wp14:editId="37530C30">
            <wp:extent cx="3200000" cy="3200000"/>
            <wp:effectExtent l="0" t="0" r="0" b="0"/>
            <wp:docPr id="1680194423" name="Picture 1680194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0FA4" w14:textId="77777777" w:rsidR="00E07B18" w:rsidRPr="00180A7E" w:rsidRDefault="00000000" w:rsidP="00180A7E">
      <w:pPr>
        <w:spacing w:before="60" w:after="240" w:line="276" w:lineRule="auto"/>
        <w:jc w:val="both"/>
        <w:rPr>
          <w:sz w:val="22"/>
          <w:szCs w:val="22"/>
        </w:rPr>
      </w:pPr>
      <w:r w:rsidRPr="00180A7E">
        <w:rPr>
          <w:i/>
          <w:iCs/>
          <w:sz w:val="22"/>
          <w:szCs w:val="22"/>
        </w:rPr>
        <w:t>Figure 6: Overall proportion of churned vs. retained customers in the dataset.</w:t>
      </w:r>
    </w:p>
    <w:sectPr w:rsidR="00E07B18" w:rsidRPr="00180A7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52C8F" w14:textId="77777777" w:rsidR="00AB1AEC" w:rsidRDefault="00AB1AEC" w:rsidP="00180A7E">
      <w:r>
        <w:separator/>
      </w:r>
    </w:p>
  </w:endnote>
  <w:endnote w:type="continuationSeparator" w:id="0">
    <w:p w14:paraId="55F1521F" w14:textId="77777777" w:rsidR="00AB1AEC" w:rsidRDefault="00AB1AEC" w:rsidP="00180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C2C34" w14:textId="77777777" w:rsidR="00AB1AEC" w:rsidRDefault="00AB1AEC" w:rsidP="00180A7E">
      <w:r>
        <w:separator/>
      </w:r>
    </w:p>
  </w:footnote>
  <w:footnote w:type="continuationSeparator" w:id="0">
    <w:p w14:paraId="310CD011" w14:textId="77777777" w:rsidR="00AB1AEC" w:rsidRDefault="00AB1AEC" w:rsidP="00180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6547"/>
    <w:multiLevelType w:val="hybridMultilevel"/>
    <w:tmpl w:val="9C9EC02A"/>
    <w:lvl w:ilvl="0" w:tplc="AA4C9758">
      <w:start w:val="1"/>
      <w:numFmt w:val="bullet"/>
      <w:lvlText w:val="●"/>
      <w:lvlJc w:val="left"/>
      <w:pPr>
        <w:ind w:left="720" w:hanging="360"/>
      </w:pPr>
    </w:lvl>
    <w:lvl w:ilvl="1" w:tplc="93B61B56">
      <w:start w:val="1"/>
      <w:numFmt w:val="bullet"/>
      <w:lvlText w:val="○"/>
      <w:lvlJc w:val="left"/>
      <w:pPr>
        <w:ind w:left="1440" w:hanging="360"/>
      </w:pPr>
    </w:lvl>
    <w:lvl w:ilvl="2" w:tplc="2D28B342">
      <w:start w:val="1"/>
      <w:numFmt w:val="bullet"/>
      <w:lvlText w:val="■"/>
      <w:lvlJc w:val="left"/>
      <w:pPr>
        <w:ind w:left="2160" w:hanging="360"/>
      </w:pPr>
    </w:lvl>
    <w:lvl w:ilvl="3" w:tplc="73842DC4">
      <w:start w:val="1"/>
      <w:numFmt w:val="bullet"/>
      <w:lvlText w:val="●"/>
      <w:lvlJc w:val="left"/>
      <w:pPr>
        <w:ind w:left="2880" w:hanging="360"/>
      </w:pPr>
    </w:lvl>
    <w:lvl w:ilvl="4" w:tplc="FC16840C">
      <w:start w:val="1"/>
      <w:numFmt w:val="bullet"/>
      <w:lvlText w:val="○"/>
      <w:lvlJc w:val="left"/>
      <w:pPr>
        <w:ind w:left="3600" w:hanging="360"/>
      </w:pPr>
    </w:lvl>
    <w:lvl w:ilvl="5" w:tplc="2A86CF1C">
      <w:start w:val="1"/>
      <w:numFmt w:val="bullet"/>
      <w:lvlText w:val="■"/>
      <w:lvlJc w:val="left"/>
      <w:pPr>
        <w:ind w:left="4320" w:hanging="360"/>
      </w:pPr>
    </w:lvl>
    <w:lvl w:ilvl="6" w:tplc="EEBA0B0A">
      <w:start w:val="1"/>
      <w:numFmt w:val="bullet"/>
      <w:lvlText w:val="●"/>
      <w:lvlJc w:val="left"/>
      <w:pPr>
        <w:ind w:left="5040" w:hanging="360"/>
      </w:pPr>
    </w:lvl>
    <w:lvl w:ilvl="7" w:tplc="D49E5084">
      <w:start w:val="1"/>
      <w:numFmt w:val="bullet"/>
      <w:lvlText w:val="●"/>
      <w:lvlJc w:val="left"/>
      <w:pPr>
        <w:ind w:left="5760" w:hanging="360"/>
      </w:pPr>
    </w:lvl>
    <w:lvl w:ilvl="8" w:tplc="57F85A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3F4177"/>
    <w:multiLevelType w:val="hybridMultilevel"/>
    <w:tmpl w:val="5CBAE2BA"/>
    <w:lvl w:ilvl="0" w:tplc="A0D6C03E">
      <w:start w:val="1"/>
      <w:numFmt w:val="bullet"/>
      <w:lvlText w:val="•"/>
      <w:lvlJc w:val="left"/>
      <w:pPr>
        <w:ind w:left="480" w:hanging="240"/>
      </w:pPr>
    </w:lvl>
    <w:lvl w:ilvl="1" w:tplc="807A6156">
      <w:start w:val="1"/>
      <w:numFmt w:val="bullet"/>
      <w:lvlText w:val="◦"/>
      <w:lvlJc w:val="left"/>
      <w:pPr>
        <w:ind w:left="900" w:hanging="240"/>
      </w:pPr>
    </w:lvl>
    <w:lvl w:ilvl="2" w:tplc="B2A03710">
      <w:numFmt w:val="decimal"/>
      <w:lvlText w:val=""/>
      <w:lvlJc w:val="left"/>
    </w:lvl>
    <w:lvl w:ilvl="3" w:tplc="F2684024">
      <w:numFmt w:val="decimal"/>
      <w:lvlText w:val=""/>
      <w:lvlJc w:val="left"/>
    </w:lvl>
    <w:lvl w:ilvl="4" w:tplc="3ACE4F0C">
      <w:numFmt w:val="decimal"/>
      <w:lvlText w:val=""/>
      <w:lvlJc w:val="left"/>
    </w:lvl>
    <w:lvl w:ilvl="5" w:tplc="0450DD2C">
      <w:numFmt w:val="decimal"/>
      <w:lvlText w:val=""/>
      <w:lvlJc w:val="left"/>
    </w:lvl>
    <w:lvl w:ilvl="6" w:tplc="7164715A">
      <w:numFmt w:val="decimal"/>
      <w:lvlText w:val=""/>
      <w:lvlJc w:val="left"/>
    </w:lvl>
    <w:lvl w:ilvl="7" w:tplc="FD263A34">
      <w:numFmt w:val="decimal"/>
      <w:lvlText w:val=""/>
      <w:lvlJc w:val="left"/>
    </w:lvl>
    <w:lvl w:ilvl="8" w:tplc="5656AE48">
      <w:numFmt w:val="decimal"/>
      <w:lvlText w:val=""/>
      <w:lvlJc w:val="left"/>
    </w:lvl>
  </w:abstractNum>
  <w:num w:numId="1" w16cid:durableId="1477407883">
    <w:abstractNumId w:val="0"/>
    <w:lvlOverride w:ilvl="0">
      <w:startOverride w:val="1"/>
    </w:lvlOverride>
  </w:num>
  <w:num w:numId="2" w16cid:durableId="16798913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B18"/>
    <w:rsid w:val="00180A7E"/>
    <w:rsid w:val="00796AEF"/>
    <w:rsid w:val="00846779"/>
    <w:rsid w:val="008D439A"/>
    <w:rsid w:val="00AB1AEC"/>
    <w:rsid w:val="00B85E92"/>
    <w:rsid w:val="00CA2D99"/>
    <w:rsid w:val="00E0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DC29"/>
  <w15:docId w15:val="{1A533001-AA41-4844-8FFC-7B715DED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ListTable1Light">
    <w:name w:val="List Table 1 Light"/>
    <w:basedOn w:val="TableNormal"/>
    <w:uiPriority w:val="46"/>
    <w:rsid w:val="00CA2D9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CA2D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0A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A7E"/>
  </w:style>
  <w:style w:type="paragraph" w:styleId="Footer">
    <w:name w:val="footer"/>
    <w:basedOn w:val="Normal"/>
    <w:link w:val="FooterChar"/>
    <w:uiPriority w:val="99"/>
    <w:unhideWhenUsed/>
    <w:rsid w:val="00180A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2204caleb2007@gmail.com</cp:lastModifiedBy>
  <dcterms:created xsi:type="dcterms:W3CDTF">2026-08-27T16:27:00Z</dcterms:created>
  <dcterms:modified xsi:type="dcterms:W3CDTF">2026-08-29T11:03:00Z</dcterms:modified>
</cp:coreProperties>
</file>