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E5F41" w14:textId="77777777" w:rsidR="002A4529" w:rsidRPr="00FD3F79" w:rsidRDefault="00000000">
      <w:pPr>
        <w:pStyle w:val="Ttulo"/>
        <w:jc w:val="center"/>
        <w:rPr>
          <w:lang w:val="es-MX"/>
        </w:rPr>
      </w:pPr>
      <w:r w:rsidRPr="00FD3F79">
        <w:rPr>
          <w:rFonts w:ascii="Segoe UI" w:hAnsi="Segoe UI"/>
          <w:lang w:val="es-MX"/>
        </w:rPr>
        <w:t>INFORME TÉCNICO</w:t>
      </w:r>
    </w:p>
    <w:p w14:paraId="71293E31" w14:textId="77777777" w:rsidR="002A4529" w:rsidRPr="00FD3F79" w:rsidRDefault="00000000">
      <w:pPr>
        <w:jc w:val="center"/>
        <w:rPr>
          <w:rFonts w:hint="eastAsia"/>
          <w:lang w:val="es-MX"/>
        </w:rPr>
      </w:pPr>
      <w:r w:rsidRPr="00FD3F79">
        <w:rPr>
          <w:b/>
          <w:color w:val="111827"/>
          <w:sz w:val="30"/>
          <w:lang w:val="es-MX"/>
        </w:rPr>
        <w:t>Arquitectura de presentación frontend</w:t>
      </w:r>
    </w:p>
    <w:p w14:paraId="5643C81F" w14:textId="77777777" w:rsidR="002A4529" w:rsidRPr="00FD3F79" w:rsidRDefault="00000000">
      <w:pPr>
        <w:jc w:val="center"/>
        <w:rPr>
          <w:rFonts w:hint="eastAsia"/>
          <w:lang w:val="es-MX"/>
        </w:rPr>
      </w:pPr>
      <w:r w:rsidRPr="00FD3F79">
        <w:rPr>
          <w:color w:val="64748B"/>
          <w:sz w:val="20"/>
          <w:lang w:val="es-MX"/>
        </w:rPr>
        <w:t>TDDLab / WhiteBox · Arquitectura de presentación frontend</w:t>
      </w:r>
    </w:p>
    <w:tbl>
      <w:tblPr>
        <w:tblW w:w="0" w:type="auto"/>
        <w:jc w:val="center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A4529" w14:paraId="3CFF484E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143E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Proyecto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75B07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TDDLab / WhiteBox</w:t>
            </w:r>
          </w:p>
        </w:tc>
      </w:tr>
      <w:tr w:rsidR="002A4529" w14:paraId="634BAA6E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85A879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Responsable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9CFAB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Andrés Salvatierra Ramírez (PO)</w:t>
            </w:r>
          </w:p>
        </w:tc>
      </w:tr>
      <w:tr w:rsidR="002A4529" w14:paraId="7485B09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6174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Fecha</w:t>
            </w:r>
          </w:p>
        </w:tc>
        <w:tc>
          <w:tcPr>
            <w:tcW w:w="4680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7C60C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6 de mayo de 2026</w:t>
            </w:r>
          </w:p>
        </w:tc>
      </w:tr>
      <w:tr w:rsidR="002A4529" w14:paraId="4124691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4A95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Tipo</w:t>
            </w:r>
          </w:p>
        </w:tc>
        <w:tc>
          <w:tcPr>
            <w:tcW w:w="4680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1144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9"/>
              </w:rPr>
              <w:t>Documentación técnica de frontend</w:t>
            </w:r>
          </w:p>
        </w:tc>
      </w:tr>
    </w:tbl>
    <w:p w14:paraId="44E5D7A9" w14:textId="77777777" w:rsidR="002A4529" w:rsidRDefault="002A4529">
      <w:pPr>
        <w:rPr>
          <w:rFonts w:hint="eastAsia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:rsidRPr="00FD3F79" w14:paraId="4F7AC0D5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7C3AED"/>
              <w:bottom w:val="nil"/>
              <w:right w:val="nil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408F4FE0" w14:textId="77777777" w:rsidR="002A4529" w:rsidRPr="00FD3F79" w:rsidRDefault="00000000">
            <w:pPr>
              <w:spacing w:after="80"/>
              <w:rPr>
                <w:rFonts w:hint="eastAsia"/>
                <w:lang w:val="es-MX"/>
              </w:rPr>
            </w:pPr>
            <w:r w:rsidRPr="00FD3F79">
              <w:rPr>
                <w:b/>
                <w:i/>
                <w:color w:val="111827"/>
                <w:lang w:val="es-MX"/>
              </w:rPr>
              <w:t>Síntesis ejecutiva</w:t>
            </w:r>
          </w:p>
          <w:p w14:paraId="54F82A47" w14:textId="77777777" w:rsidR="002A4529" w:rsidRPr="00FD3F79" w:rsidRDefault="00000000">
            <w:pPr>
              <w:pStyle w:val="Cita"/>
              <w:rPr>
                <w:rFonts w:hint="eastAsia"/>
                <w:lang w:val="es-MX"/>
              </w:rPr>
            </w:pPr>
            <w:r w:rsidRPr="00FD3F79">
              <w:rPr>
                <w:lang w:val="es-MX"/>
              </w:rPr>
              <w:t>El frontend queda organizado con una arquitectura de presentación por dominios, orientada a reducir acoplamiento, unificar criterios visuales y sostener una base escalable para las pantallas principales y complementarias del sistema. presentation/ concentra la experiencia de usuario; shared/ reúne componentes y patrones reutilizables; modules/ conserva casos de uso, repositorios e integraciones; y app/ centraliza rutas, navegación y configuración global.</w:t>
            </w:r>
          </w:p>
        </w:tc>
      </w:tr>
    </w:tbl>
    <w:p w14:paraId="33447975" w14:textId="77777777" w:rsidR="002A4529" w:rsidRPr="00FD3F79" w:rsidRDefault="002A4529">
      <w:pPr>
        <w:rPr>
          <w:rFonts w:hint="eastAsia"/>
          <w:lang w:val="es-MX"/>
        </w:rPr>
      </w:pPr>
    </w:p>
    <w:p w14:paraId="64F43B51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🎯 1. Objetivo del informe</w:t>
      </w:r>
      <w:r w:rsidRPr="00FD3F79">
        <w:rPr>
          <w:rFonts w:ascii="Segoe UI Emoji" w:hAnsi="Segoe UI Emoji"/>
          <w:sz w:val="28"/>
          <w:lang w:val="es-MX"/>
        </w:rPr>
      </w:r>
      <w:r w:rsidRPr="00FD3F79">
        <w:rPr>
          <w:rFonts w:ascii="Segoe UI" w:hAnsi="Segoe UI"/>
          <w:lang w:val="es-MX"/>
        </w:rPr>
      </w:r>
    </w:p>
    <w:p w14:paraId="08948D03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Documentar la arquitectura de presentación del frontend y justificar las decisiones técnicas que organizan el sistema. El informe explica cómo se estructura la capa visual, qué responsabilidades conserva cada carpeta y cómo esta separación favorece mantenibilidad, consistencia y escalabilidad.</w:t>
      </w:r>
    </w:p>
    <w:p w14:paraId="45F265DC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🧭 2. Lectura general de la arquitectura</w:t>
      </w:r>
      <w:r w:rsidRPr="00FD3F79">
        <w:rPr>
          <w:rFonts w:ascii="Segoe UI Emoji" w:hAnsi="Segoe UI Emoji"/>
          <w:sz w:val="28"/>
          <w:lang w:val="es-MX"/>
        </w:rPr>
      </w:r>
      <w:r w:rsidRPr="00FD3F79">
        <w:rPr>
          <w:rFonts w:ascii="Segoe UI" w:hAnsi="Segoe UI"/>
          <w:lang w:val="es-MX"/>
        </w:rPr>
      </w:r>
    </w:p>
    <w:p w14:paraId="7F3A847B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La organización del frontend no se limita a mejorar pantallas aisladas. El sistema se estructura por dominios de presentación, donde cada pantalla agrupa su composición de página, componentes visuales, hooks de comportamiento, servicios de adaptación y tipos propios.</w:t>
      </w:r>
    </w:p>
    <w:p w14:paraId="02F9618B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La presentación deja de depender de una capa genérica de secciones. En su lugar, las rutas y puntos de integración consumen presentation/, shared/ y app/, mientras modules/ conserva la lógica de dominio, casos de uso, repositorios e integraciones que no deben mezclarse con componentes visuales.</w:t>
      </w:r>
    </w:p>
    <w:p w14:paraId="341FB28A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📌 3. Contexto y motivación</w:t>
      </w:r>
      <w:r>
        <w:rPr>
          <w:rFonts w:ascii="Segoe UI" w:hAnsi="Segoe UI"/>
        </w:rPr>
      </w:r>
    </w:p>
    <w:p w14:paraId="3F1135F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reduce la lógica embebida en vistas grandes, separando composición visual, comportamiento de pantalla y acceso a datos.</w:t>
      </w:r>
    </w:p>
    <w:p w14:paraId="124F5F4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unifican criterios visuales entre pestañas, tablas, formularios, estados de pantalla, navegación y acciones comunes.</w:t>
      </w:r>
    </w:p>
    <w:p w14:paraId="0A0702E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organiza la presentación alrededor de dominios funcionales, evitando que pantallas distintas dependan de una carpeta genérica para resolver responsabilidades específicas.</w:t>
      </w:r>
    </w:p>
    <w:p w14:paraId="4A0654A5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fortalece la reutilización de componentes compartidos para disminuir duplicación técnica y mejorar coherencia entre flujos.</w:t>
      </w:r>
    </w:p>
    <w:p w14:paraId="6FEA0EC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 preservan rutas y flujos principales, incluyendo pantallas internas, públicas y complementarias como invitaciones, Asistente IA y visualización TDD.</w:t>
      </w:r>
    </w:p>
    <w:p w14:paraId="014634DA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🏗️ 4. Decisión arquitectónica</w:t>
      </w:r>
      <w:r w:rsidRPr="00FD3F79">
        <w:rPr>
          <w:rFonts w:ascii="Segoe UI Emoji" w:hAnsi="Segoe UI Emoji"/>
          <w:sz w:val="28"/>
          <w:lang w:val="es-MX"/>
        </w:rPr>
      </w:r>
      <w:r w:rsidRPr="00FD3F79">
        <w:rPr>
          <w:rFonts w:ascii="Segoe UI" w:hAnsi="Segoe UI"/>
          <w:lang w:val="es-MX"/>
        </w:rPr>
      </w:r>
    </w:p>
    <w:p w14:paraId="7D663E2C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La decisión central es adoptar una arquitectura de presentación por dominios, inspirada en el enfoque feature-first. A nivel físico, la carpeta principal se denomina presentation/ para comunicar que allí vive la capa visual y de interacción del frontend.</w:t>
      </w:r>
    </w:p>
    <w:p w14:paraId="566C19EA" w14:textId="77777777" w:rsidR="002A4529" w:rsidRPr="00FD3F79" w:rsidRDefault="00000000">
      <w:pPr>
        <w:rPr>
          <w:rFonts w:hint="eastAsia"/>
          <w:lang w:val="es-MX"/>
        </w:rPr>
      </w:pPr>
      <w:r w:rsidRPr="00FD3F79">
        <w:rPr>
          <w:lang w:val="es-MX"/>
        </w:rPr>
        <w:t>Este nombre evita ambigüedad: no todo lo que pertenece a una funcionalidad debe vivir necesariamente en la presentación. La lógica de negocio, casos de uso, repositorios e integraciones permanecen en módulos especializados, mientras presentation/ agrupa las piezas necesarias para construir la experiencia de usuario.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83"/>
        <w:gridCol w:w="7497"/>
      </w:tblGrid>
      <w:tr w:rsidR="002A4529" w14:paraId="39CD2A25" w14:textId="77777777">
        <w:trPr>
          <w:jc w:val="center"/>
        </w:trPr>
        <w:tc>
          <w:tcPr>
            <w:tcW w:w="223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B1C0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Capa</w:t>
            </w:r>
          </w:p>
        </w:tc>
        <w:tc>
          <w:tcPr>
            <w:tcW w:w="784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DEC8E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Responsabilidad</w:t>
            </w:r>
          </w:p>
        </w:tc>
      </w:tr>
      <w:tr w:rsidR="002A4529" w:rsidRPr="00FD3F79" w14:paraId="7804DB9C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8F2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presentation/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3EB07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Capa principal de presentación. Agrupa pantallas por dominio funcional y contiene páginas, componentes, hooks, servicios/adapters y tipos propios.</w:t>
            </w:r>
          </w:p>
        </w:tc>
      </w:tr>
      <w:tr w:rsidR="002A4529" w:rsidRPr="00FD3F79" w14:paraId="27434A9B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9DEB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shared/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91F3D1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Base común para layouts, estados de pantalla, diálogos, botones, feedback, helpers, estilos transversales y patrones reutilizables.</w:t>
            </w:r>
          </w:p>
        </w:tc>
      </w:tr>
      <w:tr w:rsidR="002A4529" w:rsidRPr="00FD3F79" w14:paraId="2BEBACBF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1E03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modules/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2A75F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Capa que conserva casos de uso, puertos, repositorios e integraciones existentes cuando corresponden al dominio de negocio o infraestructura.</w:t>
            </w:r>
          </w:p>
        </w:tc>
      </w:tr>
      <w:tr w:rsidR="002A4529" w:rsidRPr="00FD3F79" w14:paraId="6B0A2A98" w14:textId="77777777">
        <w:trPr>
          <w:jc w:val="center"/>
        </w:trPr>
        <w:tc>
          <w:tcPr>
            <w:tcW w:w="223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EEEEF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app/</w:t>
            </w:r>
          </w:p>
        </w:tc>
        <w:tc>
          <w:tcPr>
            <w:tcW w:w="784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310E9A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Punto de integración de rutas, navegación principal, proveedores y configuración global del frontend.</w:t>
            </w:r>
          </w:p>
        </w:tc>
      </w:tr>
    </w:tbl>
    <w:p w14:paraId="001104C8" w14:textId="77777777" w:rsidR="002A4529" w:rsidRPr="00FD3F79" w:rsidRDefault="002A4529">
      <w:pPr>
        <w:rPr>
          <w:rFonts w:hint="eastAsia"/>
          <w:lang w:val="es-MX"/>
        </w:rPr>
      </w:pPr>
    </w:p>
    <w:p w14:paraId="27F10E00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🎯 5. Estructura objetivo</w:t>
      </w:r>
      <w:r>
        <w:rPr>
          <w:rFonts w:ascii="Segoe UI" w:hAnsi="Segoe UI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14:paraId="1BADD5AB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120" w:type="dxa"/>
              <w:left w:w="170" w:type="dxa"/>
              <w:bottom w:w="120" w:type="dxa"/>
              <w:right w:w="170" w:type="dxa"/>
            </w:tcMar>
          </w:tcPr>
          <w:p w14:paraId="65B2E952" w14:textId="77777777" w:rsidR="002A452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hAnsi="Consolas"/>
                <w:sz w:val="19"/>
              </w:rPr>
              <w:t>src/</w:t>
              <w:br/>
              <w:t>├── app/</w:t>
              <w:br/>
              <w:t>│   └── navigation/</w:t>
              <w:br/>
              <w:t>├── shared/</w:t>
              <w:br/>
              <w:t>├── presentation/</w:t>
              <w:br/>
              <w:t>│   ├── ai-assistant/</w:t>
              <w:br/>
              <w:t>│   ├── assignments/</w:t>
              <w:br/>
              <w:t>│   ├── auth/</w:t>
              <w:br/>
              <w:t>│   ├── group-invitation/</w:t>
              <w:br/>
              <w:t>│   ├── groups/</w:t>
              <w:br/>
              <w:t>│   ├── home/</w:t>
              <w:br/>
              <w:t>│   ├── landing/</w:t>
              <w:br/>
              <w:t>│   ├── my-practices/</w:t>
              <w:br/>
              <w:t>│   ├── settings/</w:t>
              <w:br/>
              <w:t>│   ├── tdd-visualization/</w:t>
              <w:br/>
              <w:t>│   └── users/</w:t>
              <w:br/>
              <w:t>│       ├── pages/</w:t>
              <w:br/>
              <w:t>│       ├── components/</w:t>
              <w:br/>
              <w:t>│       ├── hooks/</w:t>
              <w:br/>
              <w:t>│       ├── services/</w:t>
              <w:br/>
              <w:t>│       └── types/</w:t>
              <w:br/>
              <w:t>└── modules/</w:t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  <w:r>
              <w:rPr>
                <w:rFonts w:ascii="Consolas" w:hAnsi="Consolas"/>
                <w:sz w:val="19"/>
              </w:rPr>
            </w:r>
          </w:p>
        </w:tc>
      </w:tr>
    </w:tbl>
    <w:p w14:paraId="76EAC3A8" w14:textId="77777777" w:rsidR="002A4529" w:rsidRDefault="002A4529">
      <w:pPr>
        <w:rPr>
          <w:rFonts w:hint="eastAsia"/>
        </w:rPr>
      </w:pPr>
    </w:p>
    <w:p w14:paraId="2760E943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🧩 6. Patrones aplicados</w:t>
      </w:r>
      <w:r>
        <w:rPr>
          <w:rFonts w:ascii="Segoe UI" w:hAnsi="Segoe UI"/>
        </w:rPr>
      </w:r>
    </w:p>
    <w:p w14:paraId="4BE1721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Container / Presentational para separar composición de pantalla y piezas visuales reutilizables.</w:t>
      </w:r>
    </w:p>
    <w:p w14:paraId="22E3233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Custom hooks para concentrar estado, navegación, filtros, selección, carga de datos y comportamiento de cada pantalla.</w:t>
      </w:r>
    </w:p>
    <w:p w14:paraId="7ECAD1A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Servicios o adapters para aislar acceso a datos, repositorios existentes e integración con módulos previos.</w:t>
      </w:r>
    </w:p>
    <w:p w14:paraId="45DA5B0C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Componentes compartidos para headers, layouts, estados de carga, empty states, errores, acciones, diálogos y feedback.</w:t>
      </w:r>
    </w:p>
    <w:p w14:paraId="64E3B19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Contratos tipados por dominio para hacer explícitas las props, estados y datos que consume cada pantalla.</w:t>
      </w:r>
    </w:p>
    <w:p w14:paraId="0E213D6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Renderizado por rol para mostrar acciones disponibles según permisos sin duplicar pantallas completas.</w:t>
      </w:r>
    </w:p>
    <w:p w14:paraId="2C3D9E2B" w14:textId="77777777" w:rsidR="002A4529" w:rsidRDefault="00000000">
      <w:pPr>
        <w:pStyle w:val="Ttulo2"/>
      </w:pPr>
      <w:r>
        <w:t>Lineamientos técnicos</w:t>
      </w:r>
    </w:p>
    <w:p w14:paraId="52E993DD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Evitar alert, confirm y window.location.reload, reemplazándolos por feedback y diálogos controlados por componentes.</w:t>
      </w:r>
    </w:p>
    <w:p w14:paraId="65DA609F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Reducir estilos inline y favorecer estilos centralizados, clases reutilizables o componentes compartidos.</w:t>
      </w:r>
    </w:p>
    <w:p w14:paraId="05B99DB7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Mantener estados de pantalla consistentes: loading, empty, error y success.</w:t>
      </w:r>
    </w:p>
    <w:p w14:paraId="3CE422D0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Preservar rutas, navegación y flujos principales durante cambios estructurales.</w:t>
      </w:r>
    </w:p>
    <w:p w14:paraId="17185B49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Priorizar componentes pequeños, responsabilidades claras y contratos de datos explícitos.</w:t>
      </w:r>
    </w:p>
    <w:p w14:paraId="1C72AB35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📊 7. Impacto por pantalla</w:t>
      </w:r>
      <w:r>
        <w:rPr>
          <w:rFonts w:ascii="Segoe UI" w:hAnsi="Segoe UI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35"/>
        <w:gridCol w:w="7345"/>
      </w:tblGrid>
      <w:tr w:rsidR="002A4529" w14:paraId="256E5D92" w14:textId="77777777">
        <w:trPr>
          <w:jc w:val="center"/>
        </w:trPr>
        <w:tc>
          <w:tcPr>
            <w:tcW w:w="2376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BFC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Área</w:t>
            </w:r>
          </w:p>
        </w:tc>
        <w:tc>
          <w:tcPr>
            <w:tcW w:w="7704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F557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9"/>
              </w:rPr>
              <w:t>Impacto técnico</w:t>
            </w:r>
          </w:p>
        </w:tc>
      </w:tr>
      <w:tr w:rsidR="002A4529" w:rsidRPr="00FD3F79" w14:paraId="59CEF34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086B6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Homepage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0C2AB3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Entrada autenticada del sistema, alineada con navegación principal, layout y patrones visuales compartidos.</w:t>
            </w:r>
          </w:p>
        </w:tc>
      </w:tr>
      <w:tr w:rsidR="002A4529" w:rsidRPr="00FD3F79" w14:paraId="4D65D1E6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5824B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Landing pública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466BB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Entrada pública del producto, conectada con autenticación y separada del flujo interno autenticado.</w:t>
            </w:r>
          </w:p>
        </w:tc>
      </w:tr>
      <w:tr w:rsidR="002A4529" w:rsidRPr="00FD3F79" w14:paraId="723B050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246B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Autenticación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F8C02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Pantalla de ingreso organizada como dominio de presentación, coherente con la identidad visual del sistema.</w:t>
            </w:r>
          </w:p>
        </w:tc>
      </w:tr>
      <w:tr w:rsidR="002A4529" w:rsidRPr="00FD3F79" w14:paraId="01B1C700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3D2214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Grupos y usuarios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514431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Gestión de grupos, participantes, enlaces de invitación, tablas, búsqueda, filtros, acciones y diálogos bajo componentes y hooks específicos.</w:t>
            </w:r>
          </w:p>
        </w:tc>
      </w:tr>
      <w:tr w:rsidR="002A4529" w:rsidRPr="00FD3F79" w14:paraId="0B4ECBE1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2BEB26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Tareas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E8C15C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Listados, filtros, ordenamiento, creación, acciones por rol y navegación hacia detalle organizados bajo estructura de presentación.</w:t>
            </w:r>
          </w:p>
        </w:tc>
      </w:tr>
      <w:tr w:rsidR="002A4529" w:rsidRPr="00FD3F79" w14:paraId="2F58E457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027F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Detalle de tarea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3A158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Información de tarea, entregas, comentarios, acciones de estudiante/docente, gráficas y Asistente IA integrados con componentes y servicios propios.</w:t>
            </w:r>
          </w:p>
        </w:tc>
      </w:tr>
      <w:tr w:rsidR="002A4529" w:rsidRPr="00FD3F79" w14:paraId="0F1996BC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CA09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Mis prácticas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E9A988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Listado, formularios, ordenamiento, permisos y feedback alineados con patrones compartidos de pantalla.</w:t>
            </w:r>
          </w:p>
        </w:tc>
      </w:tr>
      <w:tr w:rsidR="002A4529" w:rsidRPr="00FD3F79" w14:paraId="40BF3616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B8615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Detalle de práctica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C4065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Inicio, finalización, enlace de repositorio, estado y navegación a gráficas separados entre UI, hook y servicios.</w:t>
            </w:r>
          </w:p>
        </w:tc>
      </w:tr>
      <w:tr w:rsidR="002A4529" w:rsidRPr="00FD3F79" w14:paraId="29A8B8D3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ACA34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Ajustes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BE90F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Configuración del sistema organizada en componentes dedicados, con separación entre presentación y comportamiento.</w:t>
            </w:r>
          </w:p>
        </w:tc>
      </w:tr>
      <w:tr w:rsidR="002A4529" w:rsidRPr="00FD3F79" w14:paraId="17CEE0AE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C72F0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Invitación a grupo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62DD42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Flujo complementario incorporado a presentation/ con página, componentes, hook, servicio y tipos para aceptar invitaciones por rol.</w:t>
            </w:r>
          </w:p>
        </w:tc>
      </w:tr>
      <w:tr w:rsidR="002A4529" w:rsidRPr="00FD3F79" w14:paraId="66132E7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E336C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Asistente IA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57A9A0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Pantalla complementaria organizada por capas: página, acciones, chat, header, hook, servicio y tipos, manteniendo integración con modules/AIAssistant.</w:t>
            </w:r>
          </w:p>
        </w:tc>
      </w:tr>
      <w:tr w:rsidR="002A4529" w:rsidRPr="00FD3F79" w14:paraId="66132E79" w14:textId="77777777">
        <w:trPr>
          <w:jc w:val="center"/>
        </w:trPr>
        <w:tc>
          <w:tcPr>
            <w:tcW w:w="2376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8E336C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8"/>
              </w:rPr>
              <w:t>Visualización TDD</w:t>
            </w:r>
          </w:p>
        </w:tc>
        <w:tc>
          <w:tcPr>
            <w:tcW w:w="7704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57A9A0" w14:textId="77777777" w:rsidR="002A4529" w:rsidRPr="00FD3F79" w:rsidRDefault="00000000">
            <w:pPr>
              <w:spacing w:after="0" w:line="264" w:lineRule="auto"/>
              <w:rPr>
                <w:rFonts w:hint="eastAsia"/>
                <w:lang w:val="es-MX"/>
              </w:rPr>
            </w:pPr>
            <w:r w:rsidRPr="00FD3F79">
              <w:rPr>
                <w:sz w:val="18"/>
                <w:lang w:val="es-MX"/>
              </w:rPr>
              <w:t>Gráficas, tablero, lista de commits, ciclos TDD, comentarios docentes y navegación por entregas integrados en presentation/, manteniendo modules/TDDCycles-Visualization como fuente de integración.</w:t>
            </w:r>
          </w:p>
        </w:tc>
      </w:tr>
    </w:tbl>
    <w:p w14:paraId="08EABF83" w14:textId="77777777" w:rsidR="002A4529" w:rsidRPr="00FD3F79" w:rsidRDefault="002A4529">
      <w:pPr>
        <w:rPr>
          <w:rFonts w:hint="eastAsia"/>
          <w:lang w:val="es-MX"/>
        </w:rPr>
      </w:pPr>
    </w:p>
    <w:p w14:paraId="30C1B91E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✅ 8. Beneficios técnicos</w:t>
      </w:r>
      <w:r>
        <w:rPr>
          <w:rFonts w:ascii="Segoe UI" w:hAnsi="Segoe UI"/>
        </w:rPr>
      </w:r>
    </w:p>
    <w:p w14:paraId="12E7740A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Menor acoplamiento entre pantallas, navegación, estado y acceso a datos.</w:t>
      </w:r>
    </w:p>
    <w:p w14:paraId="545B69B1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Mayor coherencia visual entre pestañas, formularios, tablas, diálogos, feedback y estados de pantalla.</w:t>
      </w:r>
    </w:p>
    <w:p w14:paraId="51F27EC5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Código más fácil de leer porque cada dominio funcional concentra sus piezas de presentación relacionadas.</w:t>
      </w:r>
    </w:p>
    <w:p w14:paraId="5EF632BE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Mejor reutilización de componentes compartidos sin duplicar soluciones por pantalla.</w:t>
      </w:r>
    </w:p>
    <w:p w14:paraId="2605816F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Base más escalable para incorporar nuevas pantallas o funcionalidades sin romper la coherencia del sistema.</w:t>
      </w:r>
    </w:p>
    <w:p w14:paraId="3C435412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Separación clara entre presentación, comportamiento, servicios/adapters y módulos de dominio.</w:t>
      </w:r>
    </w:p>
    <w:p w14:paraId="7DFCFAB8" w14:textId="77777777" w:rsidR="002A4529" w:rsidRPr="00FD3F79" w:rsidRDefault="00000000">
      <w:pPr>
        <w:pStyle w:val="Listaconvietas"/>
        <w:spacing w:after="120"/>
        <w:rPr>
          <w:rFonts w:hint="eastAsia"/>
          <w:lang w:val="es-MX"/>
        </w:rPr>
      </w:pPr>
      <w:r w:rsidRPr="00FD3F79">
        <w:rPr>
          <w:lang w:val="es-MX"/>
        </w:rPr>
        <w:t>Mejor trazabilidad para QA, mantenimiento y evolución del frontend.</w:t>
      </w:r>
    </w:p>
    <w:p w14:paraId="6D2B7048" w14:textId="77777777" w:rsidR="002A4529" w:rsidRDefault="00000000">
      <w:pPr>
        <w:pStyle w:val="Ttulo1"/>
        <w:pBdr>
          <w:bottom w:val="single" w:sz="6" w:space="4" w:color="E2E8F0"/>
        </w:pBdr>
      </w:pPr>
      <w:r>
        <w:rPr>
          <w:rFonts w:ascii="Segoe UI Emoji" w:hAnsi="Segoe UI Emoji"/>
          <w:sz w:val="28"/>
        </w:rPr>
        <w:t>🏗️ 9. Cierre arquitectónico</w:t>
      </w:r>
      <w:r>
        <w:rPr>
          <w:rFonts w:ascii="Segoe UI" w:hAnsi="Segoe UI"/>
        </w:rPr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360"/>
      </w:tblGrid>
      <w:tr w:rsidR="002A4529" w:rsidRPr="00FD3F79" w14:paraId="14DBDD04" w14:textId="77777777">
        <w:trPr>
          <w:jc w:val="center"/>
        </w:trPr>
        <w:tc>
          <w:tcPr>
            <w:tcW w:w="9360" w:type="dxa"/>
            <w:tcBorders>
              <w:top w:val="nil"/>
              <w:left w:val="single" w:sz="24" w:space="0" w:color="2563EB"/>
              <w:bottom w:val="nil"/>
              <w:right w:val="nil"/>
            </w:tcBorders>
            <w:shd w:val="clear" w:color="auto" w:fill="EFF6FF"/>
            <w:tcMar>
              <w:top w:w="140" w:type="dxa"/>
              <w:left w:w="220" w:type="dxa"/>
              <w:bottom w:w="140" w:type="dxa"/>
              <w:right w:w="180" w:type="dxa"/>
            </w:tcMar>
          </w:tcPr>
          <w:p w14:paraId="367F7BB5" w14:textId="77777777" w:rsidR="002A4529" w:rsidRPr="00FD3F79" w:rsidRDefault="00000000">
            <w:pPr>
              <w:spacing w:after="80"/>
              <w:rPr>
                <w:rFonts w:hint="eastAsia"/>
                <w:lang w:val="es-MX"/>
              </w:rPr>
            </w:pPr>
            <w:r w:rsidRPr="00FD3F79">
              <w:rPr>
                <w:b/>
                <w:i/>
                <w:color w:val="111827"/>
                <w:lang w:val="es-MX"/>
              </w:rPr>
              <w:t>Conclusión técnica</w:t>
            </w:r>
          </w:p>
          <w:p w14:paraId="53B9AAD7" w14:textId="77777777" w:rsidR="002A4529" w:rsidRPr="00FD3F79" w:rsidRDefault="00000000">
            <w:pPr>
              <w:pStyle w:val="Cita"/>
              <w:rPr>
                <w:rFonts w:hint="eastAsia"/>
                <w:lang w:val="es-MX"/>
              </w:rPr>
            </w:pPr>
            <w:r w:rsidRPr="00FD3F79">
              <w:rPr>
                <w:lang w:val="es-MX"/>
              </w:rPr>
              <w:t>La arquitectura mejora la lectura del código y la consistencia del producto porque separa responsabilidades donde antes podían convivir en una misma capa. presentation/ funciona como capa explícita para la experiencia de usuario; shared/ evita duplicación transversal; modules/ conserva lógica de dominio e integración; y app/ centraliza composición, rutas y navegación. Esta separación permite evolucionar el frontend sin que cada nueva pantalla incremente el acoplamiento del sistema.</w:t>
            </w:r>
          </w:p>
        </w:tc>
      </w:tr>
    </w:tbl>
    <w:p w14:paraId="51BA8CF0" w14:textId="77777777" w:rsidR="002A4529" w:rsidRPr="00FD3F79" w:rsidRDefault="002A4529">
      <w:pPr>
        <w:rPr>
          <w:rFonts w:hint="eastAsia"/>
          <w:lang w:val="es-MX"/>
        </w:rPr>
      </w:pPr>
    </w:p>
    <w:p w14:paraId="7CBDACA6" w14:textId="77777777" w:rsidR="002A4529" w:rsidRPr="00FD3F79" w:rsidRDefault="00000000">
      <w:pPr>
        <w:pStyle w:val="Ttulo1"/>
        <w:pBdr>
          <w:bottom w:val="single" w:sz="6" w:space="4" w:color="E2E8F0"/>
        </w:pBdr>
        <w:rPr>
          <w:lang w:val="es-MX"/>
        </w:rPr>
      </w:pPr>
      <w:r>
        <w:rPr>
          <w:rFonts w:ascii="Segoe UI Emoji" w:hAnsi="Segoe UI Emoji"/>
          <w:sz w:val="28"/>
        </w:rPr>
        <w:t>📚 10. Bibliografía y recursos</w:t>
      </w:r>
      <w:r w:rsidRPr="00FD3F79">
        <w:rPr>
          <w:rFonts w:ascii="Segoe UI Emoji" w:hAnsi="Segoe UI Emoji"/>
          <w:sz w:val="28"/>
          <w:lang w:val="es-MX"/>
        </w:rPr>
      </w:r>
      <w:r w:rsidRPr="00FD3F79">
        <w:rPr>
          <w:rFonts w:ascii="Segoe UI" w:hAnsi="Segoe UI"/>
          <w:lang w:val="es-MX"/>
        </w:rPr>
      </w:r>
    </w:p>
    <w:p w14:paraId="139557DD" w14:textId="77777777" w:rsidR="002A4529" w:rsidRPr="00FD3F79" w:rsidRDefault="00000000">
      <w:pPr>
        <w:spacing w:after="120"/>
        <w:ind w:left="504" w:hanging="504"/>
        <w:rPr>
          <w:rFonts w:hint="eastAsia"/>
          <w:lang w:val="es-MX"/>
        </w:rPr>
      </w:pPr>
      <w:r w:rsidRPr="00FD3F79">
        <w:rPr>
          <w:color w:val="64748B"/>
          <w:sz w:val="19"/>
          <w:lang w:val="es-MX"/>
        </w:rPr>
        <w:t>Chohra, M. (2025). The Guide to scale your React and React Native app: Feature First Architecture. JavaScript in Plain English. Consultado el 6 de mayo de 2026.</w:t>
      </w:r>
      <w:r>
        <w:rPr>
          <w:color w:val="64748B"/>
          <w:sz w:val="19"/>
        </w:rPr>
      </w:r>
      <w:r w:rsidRPr="00FD3F79">
        <w:rPr>
          <w:color w:val="64748B"/>
          <w:sz w:val="19"/>
          <w:lang w:val="es-MX"/>
        </w:rPr>
      </w:r>
    </w:p>
    <w:p w14:paraId="635880FD" w14:textId="77777777" w:rsidR="002A4529" w:rsidRPr="00FD3F79" w:rsidRDefault="00000000">
      <w:pPr>
        <w:spacing w:after="200"/>
        <w:ind w:left="504" w:hanging="504"/>
        <w:rPr>
          <w:rFonts w:hint="eastAsia"/>
          <w:lang w:val="es-MX"/>
        </w:rPr>
      </w:pPr>
      <w:r w:rsidRPr="00FD3F79">
        <w:rPr>
          <w:color w:val="64748B"/>
          <w:sz w:val="18"/>
          <w:lang w:val="es-MX"/>
        </w:rPr>
        <w:t>https://javascript.plainenglish.io/the-guide-to-scale-your-react-and-react-native-app-feature-first-architecture-44f1eef72976?gi=9c426f99518b</w:t>
      </w:r>
    </w:p>
    <w:p w14:paraId="55596398" w14:textId="77777777" w:rsidR="002A4529" w:rsidRDefault="00000000">
      <w:pPr>
        <w:pStyle w:val="Ttulo2"/>
      </w:pPr>
      <w:r>
        <w:t>Recursos del proyecto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39"/>
        <w:gridCol w:w="1644"/>
        <w:gridCol w:w="5697"/>
      </w:tblGrid>
      <w:tr w:rsidR="002A4529" w14:paraId="117C6A46" w14:textId="77777777">
        <w:trPr>
          <w:jc w:val="center"/>
        </w:trPr>
        <w:tc>
          <w:tcPr>
            <w:tcW w:w="2592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E9775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Recurso</w:t>
            </w:r>
          </w:p>
        </w:tc>
        <w:tc>
          <w:tcPr>
            <w:tcW w:w="1728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54A28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Plataforma</w:t>
            </w:r>
          </w:p>
        </w:tc>
        <w:tc>
          <w:tcPr>
            <w:tcW w:w="5760" w:type="dxa"/>
            <w:tcBorders>
              <w:top w:val="single" w:sz="6" w:space="0" w:color="E2E8F0"/>
              <w:left w:val="nil"/>
              <w:bottom w:val="single" w:sz="6" w:space="0" w:color="E2E8F0"/>
              <w:right w:val="nil"/>
            </w:tcBorders>
            <w:shd w:val="clear" w:color="auto" w:fill="E2E8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CAB487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11827"/>
                <w:sz w:val="18"/>
              </w:rPr>
              <w:t>Enlace</w:t>
            </w:r>
          </w:p>
        </w:tc>
      </w:tr>
      <w:tr w:rsidR="002A4529" w14:paraId="2C579FFF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05C0FD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Tablero de gestión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9A7A5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Trello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3110A0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https://trello.com/b/StcYGS06/white-box</w:t>
            </w:r>
          </w:p>
        </w:tc>
      </w:tr>
      <w:tr w:rsidR="002A4529" w14:paraId="59ECF5C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A1B342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Repositorio del proyecto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66B89B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GitHub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C4CCA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https://github.com/UCB-TallerDeDesarrollo/TDDLab/tree/WhiteBox</w:t>
            </w:r>
          </w:p>
        </w:tc>
      </w:tr>
      <w:tr w:rsidR="002A4529" w14:paraId="2224B77B" w14:textId="77777777">
        <w:trPr>
          <w:jc w:val="center"/>
        </w:trPr>
        <w:tc>
          <w:tcPr>
            <w:tcW w:w="2592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9E4AA1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Diseño de interfaz</w:t>
            </w:r>
          </w:p>
        </w:tc>
        <w:tc>
          <w:tcPr>
            <w:tcW w:w="172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1F32E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sz w:val="17"/>
              </w:rPr>
              <w:t>Figma</w:t>
            </w:r>
          </w:p>
        </w:tc>
        <w:tc>
          <w:tcPr>
            <w:tcW w:w="5760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B0CBF" w14:textId="77777777" w:rsidR="002A4529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64748B"/>
                <w:sz w:val="17"/>
              </w:rPr>
              <w:t>https://www.figma.com/design/FZ48aPfT2PXOWcklywMPCf/WHITE-BOX-TTD-LAB?node-id=171-565&amp;p=f&amp;t=zU7jQSwaHHFvMevc-0</w:t>
            </w:r>
          </w:p>
        </w:tc>
      </w:tr>
    </w:tbl>
    <w:p w14:paraId="759FB715" w14:textId="77777777" w:rsidR="002A4529" w:rsidRDefault="002A4529">
      <w:pPr>
        <w:rPr>
          <w:rFonts w:hint="eastAsia"/>
        </w:rPr>
      </w:pPr>
    </w:p>
    <w:sectPr w:rsidR="002A45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764350">
    <w:abstractNumId w:val="8"/>
  </w:num>
  <w:num w:numId="2" w16cid:durableId="454372063">
    <w:abstractNumId w:val="6"/>
  </w:num>
  <w:num w:numId="3" w16cid:durableId="15423798">
    <w:abstractNumId w:val="5"/>
  </w:num>
  <w:num w:numId="4" w16cid:durableId="2018580650">
    <w:abstractNumId w:val="4"/>
  </w:num>
  <w:num w:numId="5" w16cid:durableId="1431120212">
    <w:abstractNumId w:val="7"/>
  </w:num>
  <w:num w:numId="6" w16cid:durableId="932475349">
    <w:abstractNumId w:val="3"/>
  </w:num>
  <w:num w:numId="7" w16cid:durableId="445390732">
    <w:abstractNumId w:val="2"/>
  </w:num>
  <w:num w:numId="8" w16cid:durableId="1935555023">
    <w:abstractNumId w:val="1"/>
  </w:num>
  <w:num w:numId="9" w16cid:durableId="8590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529"/>
    <w:rsid w:val="00326F90"/>
    <w:rsid w:val="00AA1D8D"/>
    <w:rsid w:val="00B47730"/>
    <w:rsid w:val="00B53CB6"/>
    <w:rsid w:val="00CB0664"/>
    <w:rsid w:val="00FC693F"/>
    <w:rsid w:val="00FD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02BB8F"/>
  <w14:defaultImageDpi w14:val="300"/>
  <w15:docId w15:val="{AE4F3EF2-8202-4A56-ACFA-BF8567538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/>
    </w:pPr>
    <w:rPr>
      <w:rFonts w:ascii="Segoe UI" w:hAnsi="Segoe UI"/>
      <w:color w:val="1F2937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pPr>
      <w:spacing w:after="160"/>
      <w:ind w:left="317" w:right="216"/>
    </w:pPr>
    <w:rPr>
      <w:i/>
      <w:iCs/>
      <w:color w:val="64748B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Arquitectura de presentación frontend</dc:title>
  <dc:subject>TDDLab / WhiteBox</dc:subject>
  <dc:creator>python-docx</dc:creator>
  <cp:keywords/>
  <dc:description>Informe técnico de arquitectura frontend.</dc:description>
  <cp:lastModifiedBy>Andres Salvatierra</cp:lastModifiedBy>
  <cp:revision>2</cp:revision>
  <cp:lastPrinted>2026-05-03T22:58:00Z</cp:lastPrinted>
  <dcterms:created xsi:type="dcterms:W3CDTF">2013-12-23T23:15:00Z</dcterms:created>
  <dcterms:modified xsi:type="dcterms:W3CDTF">2026-05-03T23:00:00Z</dcterms:modified>
  <cp:category/>
</cp:coreProperties>
</file>