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E5F41" w14:textId="77777777" w:rsidR="002A4529" w:rsidRPr="00FD3F79" w:rsidRDefault="00000000">
      <w:pPr>
        <w:pStyle w:val="Ttulo"/>
        <w:jc w:val="center"/>
        <w:rPr>
          <w:lang w:val="es-MX"/>
        </w:rPr>
      </w:pPr>
      <w:r w:rsidRPr="00FD3F79">
        <w:rPr>
          <w:rFonts w:ascii="Segoe UI" w:hAnsi="Segoe UI"/>
          <w:lang w:val="es-MX"/>
        </w:rPr>
        <w:t>INFORME TÉCNICO</w:t>
      </w:r>
    </w:p>
    <w:p w14:paraId="71293E31" w14:textId="77777777" w:rsidR="002A4529" w:rsidRPr="00FD3F79" w:rsidRDefault="00000000">
      <w:pPr>
        <w:jc w:val="center"/>
        <w:rPr>
          <w:rFonts w:hint="eastAsia"/>
          <w:lang w:val="es-MX"/>
        </w:rPr>
      </w:pPr>
      <w:r w:rsidRPr="00FD3F79">
        <w:rPr>
          <w:b/>
          <w:color w:val="111827"/>
          <w:sz w:val="30"/>
          <w:lang w:val="es-MX"/>
        </w:rPr>
        <w:t>Cambios y decisiones técnicas del frontend</w:t>
      </w:r>
    </w:p>
    <w:p w14:paraId="5643C81F" w14:textId="77777777" w:rsidR="002A4529" w:rsidRPr="00FD3F79" w:rsidRDefault="00000000">
      <w:pPr>
        <w:jc w:val="center"/>
        <w:rPr>
          <w:rFonts w:hint="eastAsia"/>
          <w:lang w:val="es-MX"/>
        </w:rPr>
      </w:pPr>
      <w:r w:rsidRPr="00FD3F79">
        <w:rPr>
          <w:color w:val="64748B"/>
          <w:sz w:val="20"/>
          <w:lang w:val="es-MX"/>
        </w:rPr>
        <w:t>TDDLab / WhiteBox · Arquitectura de presentación frontend</w:t>
      </w:r>
    </w:p>
    <w:tbl>
      <w:tblPr>
        <w:tblW w:w="0" w:type="auto"/>
        <w:jc w:val="center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A4529" w14:paraId="3CFF484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143E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Proyecto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5B07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TDDLab / WhiteBox</w:t>
            </w:r>
          </w:p>
        </w:tc>
      </w:tr>
      <w:tr w:rsidR="002A4529" w14:paraId="634BAA6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85A879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Responsable</w:t>
            </w:r>
          </w:p>
        </w:tc>
        <w:tc>
          <w:tcPr>
            <w:tcW w:w="46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9CFABB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Andrés Salvatierra Ramírez (PO)</w:t>
            </w:r>
          </w:p>
        </w:tc>
      </w:tr>
      <w:tr w:rsidR="002A4529" w14:paraId="7485B098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6174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Fecha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7C60C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3 de mayo de 2026</w:t>
            </w:r>
          </w:p>
        </w:tc>
      </w:tr>
      <w:tr w:rsidR="002A4529" w14:paraId="4124691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D4A95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Tipo</w:t>
            </w:r>
          </w:p>
        </w:tc>
        <w:tc>
          <w:tcPr>
            <w:tcW w:w="46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1144B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Documentación técnica de frontend</w:t>
            </w:r>
          </w:p>
        </w:tc>
      </w:tr>
    </w:tbl>
    <w:p w14:paraId="44E5D7A9" w14:textId="77777777" w:rsidR="002A4529" w:rsidRDefault="002A4529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60"/>
      </w:tblGrid>
      <w:tr w:rsidR="002A4529" w:rsidRPr="00FD3F79" w14:paraId="4F7AC0D5" w14:textId="77777777">
        <w:trPr>
          <w:jc w:val="center"/>
        </w:trPr>
        <w:tc>
          <w:tcPr>
            <w:tcW w:w="9360" w:type="dxa"/>
            <w:tcBorders>
              <w:top w:val="nil"/>
              <w:left w:val="single" w:sz="24" w:space="0" w:color="7C3AED"/>
              <w:bottom w:val="nil"/>
              <w:right w:val="nil"/>
            </w:tcBorders>
            <w:shd w:val="clear" w:color="auto" w:fill="EFF6FF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408F4FE0" w14:textId="77777777" w:rsidR="002A4529" w:rsidRPr="00FD3F79" w:rsidRDefault="00000000">
            <w:pPr>
              <w:spacing w:after="80"/>
              <w:rPr>
                <w:rFonts w:hint="eastAsia"/>
                <w:lang w:val="es-MX"/>
              </w:rPr>
            </w:pPr>
            <w:r w:rsidRPr="00FD3F79">
              <w:rPr>
                <w:b/>
                <w:i/>
                <w:color w:val="111827"/>
                <w:lang w:val="es-MX"/>
              </w:rPr>
              <w:t>Síntesis ejecutiva</w:t>
            </w:r>
          </w:p>
          <w:p w14:paraId="54F82A47" w14:textId="77777777" w:rsidR="002A4529" w:rsidRPr="00FD3F79" w:rsidRDefault="00000000">
            <w:pPr>
              <w:pStyle w:val="Cita"/>
              <w:rPr>
                <w:rFonts w:hint="eastAsia"/>
                <w:lang w:val="es-MX"/>
              </w:rPr>
            </w:pPr>
            <w:r w:rsidRPr="00FD3F79">
              <w:rPr>
                <w:lang w:val="es-MX"/>
              </w:rPr>
              <w:t>El frontend fue reorganizado con una arquitectura de presentación por dominios, orientada a reducir acoplamiento, unificar criterios visuales y dejar una base escalable para las pantallas principales del sistema. La decisión de usar presentation/ como capa principal permitió expresar con claridad qué parte del código pertenece a la experiencia de usuario y qué parte corresponde a lógica de negocio, datos o integración.</w:t>
            </w:r>
          </w:p>
        </w:tc>
      </w:tr>
    </w:tbl>
    <w:p w14:paraId="33447975" w14:textId="77777777" w:rsidR="002A4529" w:rsidRPr="00FD3F79" w:rsidRDefault="002A4529">
      <w:pPr>
        <w:rPr>
          <w:rFonts w:hint="eastAsia"/>
          <w:lang w:val="es-MX"/>
        </w:rPr>
      </w:pPr>
    </w:p>
    <w:p w14:paraId="64F43B51" w14:textId="77777777" w:rsidR="002A4529" w:rsidRPr="00FD3F79" w:rsidRDefault="00000000">
      <w:pPr>
        <w:pStyle w:val="Ttulo1"/>
        <w:pBdr>
          <w:bottom w:val="single" w:sz="6" w:space="4" w:color="E2E8F0"/>
        </w:pBdr>
        <w:rPr>
          <w:lang w:val="es-MX"/>
        </w:rPr>
      </w:pPr>
      <w:r>
        <w:rPr>
          <w:rFonts w:ascii="Segoe UI Emoji" w:hAnsi="Segoe UI Emoji"/>
          <w:sz w:val="28"/>
        </w:rPr>
        <w:t>🎯</w:t>
      </w:r>
      <w:r w:rsidRPr="00FD3F79">
        <w:rPr>
          <w:rFonts w:ascii="Segoe UI Emoji" w:hAnsi="Segoe UI Emoji"/>
          <w:sz w:val="28"/>
          <w:lang w:val="es-MX"/>
        </w:rPr>
        <w:t xml:space="preserve"> </w:t>
      </w:r>
      <w:r w:rsidRPr="00FD3F79">
        <w:rPr>
          <w:rFonts w:ascii="Segoe UI" w:hAnsi="Segoe UI"/>
          <w:lang w:val="es-MX"/>
        </w:rPr>
        <w:t>1. Objetivo del informe</w:t>
      </w:r>
    </w:p>
    <w:p w14:paraId="08948D03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t>Documentar los cambios realizados en el frontend y justificar la decisión arquitectónica adoptada durante los tres épics de rediseño y refactor. El informe explica cómo se estructuró la capa de presentación, qué criterios técnicos guiaron el cambio y qué beneficios aporta esta dirección para la mantenibilidad del sistema.</w:t>
      </w:r>
    </w:p>
    <w:p w14:paraId="45F265DC" w14:textId="77777777" w:rsidR="002A4529" w:rsidRPr="00FD3F79" w:rsidRDefault="00000000">
      <w:pPr>
        <w:pStyle w:val="Ttulo1"/>
        <w:pBdr>
          <w:bottom w:val="single" w:sz="6" w:space="4" w:color="E2E8F0"/>
        </w:pBdr>
        <w:rPr>
          <w:lang w:val="es-MX"/>
        </w:rPr>
      </w:pPr>
      <w:r>
        <w:rPr>
          <w:rFonts w:ascii="Segoe UI Emoji" w:hAnsi="Segoe UI Emoji"/>
          <w:sz w:val="28"/>
        </w:rPr>
        <w:t>🧭</w:t>
      </w:r>
      <w:r w:rsidRPr="00FD3F79">
        <w:rPr>
          <w:rFonts w:ascii="Segoe UI Emoji" w:hAnsi="Segoe UI Emoji"/>
          <w:sz w:val="28"/>
          <w:lang w:val="es-MX"/>
        </w:rPr>
        <w:t xml:space="preserve"> </w:t>
      </w:r>
      <w:r w:rsidRPr="00FD3F79">
        <w:rPr>
          <w:rFonts w:ascii="Segoe UI" w:hAnsi="Segoe UI"/>
          <w:lang w:val="es-MX"/>
        </w:rPr>
        <w:t>2. Lectura general del cambio</w:t>
      </w:r>
    </w:p>
    <w:p w14:paraId="7F3A847B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t>La intervención no se limitó a mejorar la apariencia de pantallas aisladas. El trabajo se abordó como una reorganización progresiva del frontend, donde cada pantalla priorizada pasó a responder a una estructura más clara: composición de página, componentes visuales, hooks de comportamiento, servicios o adapters y tipos propios del dominio.</w:t>
      </w:r>
    </w:p>
    <w:p w14:paraId="02F9618B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lastRenderedPageBreak/>
        <w:t>Con esta decisión, la antigua dependencia de una capa genérica de secciones dejó de ser el eje de la presentación. En su lugar, la responsabilidad visual y de interacción quedó concentrada en presentation/, mientras shared/ reúne los elementos reutilizables que dan coherencia al sistema.</w:t>
      </w:r>
    </w:p>
    <w:p w14:paraId="341FB28A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 xml:space="preserve">📌 </w:t>
      </w:r>
      <w:r>
        <w:rPr>
          <w:rFonts w:ascii="Segoe UI" w:hAnsi="Segoe UI"/>
        </w:rPr>
        <w:t>3. Contexto y motivación</w:t>
      </w:r>
    </w:p>
    <w:p w14:paraId="3F1135F2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redujo la lógica embebida en vistas grandes, separando composición visual, comportamiento de pantalla y acceso a datos.</w:t>
      </w:r>
    </w:p>
    <w:p w14:paraId="124F5F48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corrigió la dispersión de criterios visuales entre pestañas, tablas, formularios, estados de pantalla y acciones comunes.</w:t>
      </w:r>
    </w:p>
    <w:p w14:paraId="0A0702E2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reorganizó la presentación del sistema alrededor de dominios funcionales, evitando que las pantallas dependan de una carpeta genérica para resolver responsabilidades distintas.</w:t>
      </w:r>
    </w:p>
    <w:p w14:paraId="4A0654A5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fortaleció la reutilización de componentes compartidos para disminuir duplicación técnica y mejorar la coherencia entre flujos.</w:t>
      </w:r>
    </w:p>
    <w:p w14:paraId="6FEA0EC9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preservaron rutas y flujos principales durante la migración, manteniendo compatibilidad funcional mientras se ordenaba la base del frontend.</w:t>
      </w:r>
    </w:p>
    <w:p w14:paraId="014634DA" w14:textId="77777777" w:rsidR="002A4529" w:rsidRPr="00FD3F79" w:rsidRDefault="00000000">
      <w:pPr>
        <w:pStyle w:val="Ttulo1"/>
        <w:pBdr>
          <w:bottom w:val="single" w:sz="6" w:space="4" w:color="E2E8F0"/>
        </w:pBdr>
        <w:rPr>
          <w:lang w:val="es-MX"/>
        </w:rPr>
      </w:pPr>
      <w:r>
        <w:rPr>
          <w:rFonts w:ascii="Segoe UI Emoji" w:hAnsi="Segoe UI Emoji"/>
          <w:sz w:val="28"/>
        </w:rPr>
        <w:t>🏗️</w:t>
      </w:r>
      <w:r w:rsidRPr="00FD3F79">
        <w:rPr>
          <w:rFonts w:ascii="Segoe UI Emoji" w:hAnsi="Segoe UI Emoji"/>
          <w:sz w:val="28"/>
          <w:lang w:val="es-MX"/>
        </w:rPr>
        <w:t xml:space="preserve"> </w:t>
      </w:r>
      <w:r w:rsidRPr="00FD3F79">
        <w:rPr>
          <w:rFonts w:ascii="Segoe UI" w:hAnsi="Segoe UI"/>
          <w:lang w:val="es-MX"/>
        </w:rPr>
        <w:t>4. Decisión arquitectónica</w:t>
      </w:r>
    </w:p>
    <w:p w14:paraId="7D663E2C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t>La decisión central fue adoptar una arquitectura de presentación por dominios, inspirada en el enfoque feature-first. A nivel conceptual, el código se organiza alrededor de capacidades funcionales del producto; a nivel físico, por recomendación del magíster, la carpeta principal se denomina presentation/ para comunicar que allí vive la capa visual y de interacción del frontend.</w:t>
      </w:r>
    </w:p>
    <w:p w14:paraId="566C19EA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t>Este nombre evita ambigüedad: no todo lo que pertenece a una feature debe vivir necesariamente en la presentación. La lógica de negocio, casos de uso o integraciones pueden permanecer en módulos especializados, mientras presentation/ agrupa las piezas necesarias para construir la experiencia de usuario de cada pantalla.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83"/>
        <w:gridCol w:w="7497"/>
      </w:tblGrid>
      <w:tr w:rsidR="002A4529" w14:paraId="39CD2A25" w14:textId="77777777">
        <w:trPr>
          <w:jc w:val="center"/>
        </w:trPr>
        <w:tc>
          <w:tcPr>
            <w:tcW w:w="223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B1C0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Capa</w:t>
            </w:r>
          </w:p>
        </w:tc>
        <w:tc>
          <w:tcPr>
            <w:tcW w:w="784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DEC8E0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Responsabilidad</w:t>
            </w:r>
          </w:p>
        </w:tc>
      </w:tr>
      <w:tr w:rsidR="002A4529" w:rsidRPr="00FD3F79" w14:paraId="7804DB9C" w14:textId="77777777">
        <w:trPr>
          <w:jc w:val="center"/>
        </w:trPr>
        <w:tc>
          <w:tcPr>
            <w:tcW w:w="223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68F28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presentation/</w:t>
            </w:r>
          </w:p>
        </w:tc>
        <w:tc>
          <w:tcPr>
            <w:tcW w:w="784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EB078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Capa principal de presentación. Agrupa las pantallas por dominio funcional y contiene páginas, componentes, hooks, servicios/adapters y tipos propios.</w:t>
            </w:r>
          </w:p>
        </w:tc>
      </w:tr>
      <w:tr w:rsidR="002A4529" w:rsidRPr="00FD3F79" w14:paraId="27434A9B" w14:textId="77777777">
        <w:trPr>
          <w:jc w:val="center"/>
        </w:trPr>
        <w:tc>
          <w:tcPr>
            <w:tcW w:w="223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9DEB7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shared/</w:t>
            </w:r>
          </w:p>
        </w:tc>
        <w:tc>
          <w:tcPr>
            <w:tcW w:w="784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91F3D1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Base común para layouts, estados de pantalla, diálogos, botones, feedback, helpers y patrones reutilizables entre pantallas.</w:t>
            </w:r>
          </w:p>
        </w:tc>
      </w:tr>
      <w:tr w:rsidR="002A4529" w:rsidRPr="00FD3F79" w14:paraId="2BEBACBF" w14:textId="77777777">
        <w:trPr>
          <w:jc w:val="center"/>
        </w:trPr>
        <w:tc>
          <w:tcPr>
            <w:tcW w:w="223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91E03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modules/</w:t>
            </w:r>
          </w:p>
        </w:tc>
        <w:tc>
          <w:tcPr>
            <w:tcW w:w="784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2A75F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Capa que conserva casos de uso, puertos, repositorios o integraciones existentes cuando corresponden al dominio de negocio o infraestructura.</w:t>
            </w:r>
          </w:p>
        </w:tc>
      </w:tr>
      <w:tr w:rsidR="002A4529" w:rsidRPr="00FD3F79" w14:paraId="6B0A2A98" w14:textId="77777777">
        <w:trPr>
          <w:jc w:val="center"/>
        </w:trPr>
        <w:tc>
          <w:tcPr>
            <w:tcW w:w="223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EEEEF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app/</w:t>
            </w:r>
          </w:p>
        </w:tc>
        <w:tc>
          <w:tcPr>
            <w:tcW w:w="784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10E9A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Punto de integración de rutas, proveedores y configuración global del frontend.</w:t>
            </w:r>
          </w:p>
        </w:tc>
      </w:tr>
    </w:tbl>
    <w:p w14:paraId="001104C8" w14:textId="77777777" w:rsidR="002A4529" w:rsidRPr="00FD3F79" w:rsidRDefault="002A4529">
      <w:pPr>
        <w:rPr>
          <w:rFonts w:hint="eastAsia"/>
          <w:lang w:val="es-MX"/>
        </w:rPr>
      </w:pPr>
    </w:p>
    <w:p w14:paraId="27F10E00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 xml:space="preserve">🎯 </w:t>
      </w:r>
      <w:r>
        <w:rPr>
          <w:rFonts w:ascii="Segoe UI" w:hAnsi="Segoe UI"/>
        </w:rPr>
        <w:t>5. Estructura objetivo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60"/>
      </w:tblGrid>
      <w:tr w:rsidR="002A4529" w14:paraId="1BADD5AB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5B2E952" w14:textId="77777777" w:rsidR="002A452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src/</w:t>
            </w:r>
            <w:r>
              <w:rPr>
                <w:rFonts w:ascii="Consolas" w:hAnsi="Consolas"/>
                <w:sz w:val="19"/>
              </w:rPr>
              <w:br/>
              <w:t>├── app/</w:t>
            </w:r>
            <w:r>
              <w:rPr>
                <w:rFonts w:ascii="Consolas" w:hAnsi="Consolas"/>
                <w:sz w:val="19"/>
              </w:rPr>
              <w:br/>
              <w:t>├── shared/</w:t>
            </w:r>
            <w:r>
              <w:rPr>
                <w:rFonts w:ascii="Consolas" w:hAnsi="Consolas"/>
                <w:sz w:val="19"/>
              </w:rPr>
              <w:br/>
              <w:t>├── presentation/</w:t>
            </w:r>
            <w:r>
              <w:rPr>
                <w:rFonts w:ascii="Consolas" w:hAnsi="Consolas"/>
                <w:sz w:val="19"/>
              </w:rPr>
              <w:br/>
              <w:t>│   └── &lt;pantalla-o-dominio&gt;/</w:t>
            </w:r>
            <w:r>
              <w:rPr>
                <w:rFonts w:ascii="Consolas" w:hAnsi="Consolas"/>
                <w:sz w:val="19"/>
              </w:rPr>
              <w:br/>
              <w:t>│       ├── pages/</w:t>
            </w:r>
            <w:r>
              <w:rPr>
                <w:rFonts w:ascii="Consolas" w:hAnsi="Consolas"/>
                <w:sz w:val="19"/>
              </w:rPr>
              <w:br/>
              <w:t>│       ├── components/</w:t>
            </w:r>
            <w:r>
              <w:rPr>
                <w:rFonts w:ascii="Consolas" w:hAnsi="Consolas"/>
                <w:sz w:val="19"/>
              </w:rPr>
              <w:br/>
              <w:t>│       ├── hooks/</w:t>
            </w:r>
            <w:r>
              <w:rPr>
                <w:rFonts w:ascii="Consolas" w:hAnsi="Consolas"/>
                <w:sz w:val="19"/>
              </w:rPr>
              <w:br/>
              <w:t>│       ├── services/</w:t>
            </w:r>
            <w:r>
              <w:rPr>
                <w:rFonts w:ascii="Consolas" w:hAnsi="Consolas"/>
                <w:sz w:val="19"/>
              </w:rPr>
              <w:br/>
              <w:t>│       └── types/</w:t>
            </w:r>
            <w:r>
              <w:rPr>
                <w:rFonts w:ascii="Consolas" w:hAnsi="Consolas"/>
                <w:sz w:val="19"/>
              </w:rPr>
              <w:br/>
              <w:t>└── modules/</w:t>
            </w:r>
          </w:p>
        </w:tc>
      </w:tr>
    </w:tbl>
    <w:p w14:paraId="76EAC3A8" w14:textId="77777777" w:rsidR="002A4529" w:rsidRDefault="002A4529">
      <w:pPr>
        <w:rPr>
          <w:rFonts w:hint="eastAsia"/>
        </w:rPr>
      </w:pPr>
    </w:p>
    <w:p w14:paraId="2760E943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 xml:space="preserve">🧩 </w:t>
      </w:r>
      <w:r>
        <w:rPr>
          <w:rFonts w:ascii="Segoe UI" w:hAnsi="Segoe UI"/>
        </w:rPr>
        <w:t>6. Patrones aplicados</w:t>
      </w:r>
    </w:p>
    <w:p w14:paraId="4BE1721A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Container / Presentational para separar composición de pantalla y piezas visuales reutilizables.</w:t>
      </w:r>
    </w:p>
    <w:p w14:paraId="22E32338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Custom hooks para concentrar estado, navegación, filtros, selección y comportamiento de cada pantalla.</w:t>
      </w:r>
    </w:p>
    <w:p w14:paraId="7ECAD1AA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Servicios o adapters para aislar acceso a datos, repositorios existentes e integración con módulos previos.</w:t>
      </w:r>
    </w:p>
    <w:p w14:paraId="45DA5B0C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Componentes compartidos para headers, layouts, estados de carga, empty states, errores, acciones, diálogos y feedback.</w:t>
      </w:r>
    </w:p>
    <w:p w14:paraId="64E3B19A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Fuente de verdad clara para filtros, selección y contexto de pantalla, evitando duplicar estado entre URL, estado local y almacenamiento persistente.</w:t>
      </w:r>
    </w:p>
    <w:p w14:paraId="0E213D69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Renderizado por rol para mostrar acciones disponibles según permisos sin mezclar reglas de acceso dentro de componentes puramente visuales.</w:t>
      </w:r>
    </w:p>
    <w:p w14:paraId="2C3D9E2B" w14:textId="77777777" w:rsidR="002A4529" w:rsidRDefault="00000000">
      <w:pPr>
        <w:pStyle w:val="Ttulo2"/>
      </w:pPr>
      <w:r>
        <w:t>Lineamientos técnicos</w:t>
      </w:r>
    </w:p>
    <w:p w14:paraId="52E993DD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Evitar alert, confirm y window.location.reload, reemplazándolos por feedback y diálogos controlados por componentes.</w:t>
      </w:r>
    </w:p>
    <w:p w14:paraId="65DA609F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Reducir estilos inline y favorecer estilos centralizados, clases reutilizables o componentes compartidos.</w:t>
      </w:r>
    </w:p>
    <w:p w14:paraId="05B99DB7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Mantener estados de pantalla consistentes: loading, empty, error y success.</w:t>
      </w:r>
    </w:p>
    <w:p w14:paraId="3CE422D0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Preservar rutas y flujos principales durante la migración arquitectónica.</w:t>
      </w:r>
    </w:p>
    <w:p w14:paraId="17185B49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Priorizar componentes pequeños, responsabilidades claras y contratos de datos explícitos.</w:t>
      </w:r>
    </w:p>
    <w:p w14:paraId="1C72AB35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lastRenderedPageBreak/>
        <w:t xml:space="preserve">📊 </w:t>
      </w:r>
      <w:r>
        <w:rPr>
          <w:rFonts w:ascii="Segoe UI" w:hAnsi="Segoe UI"/>
        </w:rPr>
        <w:t>7. Impacto por pantalla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35"/>
        <w:gridCol w:w="7345"/>
      </w:tblGrid>
      <w:tr w:rsidR="002A4529" w14:paraId="256E5D92" w14:textId="77777777">
        <w:trPr>
          <w:jc w:val="center"/>
        </w:trPr>
        <w:tc>
          <w:tcPr>
            <w:tcW w:w="237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1EBFC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Área</w:t>
            </w:r>
          </w:p>
        </w:tc>
        <w:tc>
          <w:tcPr>
            <w:tcW w:w="7704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F557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Impacto técnico</w:t>
            </w:r>
          </w:p>
        </w:tc>
      </w:tr>
      <w:tr w:rsidR="002A4529" w:rsidRPr="00FD3F79" w14:paraId="59CEF349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086B6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Homepage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0C2AB3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estableció como entrada autenticada del sistema, alineada con la navegación principal y con los patrones visuales comunes.</w:t>
            </w:r>
          </w:p>
        </w:tc>
      </w:tr>
      <w:tr w:rsidR="002A4529" w:rsidRPr="00FD3F79" w14:paraId="4D65D1E6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5824B0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Landing pública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466BB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incorporó como entrada pública del producto, conectando la presentación inicial con el flujo de autenticación sin acoplarla al resto de pantallas internas.</w:t>
            </w:r>
          </w:p>
        </w:tc>
      </w:tr>
      <w:tr w:rsidR="002A4529" w:rsidRPr="00FD3F79" w14:paraId="723B0509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3246B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Autenticación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F8C02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rediseñó como pantalla independiente, coherente con la identidad visual del sistema y separada de la antigua capa de presentación.</w:t>
            </w:r>
          </w:p>
        </w:tc>
      </w:tr>
      <w:tr w:rsidR="002A4529" w:rsidRPr="00FD3F79" w14:paraId="01B1C700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D2214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Grupos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514431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reorganizó la gestión de grupos con jerarquía visual clara, acciones consistentes, navegación hacia participantes y separación entre UI, hooks, servicios y tipos.</w:t>
            </w:r>
          </w:p>
        </w:tc>
      </w:tr>
      <w:tr w:rsidR="002A4529" w:rsidRPr="00FD3F79" w14:paraId="0B4ECBE1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BEB2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Tareas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E8C15C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alinearon listados, filtros, ordenamiento, acciones y navegación bajo una estructura más mantenible y compatible con los patrones compartidos.</w:t>
            </w:r>
          </w:p>
        </w:tc>
      </w:tr>
      <w:tr w:rsidR="002A4529" w:rsidRPr="00FD3F79" w14:paraId="2F58E457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027F7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Detalle de tarea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A1588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ordenó la presentación de información, entregas, acciones y estados para reducir lógica acoplada en la vista.</w:t>
            </w:r>
          </w:p>
        </w:tc>
      </w:tr>
      <w:tr w:rsidR="002A4529" w:rsidRPr="00FD3F79" w14:paraId="0F1996BC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3CA098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Mis prácticas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E9A988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consolidaron patrones de lista, formularios, diálogos y feedback para mantener consistencia con el resto del frontend.</w:t>
            </w:r>
          </w:p>
        </w:tc>
      </w:tr>
      <w:tr w:rsidR="002A4529" w:rsidRPr="00FD3F79" w14:paraId="40BF3616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B8615E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Detalle de práctica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C4065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alineó con la arquitectura de presentación, separando información, acciones, estado de pantalla y navegación.</w:t>
            </w:r>
          </w:p>
        </w:tc>
      </w:tr>
      <w:tr w:rsidR="002A4529" w:rsidRPr="00FD3F79" w14:paraId="29A8B8D3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ACA34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Usuarios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7BE90F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estructuraron búsqueda, filtros, tablas, acciones y diálogos bajo componentes más claros y reutilizables.</w:t>
            </w:r>
          </w:p>
        </w:tc>
      </w:tr>
      <w:tr w:rsidR="002A4529" w:rsidRPr="00FD3F79" w14:paraId="17CEE0AE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C72F00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Ajustes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2DD42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Se ordenó la configuración del sistema mediante componentes dedicados, separación de comportamiento y presentación coherente con las demás pestañas.</w:t>
            </w:r>
          </w:p>
        </w:tc>
      </w:tr>
      <w:tr w:rsidR="002A4529" w:rsidRPr="00FD3F79" w14:paraId="66132E79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E336C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Pantallas complementarias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57A9A0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Los flujos de invitaciones, visualización TDD y Asistente IA quedaron considerados dentro del mismo criterio de presentación y consistencia visual.</w:t>
            </w:r>
          </w:p>
        </w:tc>
      </w:tr>
    </w:tbl>
    <w:p w14:paraId="08EABF83" w14:textId="77777777" w:rsidR="002A4529" w:rsidRPr="00FD3F79" w:rsidRDefault="002A4529">
      <w:pPr>
        <w:rPr>
          <w:rFonts w:hint="eastAsia"/>
          <w:lang w:val="es-MX"/>
        </w:rPr>
      </w:pPr>
    </w:p>
    <w:p w14:paraId="30C1B91E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 xml:space="preserve">✅ </w:t>
      </w:r>
      <w:r>
        <w:rPr>
          <w:rFonts w:ascii="Segoe UI" w:hAnsi="Segoe UI"/>
        </w:rPr>
        <w:t>8. Beneficios técnicos</w:t>
      </w:r>
    </w:p>
    <w:p w14:paraId="12E7740A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Menor acoplamiento entre pantallas, navegación, estado y acceso a datos.</w:t>
      </w:r>
    </w:p>
    <w:p w14:paraId="545B69B1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Mayor coherencia visual entre pestañas, formularios, tablas, diálogos, feedback y estados de pantalla.</w:t>
      </w:r>
    </w:p>
    <w:p w14:paraId="51F27EC5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Código más fácil de leer porque cada dominio funcional concentra sus piezas relacionadas en un mismo lugar.</w:t>
      </w:r>
    </w:p>
    <w:p w14:paraId="5EF632BE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lastRenderedPageBreak/>
        <w:t>Mejor reutilización de componentes compartidos sin duplicar soluciones por pantalla.</w:t>
      </w:r>
    </w:p>
    <w:p w14:paraId="2605816F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Base más escalable para incorporar nuevas pantallas o funcionalidades sin romper la coherencia del sistema.</w:t>
      </w:r>
    </w:p>
    <w:p w14:paraId="3C435412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Separación más clara entre presentación, comportamiento y servicios/adapters.</w:t>
      </w:r>
    </w:p>
    <w:p w14:paraId="7DFCFAB8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Mejor trazabilidad para QA, mantenimiento y evolución del frontend.</w:t>
      </w:r>
    </w:p>
    <w:p w14:paraId="6D2B7048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 xml:space="preserve">🏗️ </w:t>
      </w:r>
      <w:r>
        <w:rPr>
          <w:rFonts w:ascii="Segoe UI" w:hAnsi="Segoe UI"/>
        </w:rPr>
        <w:t>9. Cierre arquitectónico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60"/>
      </w:tblGrid>
      <w:tr w:rsidR="002A4529" w:rsidRPr="00FD3F79" w14:paraId="14DBDD04" w14:textId="77777777">
        <w:trPr>
          <w:jc w:val="center"/>
        </w:trPr>
        <w:tc>
          <w:tcPr>
            <w:tcW w:w="9360" w:type="dxa"/>
            <w:tcBorders>
              <w:top w:val="nil"/>
              <w:left w:val="single" w:sz="24" w:space="0" w:color="2563EB"/>
              <w:bottom w:val="nil"/>
              <w:right w:val="nil"/>
            </w:tcBorders>
            <w:shd w:val="clear" w:color="auto" w:fill="EFF6FF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67F7BB5" w14:textId="77777777" w:rsidR="002A4529" w:rsidRPr="00FD3F79" w:rsidRDefault="00000000">
            <w:pPr>
              <w:spacing w:after="80"/>
              <w:rPr>
                <w:rFonts w:hint="eastAsia"/>
                <w:lang w:val="es-MX"/>
              </w:rPr>
            </w:pPr>
            <w:r w:rsidRPr="00FD3F79">
              <w:rPr>
                <w:b/>
                <w:i/>
                <w:color w:val="111827"/>
                <w:lang w:val="es-MX"/>
              </w:rPr>
              <w:t>Conclusión técnica</w:t>
            </w:r>
          </w:p>
          <w:p w14:paraId="53B9AAD7" w14:textId="77777777" w:rsidR="002A4529" w:rsidRPr="00FD3F79" w:rsidRDefault="00000000">
            <w:pPr>
              <w:pStyle w:val="Cita"/>
              <w:rPr>
                <w:rFonts w:hint="eastAsia"/>
                <w:lang w:val="es-MX"/>
              </w:rPr>
            </w:pPr>
            <w:r w:rsidRPr="00FD3F79">
              <w:rPr>
                <w:lang w:val="es-MX"/>
              </w:rPr>
              <w:t>La arquitectura adoptada mejora la lectura del código y la consistencia del producto porque separa responsabilidades donde antes convivían en las mismas vistas. presentation/ funciona como una capa explícita para la experiencia de usuario; shared/ evita duplicación transversal; y modules/ conserva las piezas de dominio o integración que no deberían contaminar la UI. Esta separación permite evolucionar el frontend sin que cada nueva pantalla incremente el acoplamiento del sistema.</w:t>
            </w:r>
          </w:p>
        </w:tc>
      </w:tr>
    </w:tbl>
    <w:p w14:paraId="51BA8CF0" w14:textId="77777777" w:rsidR="002A4529" w:rsidRPr="00FD3F79" w:rsidRDefault="002A4529">
      <w:pPr>
        <w:rPr>
          <w:rFonts w:hint="eastAsia"/>
          <w:lang w:val="es-MX"/>
        </w:rPr>
      </w:pPr>
    </w:p>
    <w:p w14:paraId="7CBDACA6" w14:textId="77777777" w:rsidR="002A4529" w:rsidRPr="00FD3F79" w:rsidRDefault="00000000">
      <w:pPr>
        <w:pStyle w:val="Ttulo1"/>
        <w:pBdr>
          <w:bottom w:val="single" w:sz="6" w:space="4" w:color="E2E8F0"/>
        </w:pBdr>
        <w:rPr>
          <w:lang w:val="es-MX"/>
        </w:rPr>
      </w:pPr>
      <w:r>
        <w:rPr>
          <w:rFonts w:ascii="Segoe UI Emoji" w:hAnsi="Segoe UI Emoji"/>
          <w:sz w:val="28"/>
        </w:rPr>
        <w:t>📚</w:t>
      </w:r>
      <w:r w:rsidRPr="00FD3F79">
        <w:rPr>
          <w:rFonts w:ascii="Segoe UI Emoji" w:hAnsi="Segoe UI Emoji"/>
          <w:sz w:val="28"/>
          <w:lang w:val="es-MX"/>
        </w:rPr>
        <w:t xml:space="preserve"> </w:t>
      </w:r>
      <w:r w:rsidRPr="00FD3F79">
        <w:rPr>
          <w:rFonts w:ascii="Segoe UI" w:hAnsi="Segoe UI"/>
          <w:lang w:val="es-MX"/>
        </w:rPr>
        <w:t>10. Bibliografía y recursos</w:t>
      </w:r>
    </w:p>
    <w:p w14:paraId="139557DD" w14:textId="77777777" w:rsidR="002A4529" w:rsidRPr="00FD3F79" w:rsidRDefault="00000000">
      <w:pPr>
        <w:spacing w:after="120"/>
        <w:ind w:left="504" w:hanging="504"/>
        <w:rPr>
          <w:rFonts w:hint="eastAsia"/>
          <w:lang w:val="es-MX"/>
        </w:rPr>
      </w:pPr>
      <w:r w:rsidRPr="00FD3F79">
        <w:rPr>
          <w:color w:val="64748B"/>
          <w:sz w:val="19"/>
          <w:lang w:val="es-MX"/>
        </w:rPr>
        <w:t xml:space="preserve">Chohra, M. (2025). </w:t>
      </w:r>
      <w:r>
        <w:rPr>
          <w:color w:val="64748B"/>
          <w:sz w:val="19"/>
        </w:rPr>
        <w:t xml:space="preserve">The Guide to scale your React and React Native app: Feature First Architecture. </w:t>
      </w:r>
      <w:r w:rsidRPr="00FD3F79">
        <w:rPr>
          <w:color w:val="64748B"/>
          <w:sz w:val="19"/>
          <w:lang w:val="es-MX"/>
        </w:rPr>
        <w:t>JavaScript in Plain English. Consultado el 3 de mayo de 2026.</w:t>
      </w:r>
    </w:p>
    <w:p w14:paraId="635880FD" w14:textId="77777777" w:rsidR="002A4529" w:rsidRPr="00FD3F79" w:rsidRDefault="00000000">
      <w:pPr>
        <w:spacing w:after="200"/>
        <w:ind w:left="504" w:hanging="504"/>
        <w:rPr>
          <w:rFonts w:hint="eastAsia"/>
          <w:lang w:val="es-MX"/>
        </w:rPr>
      </w:pPr>
      <w:r w:rsidRPr="00FD3F79">
        <w:rPr>
          <w:color w:val="64748B"/>
          <w:sz w:val="18"/>
          <w:lang w:val="es-MX"/>
        </w:rPr>
        <w:t>https://javascript.plainenglish.io/the-guide-to-scale-your-react-and-react-native-app-feature-first-architecture-44f1eef72976?gi=9c426f99518b</w:t>
      </w:r>
    </w:p>
    <w:p w14:paraId="55596398" w14:textId="77777777" w:rsidR="002A4529" w:rsidRDefault="00000000">
      <w:pPr>
        <w:pStyle w:val="Ttulo2"/>
      </w:pPr>
      <w:r>
        <w:t>Recursos del proyecto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39"/>
        <w:gridCol w:w="1644"/>
        <w:gridCol w:w="5697"/>
      </w:tblGrid>
      <w:tr w:rsidR="002A4529" w14:paraId="117C6A46" w14:textId="77777777">
        <w:trPr>
          <w:jc w:val="center"/>
        </w:trPr>
        <w:tc>
          <w:tcPr>
            <w:tcW w:w="259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E9775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8"/>
              </w:rPr>
              <w:t>Recurso</w:t>
            </w:r>
          </w:p>
        </w:tc>
        <w:tc>
          <w:tcPr>
            <w:tcW w:w="172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54A28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8"/>
              </w:rPr>
              <w:t>Plataforma</w:t>
            </w:r>
          </w:p>
        </w:tc>
        <w:tc>
          <w:tcPr>
            <w:tcW w:w="57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CAB487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8"/>
              </w:rPr>
              <w:t>Enlace</w:t>
            </w:r>
          </w:p>
        </w:tc>
      </w:tr>
      <w:tr w:rsidR="002A4529" w14:paraId="2C579FFF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05C0FD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Tablero de gestión</w:t>
            </w:r>
          </w:p>
        </w:tc>
        <w:tc>
          <w:tcPr>
            <w:tcW w:w="172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9A7A5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Trello</w:t>
            </w:r>
          </w:p>
        </w:tc>
        <w:tc>
          <w:tcPr>
            <w:tcW w:w="576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110A0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64748B"/>
                <w:sz w:val="17"/>
              </w:rPr>
              <w:t>https://trello.com/b/StcYGS06/white-box</w:t>
            </w:r>
          </w:p>
        </w:tc>
      </w:tr>
      <w:tr w:rsidR="002A4529" w14:paraId="59ECF5CB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A1B342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Repositorio del proyecto</w:t>
            </w:r>
          </w:p>
        </w:tc>
        <w:tc>
          <w:tcPr>
            <w:tcW w:w="172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66B89B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GitHub</w:t>
            </w:r>
          </w:p>
        </w:tc>
        <w:tc>
          <w:tcPr>
            <w:tcW w:w="576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C4CCAE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64748B"/>
                <w:sz w:val="17"/>
              </w:rPr>
              <w:t>https://github.com/UCB-TallerDeDesarrollo/TDDLab/tree/WhiteBox</w:t>
            </w:r>
          </w:p>
        </w:tc>
      </w:tr>
      <w:tr w:rsidR="002A4529" w14:paraId="2224B77B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E4AA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Diseño de interfaz</w:t>
            </w:r>
          </w:p>
        </w:tc>
        <w:tc>
          <w:tcPr>
            <w:tcW w:w="172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A1F32E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Figma</w:t>
            </w:r>
          </w:p>
        </w:tc>
        <w:tc>
          <w:tcPr>
            <w:tcW w:w="576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B0CBF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64748B"/>
                <w:sz w:val="17"/>
              </w:rPr>
              <w:t>https://www.figma.com/design/FZ48aPfT2PXOWcklywMPCf/WHITE-BOX-TTD-LAB?node-id=171-565&amp;p=f&amp;t=zU7jQSwaHHFvMevc-0</w:t>
            </w:r>
          </w:p>
        </w:tc>
      </w:tr>
    </w:tbl>
    <w:p w14:paraId="759FB715" w14:textId="77777777" w:rsidR="002A4529" w:rsidRDefault="002A4529">
      <w:pPr>
        <w:rPr>
          <w:rFonts w:hint="eastAsia"/>
        </w:rPr>
      </w:pPr>
    </w:p>
    <w:sectPr w:rsidR="002A452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764350">
    <w:abstractNumId w:val="8"/>
  </w:num>
  <w:num w:numId="2" w16cid:durableId="454372063">
    <w:abstractNumId w:val="6"/>
  </w:num>
  <w:num w:numId="3" w16cid:durableId="15423798">
    <w:abstractNumId w:val="5"/>
  </w:num>
  <w:num w:numId="4" w16cid:durableId="2018580650">
    <w:abstractNumId w:val="4"/>
  </w:num>
  <w:num w:numId="5" w16cid:durableId="1431120212">
    <w:abstractNumId w:val="7"/>
  </w:num>
  <w:num w:numId="6" w16cid:durableId="932475349">
    <w:abstractNumId w:val="3"/>
  </w:num>
  <w:num w:numId="7" w16cid:durableId="445390732">
    <w:abstractNumId w:val="2"/>
  </w:num>
  <w:num w:numId="8" w16cid:durableId="1935555023">
    <w:abstractNumId w:val="1"/>
  </w:num>
  <w:num w:numId="9" w16cid:durableId="85905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529"/>
    <w:rsid w:val="00326F90"/>
    <w:rsid w:val="00AA1D8D"/>
    <w:rsid w:val="00B47730"/>
    <w:rsid w:val="00B53CB6"/>
    <w:rsid w:val="00CB0664"/>
    <w:rsid w:val="00FC693F"/>
    <w:rsid w:val="00FD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F02BB8F"/>
  <w14:defaultImageDpi w14:val="300"/>
  <w15:docId w15:val="{AE4F3EF2-8202-4A56-ACFA-BF856753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/>
    </w:pPr>
    <w:rPr>
      <w:rFonts w:ascii="Segoe UI" w:hAnsi="Segoe UI"/>
      <w:color w:val="1F2937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pPr>
      <w:spacing w:after="160"/>
      <w:ind w:left="317" w:right="216"/>
    </w:pPr>
    <w:rPr>
      <w:i/>
      <w:iCs/>
      <w:color w:val="64748B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1345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Salvatierra</cp:lastModifiedBy>
  <cp:revision>2</cp:revision>
  <cp:lastPrinted>2026-05-03T22:58:00Z</cp:lastPrinted>
  <dcterms:created xsi:type="dcterms:W3CDTF">2013-12-23T23:15:00Z</dcterms:created>
  <dcterms:modified xsi:type="dcterms:W3CDTF">2026-05-03T23:00:00Z</dcterms:modified>
  <cp:category/>
</cp:coreProperties>
</file>