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aps/>
          <w:color w:val="666666"/>
          <w:spacing w:val="200"/>
          <w:sz w:val="20"/>
          <w:szCs w:val="20"/>
        </w:rPr>
        <w:t xml:space="preserve">BOUDREAUX'S NEW DRUG STORE</w:t>
      </w:r>
    </w:p>
    <w:p>
      <w:pPr>
        <w:pBdr>
          <w:bottom w:val="single" w:color="40721D" w:sz="8" w:space="20"/>
        </w:pBdr>
        <w:spacing w:after="100"/>
        <w:jc w:val="center"/>
      </w:pPr>
      <w:r>
        <w:rPr>
          <w:rFonts w:ascii="Arial" w:cs="Arial" w:eastAsia="Arial" w:hAnsi="Arial"/>
          <w:b/>
          <w:bCs/>
          <w:color w:val="40721D"/>
          <w:sz w:val="56"/>
          <w:szCs w:val="56"/>
        </w:rPr>
        <w:t xml:space="preserve">Pharmacy Management System</w:t>
      </w:r>
    </w:p>
    <w:p>
      <w:pPr>
        <w:spacing w:after="100" w:before="300"/>
        <w:jc w:val="center"/>
      </w:pPr>
      <w:r>
        <w:rPr>
          <w:rFonts w:ascii="Arial" w:cs="Arial" w:eastAsia="Arial" w:hAnsi="Arial"/>
          <w:color w:val="333333"/>
          <w:sz w:val="32"/>
          <w:szCs w:val="32"/>
        </w:rPr>
        <w:t xml:space="preserve">Executive Launch Briefing</w:t>
      </w:r>
    </w:p>
    <w:p>
      <w:pPr>
        <w:spacing w:after="400"/>
      </w:pPr>
    </w:p>
    <w:p>
      <w:pPr>
        <w:spacing w:after="80"/>
        <w:jc w:val="center"/>
      </w:pPr>
      <w:r>
        <w:rPr>
          <w:rFonts w:ascii="Arial" w:cs="Arial" w:eastAsia="Arial" w:hAnsi="Arial"/>
          <w:color w:val="666666"/>
          <w:sz w:val="22"/>
          <w:szCs w:val="22"/>
        </w:rPr>
        <w:t xml:space="preserve">Prepared for CEO Review</w:t>
      </w:r>
    </w:p>
    <w:p>
      <w:pPr>
        <w:spacing w:after="80"/>
        <w:jc w:val="center"/>
      </w:pPr>
      <w:r>
        <w:rPr>
          <w:rFonts w:ascii="Arial" w:cs="Arial" w:eastAsia="Arial" w:hAnsi="Arial"/>
          <w:color w:val="666666"/>
          <w:sz w:val="22"/>
          <w:szCs w:val="22"/>
        </w:rPr>
        <w:t xml:space="preserve">March 2026</w:t>
      </w:r>
    </w:p>
    <w:p>
      <w:pPr>
        <w:spacing w:after="80"/>
        <w:jc w:val="center"/>
      </w:pPr>
      <w:r>
        <w:rPr>
          <w:rFonts w:ascii="Arial" w:cs="Arial" w:eastAsia="Arial" w:hAnsi="Arial"/>
          <w:b/>
          <w:bCs/>
          <w:caps/>
          <w:color w:val="CC0000"/>
          <w:sz w:val="18"/>
          <w:szCs w:val="18"/>
        </w:rPr>
        <w:t xml:space="preserve">CONFIDENTIAL</w:t>
      </w:r>
    </w:p>
    <w:p>
      <w:pPr>
        <w:spacing w:after="1500"/>
      </w:pPr>
    </w:p>
    <w:p>
      <w:pPr>
        <w:jc w:val="center"/>
      </w:pPr>
      <w:r>
        <w:rPr>
          <w:rFonts w:ascii="Arial" w:cs="Arial" w:eastAsia="Arial" w:hAnsi="Arial"/>
          <w:b/>
          <w:bCs/>
          <w:color w:val="40721D"/>
          <w:sz w:val="22"/>
          <w:szCs w:val="22"/>
        </w:rPr>
        <w:t xml:space="preserve">pms.bndsrx.com</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40721D"/>
          <w:sz w:val="32"/>
          <w:szCs w:val="32"/>
        </w:rPr>
        <w:t xml:space="preserve">1. Executive Summary</w:t>
      </w:r>
    </w:p>
    <w:p>
      <w:pPr>
        <w:spacing w:after="120"/>
      </w:pPr>
      <w:r>
        <w:rPr>
          <w:rFonts w:ascii="Arial" w:cs="Arial" w:eastAsia="Arial" w:hAnsi="Arial"/>
          <w:color w:val="666666"/>
          <w:sz w:val="22"/>
          <w:szCs w:val="22"/>
        </w:rPr>
        <w:t xml:space="preserve">The BNDS Pharmacy Management System (PMS) is a custom-built, cloud-native platform designed to replace our current DRX pharmacy software. Built from the ground up specifically for Boudreaux's compounding pharmacy operations, it provides complete control over our prescription workflow, inventory, billing, patient engagement, and compliance.</w:t>
      </w:r>
    </w:p>
    <w:p>
      <w:pPr>
        <w:spacing w:after="100"/>
      </w:pPr>
    </w:p>
    <w:p>
      <w:pPr>
        <w:spacing w:after="120"/>
      </w:pPr>
      <w:r>
        <w:rPr>
          <w:rFonts w:ascii="Arial" w:cs="Arial" w:eastAsia="Arial" w:hAnsi="Arial"/>
          <w:b/>
          <w:bCs/>
          <w:color w:val="333333"/>
          <w:sz w:val="22"/>
          <w:szCs w:val="22"/>
        </w:rPr>
        <w:t xml:space="preserve">Key advantages over DRX:</w:t>
      </w:r>
    </w:p>
    <w:p>
      <w:pPr>
        <w:pStyle w:val="ListParagraph"/>
        <w:numPr>
          <w:ilvl w:val="0"/>
          <w:numId w:val="2"/>
        </w:numPr>
        <w:spacing w:after="80"/>
      </w:pPr>
      <w:r>
        <w:rPr>
          <w:rFonts w:ascii="Arial" w:cs="Arial" w:eastAsia="Arial" w:hAnsi="Arial"/>
          <w:color w:val="333333"/>
          <w:sz w:val="22"/>
          <w:szCs w:val="22"/>
        </w:rPr>
        <w:t xml:space="preserve">Full customization and ownership of the codebase</w:t>
      </w:r>
    </w:p>
    <w:p>
      <w:pPr>
        <w:pStyle w:val="ListParagraph"/>
        <w:numPr>
          <w:ilvl w:val="0"/>
          <w:numId w:val="2"/>
        </w:numPr>
        <w:spacing w:after="80"/>
      </w:pPr>
      <w:r>
        <w:rPr>
          <w:rFonts w:ascii="Arial" w:cs="Arial" w:eastAsia="Arial" w:hAnsi="Arial"/>
          <w:color w:val="333333"/>
          <w:sz w:val="22"/>
          <w:szCs w:val="22"/>
        </w:rPr>
        <w:t xml:space="preserve">Compounding-first design with formula versioning and batch tracking</w:t>
      </w:r>
    </w:p>
    <w:p>
      <w:pPr>
        <w:pStyle w:val="ListParagraph"/>
        <w:numPr>
          <w:ilvl w:val="0"/>
          <w:numId w:val="2"/>
        </w:numPr>
        <w:spacing w:after="80"/>
      </w:pPr>
      <w:r>
        <w:rPr>
          <w:rFonts w:ascii="Arial" w:cs="Arial" w:eastAsia="Arial" w:hAnsi="Arial"/>
          <w:color w:val="333333"/>
          <w:sz w:val="22"/>
          <w:szCs w:val="22"/>
        </w:rPr>
        <w:t xml:space="preserve">Modern cloud architecture with 99.9% uptime SLA</w:t>
      </w:r>
    </w:p>
    <w:p>
      <w:pPr>
        <w:pStyle w:val="ListParagraph"/>
        <w:numPr>
          <w:ilvl w:val="0"/>
          <w:numId w:val="2"/>
        </w:numPr>
        <w:spacing w:after="80"/>
      </w:pPr>
      <w:r>
        <w:rPr>
          <w:rFonts w:ascii="Arial" w:cs="Arial" w:eastAsia="Arial" w:hAnsi="Arial"/>
          <w:color w:val="333333"/>
          <w:sz w:val="22"/>
          <w:szCs w:val="22"/>
        </w:rPr>
        <w:t xml:space="preserve">Integrated patient and prescriber portals</w:t>
      </w:r>
    </w:p>
    <w:p>
      <w:pPr>
        <w:pStyle w:val="ListParagraph"/>
        <w:numPr>
          <w:ilvl w:val="0"/>
          <w:numId w:val="2"/>
        </w:numPr>
        <w:spacing w:after="80"/>
      </w:pPr>
      <w:r>
        <w:rPr>
          <w:rFonts w:ascii="Arial" w:cs="Arial" w:eastAsia="Arial" w:hAnsi="Arial"/>
          <w:color w:val="333333"/>
          <w:sz w:val="22"/>
          <w:szCs w:val="22"/>
        </w:rPr>
        <w:t xml:space="preserve">Real-time queue management and operational dashboards</w:t>
      </w:r>
    </w:p>
    <w:p>
      <w:pPr>
        <w:pStyle w:val="ListParagraph"/>
        <w:numPr>
          <w:ilvl w:val="0"/>
          <w:numId w:val="2"/>
        </w:numPr>
        <w:spacing w:after="80"/>
      </w:pPr>
      <w:r>
        <w:rPr>
          <w:rFonts w:ascii="Arial" w:cs="Arial" w:eastAsia="Arial" w:hAnsi="Arial"/>
          <w:color w:val="333333"/>
          <w:sz w:val="22"/>
          <w:szCs w:val="22"/>
        </w:rPr>
        <w:t xml:space="preserve">HIPAA-compliant infrastructure with end-to-end encryption</w:t>
      </w:r>
    </w:p>
    <w:p>
      <w:pPr>
        <w:pStyle w:val="ListParagraph"/>
        <w:numPr>
          <w:ilvl w:val="0"/>
          <w:numId w:val="2"/>
        </w:numPr>
        <w:spacing w:after="80"/>
      </w:pPr>
      <w:r>
        <w:rPr>
          <w:rFonts w:ascii="Arial" w:cs="Arial" w:eastAsia="Arial" w:hAnsi="Arial"/>
          <w:color w:val="333333"/>
          <w:sz w:val="22"/>
          <w:szCs w:val="22"/>
        </w:rPr>
        <w:t xml:space="preserve">Estimated 40-60% reduction in per-station software licensing costs</w:t>
      </w:r>
    </w:p>
    <w:p>
      <w:pPr>
        <w:pBdr>
          <w:bottom w:val="single" w:color="40721D" w:sz="6" w:space="1"/>
        </w:pBdr>
        <w:spacing w:after="200" w:before="200"/>
      </w:pPr>
    </w:p>
    <w:p>
      <w:pPr>
        <w:pStyle w:val="Heading1"/>
        <w:spacing w:after="200" w:before="400"/>
      </w:pPr>
      <w:r>
        <w:rPr>
          <w:rFonts w:ascii="Arial" w:cs="Arial" w:eastAsia="Arial" w:hAnsi="Arial"/>
          <w:b/>
          <w:bCs/>
          <w:color w:val="40721D"/>
          <w:sz w:val="32"/>
          <w:szCs w:val="32"/>
        </w:rPr>
        <w:t xml:space="preserve">2. What the System Does</w:t>
      </w:r>
    </w:p>
    <w:p>
      <w:pPr>
        <w:spacing w:after="120"/>
      </w:pPr>
      <w:r>
        <w:rPr>
          <w:rFonts w:ascii="Arial" w:cs="Arial" w:eastAsia="Arial" w:hAnsi="Arial"/>
          <w:color w:val="666666"/>
          <w:sz w:val="22"/>
          <w:szCs w:val="22"/>
        </w:rPr>
        <w:t xml:space="preserve">The PMS manages the complete lifecycle of pharmacy operations across 24 integrated modules: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Clinical Operations</w:t>
            </w:r>
          </w:p>
        </w:tc>
        <w:tc>
          <w:tcPr>
            <w:tcW w:type="dxa" w:w="312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Operations</w:t>
            </w:r>
          </w:p>
        </w:tc>
        <w:tc>
          <w:tcPr>
            <w:tcW w:type="dxa" w:w="312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Patient Engagement</w:t>
            </w:r>
          </w:p>
        </w:tc>
      </w:tr>
      <w:tr>
        <w:tc>
          <w:tcPr>
            <w:tcW w:type="dxa" w:w="312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color w:val="333333"/>
                <w:sz w:val="20"/>
                <w:szCs w:val="20"/>
              </w:rPr>
              <w:t xml:space="preserve">Prescription Management</w:t>
            </w:r>
          </w:p>
        </w:tc>
        <w:tc>
          <w:tcPr>
            <w:tcW w:type="dxa" w:w="312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color w:val="333333"/>
                <w:sz w:val="20"/>
                <w:szCs w:val="20"/>
              </w:rPr>
              <w:t xml:space="preserve">Point of Sale (POS)</w:t>
            </w:r>
          </w:p>
        </w:tc>
        <w:tc>
          <w:tcPr>
            <w:tcW w:type="dxa" w:w="312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color w:val="333333"/>
                <w:sz w:val="20"/>
                <w:szCs w:val="20"/>
              </w:rPr>
              <w:t xml:space="preserve">Patient Portal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Intake Queue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Insurance Claims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Prescriber Portal</w:t>
            </w:r>
          </w:p>
        </w:tc>
      </w:tr>
      <w:tr>
        <w:tc>
          <w:tcPr>
            <w:tcW w:type="dxa" w:w="312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color w:val="333333"/>
                <w:sz w:val="20"/>
                <w:szCs w:val="20"/>
              </w:rPr>
              <w:t xml:space="preserve">Compounding &amp; Batches</w:t>
            </w:r>
          </w:p>
        </w:tc>
        <w:tc>
          <w:tcPr>
            <w:tcW w:type="dxa" w:w="312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color w:val="333333"/>
                <w:sz w:val="20"/>
                <w:szCs w:val="20"/>
              </w:rPr>
              <w:t xml:space="preserve">Billing &amp; Payments</w:t>
            </w:r>
          </w:p>
        </w:tc>
        <w:tc>
          <w:tcPr>
            <w:tcW w:type="dxa" w:w="312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color w:val="333333"/>
                <w:sz w:val="20"/>
                <w:szCs w:val="20"/>
              </w:rPr>
              <w:t xml:space="preserve">SMS/Voice Notifications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Inventory &amp; Lots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Reports &amp; 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Refill Requests</w:t>
            </w:r>
          </w:p>
        </w:tc>
      </w:tr>
      <w:tr>
        <w:tc>
          <w:tcPr>
            <w:tcW w:type="dxa" w:w="312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color w:val="333333"/>
                <w:sz w:val="20"/>
                <w:szCs w:val="20"/>
              </w:rPr>
              <w:t xml:space="preserve">Drug Verification</w:t>
            </w:r>
          </w:p>
        </w:tc>
        <w:tc>
          <w:tcPr>
            <w:tcW w:type="dxa" w:w="312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color w:val="333333"/>
                <w:sz w:val="20"/>
                <w:szCs w:val="20"/>
              </w:rPr>
              <w:t xml:space="preserve">Shipping &amp; Delivery</w:t>
            </w:r>
          </w:p>
        </w:tc>
        <w:tc>
          <w:tcPr>
            <w:tcW w:type="dxa" w:w="312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color w:val="333333"/>
                <w:sz w:val="20"/>
                <w:szCs w:val="20"/>
              </w:rPr>
              <w:t xml:space="preserve">Messaging &amp; Comms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E-Prescribing (ERX)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Staff &amp; Access Mgmt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Pickup Notifications</w:t>
            </w:r>
          </w:p>
        </w:tc>
      </w:tr>
    </w:tbl>
    <w:p>
      <w:pPr>
        <w:spacing w:after="200"/>
      </w:pPr>
    </w:p>
    <w:p>
      <w:pPr>
        <w:spacing w:after="120"/>
      </w:pPr>
      <w:r>
        <w:rPr>
          <w:rFonts w:ascii="Arial" w:cs="Arial" w:eastAsia="Arial" w:hAnsi="Arial"/>
          <w:color w:val="666666"/>
          <w:sz w:val="22"/>
          <w:szCs w:val="22"/>
        </w:rPr>
        <w:t xml:space="preserve">The system processes prescriptions from intake through fulfillment, manages real-time inventory with lot tracking and expiration alerts, handles insurance claim submission and adjudication, and provides comprehensive reporting for operational decision-making.</w:t>
      </w:r>
    </w:p>
    <w:p>
      <w:pPr>
        <w:pBdr>
          <w:bottom w:val="single" w:color="40721D" w:sz="6" w:space="1"/>
        </w:pBdr>
        <w:spacing w:after="200" w:before="200"/>
      </w:pPr>
    </w:p>
    <w:p>
      <w:pPr>
        <w:pStyle w:val="Heading1"/>
        <w:spacing w:after="200" w:before="400"/>
      </w:pPr>
      <w:r>
        <w:rPr>
          <w:rFonts w:ascii="Arial" w:cs="Arial" w:eastAsia="Arial" w:hAnsi="Arial"/>
          <w:b/>
          <w:bCs/>
          <w:color w:val="40721D"/>
          <w:sz w:val="32"/>
          <w:szCs w:val="32"/>
        </w:rPr>
        <w:t xml:space="preserve">3. Technology Stack &amp; Systems</w:t>
      </w:r>
    </w:p>
    <w:p>
      <w:pPr>
        <w:spacing w:after="120"/>
      </w:pPr>
      <w:r>
        <w:rPr>
          <w:rFonts w:ascii="Arial" w:cs="Arial" w:eastAsia="Arial" w:hAnsi="Arial"/>
          <w:color w:val="666666"/>
          <w:sz w:val="22"/>
          <w:szCs w:val="22"/>
        </w:rPr>
        <w:t xml:space="preserve">The platform is built on modern, enterprise-grade cloud services: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396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Web Application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16 + React 19</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interface and application logic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Supabase (PostgreSQL)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55-table relational database with real-time sync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Global CDN, auto-scaling, SSL certificates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Communications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Twilio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SMS, voice calls, and fax for patient comms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Payments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 transactions, patient portal payments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Error Monitoring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Sentry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Real-time error tracking and performance monitoring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Shipping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USPS / UPS / FedEx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Rate quotes, label printing, package tracking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E-Prescribing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SureScripts / NCPDP</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Electronic prescriptions and insurance claims</w:t>
            </w:r>
          </w:p>
        </w:tc>
      </w:tr>
    </w:tbl>
    <w:p>
      <w:r>
        <w:br w:type="page"/>
      </w:r>
    </w:p>
    <w:p>
      <w:pPr>
        <w:pStyle w:val="Heading1"/>
        <w:spacing w:after="200" w:before="400"/>
      </w:pPr>
      <w:r>
        <w:rPr>
          <w:rFonts w:ascii="Arial" w:cs="Arial" w:eastAsia="Arial" w:hAnsi="Arial"/>
          <w:b/>
          <w:bCs/>
          <w:color w:val="40721D"/>
          <w:sz w:val="32"/>
          <w:szCs w:val="32"/>
        </w:rPr>
        <w:t xml:space="preserve">4. Monthly Cost Breakdown</w:t>
      </w:r>
    </w:p>
    <w:p>
      <w:pPr>
        <w:spacing w:after="120"/>
      </w:pPr>
      <w:r>
        <w:rPr>
          <w:rFonts w:ascii="Arial" w:cs="Arial" w:eastAsia="Arial" w:hAnsi="Arial"/>
          <w:color w:val="666666"/>
          <w:sz w:val="22"/>
          <w:szCs w:val="22"/>
        </w:rPr>
        <w:t xml:space="preserve">All infrastructure costs are subscription-based with no long-term contracts: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800"/>
        <w:gridCol w:w="2160"/>
      </w:tblGrid>
      <w:tr>
        <w:tc>
          <w:tcPr>
            <w:tcW w:type="dxa" w:w="300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180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c>
          <w:tcPr>
            <w:tcW w:type="dxa" w:w="216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Vercel (Hosting)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$20/mo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 team member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Supabase (Database)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$25/mo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8GB RAM, PITR backups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Twilio (SMS/Voice)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Pay-as-you-go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~$50-150/mo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Based on message volume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Stripe (Payments)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Standard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2.9% + $0.30/tx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 transaction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Sentry (Monitoring)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$26/mo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50K events/mo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Domain (bndsrx.com)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~$1/mo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Already owned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tcPr>
          <w:p>
            <w:r>
              <w:rPr>
                <w:rFonts w:ascii="Arial" w:cs="Arial" w:eastAsia="Arial" w:hAnsi="Arial"/>
                <w:b/>
                <w:bCs/>
                <w:color w:val="FFFFFF"/>
                <w:sz w:val="22"/>
                <w:szCs w:val="22"/>
              </w:rPr>
              <w:t xml:space="preserve">ESTIMATED TOTAL MONTHLY COST</w:t>
            </w:r>
          </w:p>
        </w:tc>
        <w:tc>
          <w:tcPr>
            <w:tcW w:type="dxa" w:w="336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tcPr>
          <w:p>
            <w:pPr>
              <w:jc w:val="right"/>
            </w:pPr>
            <w:r>
              <w:rPr>
                <w:rFonts w:ascii="Arial" w:cs="Arial" w:eastAsia="Arial" w:hAnsi="Arial"/>
                <w:b/>
                <w:bCs/>
                <w:color w:val="FFFFFF"/>
                <w:sz w:val="24"/>
                <w:szCs w:val="24"/>
              </w:rPr>
              <w:t xml:space="preserve">$125 - $225 / month</w:t>
            </w:r>
          </w:p>
        </w:tc>
      </w:tr>
    </w:tbl>
    <w:p>
      <w:pPr>
        <w:spacing w:after="200"/>
      </w:pPr>
    </w:p>
    <w:p>
      <w:pPr>
        <w:spacing w:after="120"/>
      </w:pPr>
      <w:r>
        <w:rPr>
          <w:rFonts w:ascii="Arial" w:cs="Arial" w:eastAsia="Arial" w:hAnsi="Arial"/>
          <w:i/>
          <w:iCs/>
          <w:color w:val="666666"/>
          <w:sz w:val="22"/>
          <w:szCs w:val="22"/>
        </w:rPr>
        <w:t xml:space="preserve">Note: DRX licensing for comparable functionality runs $300-500+/month per station. This system supports unlimited concurrent users at the same fixed cost.</w:t>
      </w:r>
    </w:p>
    <w:p>
      <w:pPr>
        <w:pBdr>
          <w:bottom w:val="single" w:color="40721D" w:sz="6" w:space="1"/>
        </w:pBdr>
        <w:spacing w:after="200" w:before="200"/>
      </w:pPr>
    </w:p>
    <w:p>
      <w:pPr>
        <w:pStyle w:val="Heading1"/>
        <w:spacing w:after="200" w:before="400"/>
      </w:pPr>
      <w:r>
        <w:rPr>
          <w:rFonts w:ascii="Arial" w:cs="Arial" w:eastAsia="Arial" w:hAnsi="Arial"/>
          <w:b/>
          <w:bCs/>
          <w:color w:val="40721D"/>
          <w:sz w:val="32"/>
          <w:szCs w:val="32"/>
        </w:rPr>
        <w:t xml:space="preserve">5. Security &amp; HIPAA Compliance</w:t>
      </w:r>
    </w:p>
    <w:p>
      <w:pPr>
        <w:spacing w:after="120"/>
      </w:pPr>
      <w:r>
        <w:rPr>
          <w:rFonts w:ascii="Arial" w:cs="Arial" w:eastAsia="Arial" w:hAnsi="Arial"/>
          <w:color w:val="666666"/>
          <w:sz w:val="22"/>
          <w:szCs w:val="22"/>
        </w:rPr>
        <w:t xml:space="preserve">The system has been designed with healthcare compliance as a foundational requirement:</w:t>
      </w:r>
    </w:p>
    <w:p>
      <w:pPr>
        <w:spacing w:after="100"/>
      </w:pPr>
    </w:p>
    <w:p>
      <w:pPr>
        <w:pStyle w:val="Heading2"/>
        <w:spacing w:after="150" w:before="300"/>
      </w:pPr>
      <w:r>
        <w:rPr>
          <w:rFonts w:ascii="Arial" w:cs="Arial" w:eastAsia="Arial" w:hAnsi="Arial"/>
          <w:b/>
          <w:bCs/>
          <w:color w:val="2D5114"/>
          <w:sz w:val="26"/>
          <w:szCs w:val="26"/>
        </w:rPr>
        <w:t xml:space="preserve">Data Protection</w:t>
      </w:r>
    </w:p>
    <w:p>
      <w:pPr>
        <w:pStyle w:val="ListParagraph"/>
        <w:numPr>
          <w:ilvl w:val="0"/>
          <w:numId w:val="2"/>
        </w:numPr>
        <w:spacing w:after="80"/>
      </w:pPr>
      <w:r>
        <w:rPr>
          <w:rFonts w:ascii="Arial" w:cs="Arial" w:eastAsia="Arial" w:hAnsi="Arial"/>
          <w:color w:val="333333"/>
          <w:sz w:val="22"/>
          <w:szCs w:val="22"/>
        </w:rPr>
        <w:t xml:space="preserve">AES-256 encryption for sensitive fields (SSN, DOB, medical records)</w:t>
      </w:r>
    </w:p>
    <w:p>
      <w:pPr>
        <w:pStyle w:val="ListParagraph"/>
        <w:numPr>
          <w:ilvl w:val="0"/>
          <w:numId w:val="2"/>
        </w:numPr>
        <w:spacing w:after="80"/>
      </w:pPr>
      <w:r>
        <w:rPr>
          <w:rFonts w:ascii="Arial" w:cs="Arial" w:eastAsia="Arial" w:hAnsi="Arial"/>
          <w:color w:val="333333"/>
          <w:sz w:val="22"/>
          <w:szCs w:val="22"/>
        </w:rPr>
        <w:t xml:space="preserve">TLS/SSL encryption for all data in transit (auto-provisioned)</w:t>
      </w:r>
    </w:p>
    <w:p>
      <w:pPr>
        <w:pStyle w:val="ListParagraph"/>
        <w:numPr>
          <w:ilvl w:val="0"/>
          <w:numId w:val="2"/>
        </w:numPr>
        <w:spacing w:after="80"/>
      </w:pPr>
      <w:r>
        <w:rPr>
          <w:rFonts w:ascii="Arial" w:cs="Arial" w:eastAsia="Arial" w:hAnsi="Arial"/>
          <w:color w:val="333333"/>
          <w:sz w:val="22"/>
          <w:szCs w:val="22"/>
        </w:rPr>
        <w:t xml:space="preserve">Database encryption at rest via Supabase managed PostgreSQL</w:t>
      </w:r>
    </w:p>
    <w:p>
      <w:pPr>
        <w:pStyle w:val="ListParagraph"/>
        <w:numPr>
          <w:ilvl w:val="0"/>
          <w:numId w:val="2"/>
        </w:numPr>
        <w:spacing w:after="80"/>
      </w:pPr>
      <w:r>
        <w:rPr>
          <w:rFonts w:ascii="Arial" w:cs="Arial" w:eastAsia="Arial" w:hAnsi="Arial"/>
          <w:color w:val="333333"/>
          <w:sz w:val="22"/>
          <w:szCs w:val="22"/>
        </w:rPr>
        <w:t xml:space="preserve">Row-Level Security (RLS) policies on all database tables</w:t>
      </w:r>
    </w:p>
    <w:p>
      <w:pPr>
        <w:pStyle w:val="Heading2"/>
        <w:spacing w:after="150" w:before="300"/>
      </w:pPr>
      <w:r>
        <w:rPr>
          <w:rFonts w:ascii="Arial" w:cs="Arial" w:eastAsia="Arial" w:hAnsi="Arial"/>
          <w:b/>
          <w:bCs/>
          <w:color w:val="2D5114"/>
          <w:sz w:val="26"/>
          <w:szCs w:val="26"/>
        </w:rPr>
        <w:t xml:space="preserve">Access Controls</w:t>
      </w:r>
    </w:p>
    <w:p>
      <w:pPr>
        <w:pStyle w:val="ListParagraph"/>
        <w:numPr>
          <w:ilvl w:val="0"/>
          <w:numId w:val="2"/>
        </w:numPr>
        <w:spacing w:after="80"/>
      </w:pPr>
      <w:r>
        <w:rPr>
          <w:rFonts w:ascii="Arial" w:cs="Arial" w:eastAsia="Arial" w:hAnsi="Arial"/>
          <w:color w:val="333333"/>
          <w:sz w:val="22"/>
          <w:szCs w:val="22"/>
        </w:rPr>
        <w:t xml:space="preserve">Role-based access control (Admin, Pharmacist, Technician, Billing)</w:t>
      </w:r>
    </w:p>
    <w:p>
      <w:pPr>
        <w:pStyle w:val="ListParagraph"/>
        <w:numPr>
          <w:ilvl w:val="0"/>
          <w:numId w:val="2"/>
        </w:numPr>
        <w:spacing w:after="80"/>
      </w:pPr>
      <w:r>
        <w:rPr>
          <w:rFonts w:ascii="Arial" w:cs="Arial" w:eastAsia="Arial" w:hAnsi="Arial"/>
          <w:color w:val="333333"/>
          <w:sz w:val="22"/>
          <w:szCs w:val="22"/>
        </w:rPr>
        <w:t xml:space="preserve">Session management with automatic timeout</w:t>
      </w:r>
    </w:p>
    <w:p>
      <w:pPr>
        <w:pStyle w:val="ListParagraph"/>
        <w:numPr>
          <w:ilvl w:val="0"/>
          <w:numId w:val="2"/>
        </w:numPr>
        <w:spacing w:after="80"/>
      </w:pPr>
      <w:r>
        <w:rPr>
          <w:rFonts w:ascii="Arial" w:cs="Arial" w:eastAsia="Arial" w:hAnsi="Arial"/>
          <w:color w:val="333333"/>
          <w:sz w:val="22"/>
          <w:szCs w:val="22"/>
        </w:rPr>
        <w:t xml:space="preserve">Leaked password protection via HaveIBeenPwned API</w:t>
      </w:r>
    </w:p>
    <w:p>
      <w:pPr>
        <w:pStyle w:val="ListParagraph"/>
        <w:numPr>
          <w:ilvl w:val="0"/>
          <w:numId w:val="2"/>
        </w:numPr>
        <w:spacing w:after="80"/>
      </w:pPr>
      <w:r>
        <w:rPr>
          <w:rFonts w:ascii="Arial" w:cs="Arial" w:eastAsia="Arial" w:hAnsi="Arial"/>
          <w:color w:val="333333"/>
          <w:sz w:val="22"/>
          <w:szCs w:val="22"/>
        </w:rPr>
        <w:t xml:space="preserve">Minimum 8-character passwords with complexity requirements</w:t>
      </w:r>
    </w:p>
    <w:p>
      <w:pPr>
        <w:pStyle w:val="ListParagraph"/>
        <w:numPr>
          <w:ilvl w:val="0"/>
          <w:numId w:val="2"/>
        </w:numPr>
        <w:spacing w:after="80"/>
      </w:pPr>
      <w:r>
        <w:rPr>
          <w:rFonts w:ascii="Arial" w:cs="Arial" w:eastAsia="Arial" w:hAnsi="Arial"/>
          <w:color w:val="333333"/>
          <w:sz w:val="22"/>
          <w:szCs w:val="22"/>
        </w:rPr>
        <w:t xml:space="preserve">Rate limiting and brute force protection</w:t>
      </w:r>
    </w:p>
    <w:p>
      <w:pPr>
        <w:pStyle w:val="Heading2"/>
        <w:spacing w:after="150" w:before="300"/>
      </w:pPr>
      <w:r>
        <w:rPr>
          <w:rFonts w:ascii="Arial" w:cs="Arial" w:eastAsia="Arial" w:hAnsi="Arial"/>
          <w:b/>
          <w:bCs/>
          <w:color w:val="2D5114"/>
          <w:sz w:val="26"/>
          <w:szCs w:val="26"/>
        </w:rPr>
        <w:t xml:space="preserve">Audit &amp; Compliance</w:t>
      </w:r>
    </w:p>
    <w:p>
      <w:pPr>
        <w:pStyle w:val="ListParagraph"/>
        <w:numPr>
          <w:ilvl w:val="0"/>
          <w:numId w:val="2"/>
        </w:numPr>
        <w:spacing w:after="80"/>
      </w:pPr>
      <w:r>
        <w:rPr>
          <w:rFonts w:ascii="Arial" w:cs="Arial" w:eastAsia="Arial" w:hAnsi="Arial"/>
          <w:color w:val="333333"/>
          <w:sz w:val="22"/>
          <w:szCs w:val="22"/>
        </w:rPr>
        <w:t xml:space="preserve">Complete audit trail logging all user actions with timestamps</w:t>
      </w:r>
    </w:p>
    <w:p>
      <w:pPr>
        <w:pStyle w:val="ListParagraph"/>
        <w:numPr>
          <w:ilvl w:val="0"/>
          <w:numId w:val="2"/>
        </w:numPr>
        <w:spacing w:after="80"/>
      </w:pPr>
      <w:r>
        <w:rPr>
          <w:rFonts w:ascii="Arial" w:cs="Arial" w:eastAsia="Arial" w:hAnsi="Arial"/>
          <w:color w:val="333333"/>
          <w:sz w:val="22"/>
          <w:szCs w:val="22"/>
        </w:rPr>
        <w:t xml:space="preserve">Content Security Policy (CSP) headers preventing XSS attacks</w:t>
      </w:r>
    </w:p>
    <w:p>
      <w:pPr>
        <w:pStyle w:val="ListParagraph"/>
        <w:numPr>
          <w:ilvl w:val="0"/>
          <w:numId w:val="2"/>
        </w:numPr>
        <w:spacing w:after="80"/>
      </w:pPr>
      <w:r>
        <w:rPr>
          <w:rFonts w:ascii="Arial" w:cs="Arial" w:eastAsia="Arial" w:hAnsi="Arial"/>
          <w:color w:val="333333"/>
          <w:sz w:val="22"/>
          <w:szCs w:val="22"/>
        </w:rPr>
        <w:t xml:space="preserve">Input validation and sanitization on all API endpoints</w:t>
      </w:r>
    </w:p>
    <w:p>
      <w:pPr>
        <w:pStyle w:val="ListParagraph"/>
        <w:numPr>
          <w:ilvl w:val="0"/>
          <w:numId w:val="2"/>
        </w:numPr>
        <w:spacing w:after="80"/>
      </w:pPr>
      <w:r>
        <w:rPr>
          <w:rFonts w:ascii="Arial" w:cs="Arial" w:eastAsia="Arial" w:hAnsi="Arial"/>
          <w:color w:val="333333"/>
          <w:sz w:val="22"/>
          <w:szCs w:val="22"/>
        </w:rPr>
        <w:t xml:space="preserve">HIPAA Business Associate Agreements (BAAs) requested with all vendors</w:t>
      </w:r>
    </w:p>
    <w:p>
      <w:pPr>
        <w:pStyle w:val="Heading2"/>
        <w:spacing w:after="150" w:before="300"/>
      </w:pPr>
      <w:r>
        <w:rPr>
          <w:rFonts w:ascii="Arial" w:cs="Arial" w:eastAsia="Arial" w:hAnsi="Arial"/>
          <w:b/>
          <w:bCs/>
          <w:color w:val="2D5114"/>
          <w:sz w:val="26"/>
          <w:szCs w:val="26"/>
        </w:rPr>
        <w:t xml:space="preserve">BAA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Vendor</w:t>
            </w:r>
          </w:p>
        </w:tc>
        <w:tc>
          <w:tcPr>
            <w:tcW w:type="dxa" w:w="300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Handles PHI?</w:t>
            </w:r>
          </w:p>
        </w:tc>
        <w:tc>
          <w:tcPr>
            <w:tcW w:type="dxa" w:w="336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BAA 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Supabase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 (database)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6600"/>
                <w:sz w:val="20"/>
                <w:szCs w:val="20"/>
              </w:rPr>
              <w:t xml:space="preserve">Requested - Pending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Vercel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Yes (hosting)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C6600"/>
                <w:sz w:val="20"/>
                <w:szCs w:val="20"/>
              </w:rPr>
              <w:t xml:space="preserve">Requested - 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Twilio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 (SMS content)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6600"/>
                <w:sz w:val="20"/>
                <w:szCs w:val="20"/>
              </w:rPr>
              <w:t xml:space="preserve">Requested - Pending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Sentry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Possible (error logs)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C6600"/>
                <w:sz w:val="20"/>
                <w:szCs w:val="20"/>
              </w:rPr>
              <w:t xml:space="preserve">Requested - 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Stripe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(tokenized)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721D"/>
                <w:sz w:val="20"/>
                <w:szCs w:val="20"/>
              </w:rPr>
              <w:t xml:space="preserve">Not required</w:t>
            </w:r>
          </w:p>
        </w:tc>
      </w:tr>
    </w:tbl>
    <w:p>
      <w:r>
        <w:br w:type="page"/>
      </w:r>
    </w:p>
    <w:p>
      <w:pPr>
        <w:pStyle w:val="Heading1"/>
        <w:spacing w:after="200" w:before="400"/>
      </w:pPr>
      <w:r>
        <w:rPr>
          <w:rFonts w:ascii="Arial" w:cs="Arial" w:eastAsia="Arial" w:hAnsi="Arial"/>
          <w:b/>
          <w:bCs/>
          <w:color w:val="40721D"/>
          <w:sz w:val="32"/>
          <w:szCs w:val="32"/>
        </w:rPr>
        <w:t xml:space="preserve">6. Data Architecture</w:t>
      </w:r>
    </w:p>
    <w:p>
      <w:pPr>
        <w:spacing w:after="120"/>
      </w:pPr>
      <w:r>
        <w:rPr>
          <w:rFonts w:ascii="Arial" w:cs="Arial" w:eastAsia="Arial" w:hAnsi="Arial"/>
          <w:color w:val="666666"/>
          <w:sz w:val="22"/>
          <w:szCs w:val="22"/>
        </w:rPr>
        <w:t xml:space="preserve">The system manages 55 interconnected database tables across 12 business domains: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180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Tables</w:t>
            </w:r>
          </w:p>
        </w:tc>
        <w:tc>
          <w:tcPr>
            <w:tcW w:type="dxa" w:w="356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Data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Patient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9</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Demographics, insurance, allergies, meds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Prescriptions &amp; Fills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Rx lifecycle, fill events, status logs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Compounding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Formulas, versions, batches, QA records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Inventory &amp; Supply Chain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4</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Items, lots, suppliers, transactions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Billing &amp; Insurance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Claims, payments, charge accounts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Shipping &amp; Delivery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Packing lists, shipments, routes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Point of Sale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Sessions, transactions, line items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Users &amp; Access Control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333333"/>
                <w:sz w:val="20"/>
                <w:szCs w:val="20"/>
              </w:rPr>
              <w:t xml:space="preserve">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Roles, permissions, stores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Infrastructure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Audit logs, notifications, webhooks</w:t>
            </w:r>
          </w:p>
        </w:tc>
      </w:tr>
    </w:tbl>
    <w:p>
      <w:pPr>
        <w:pBdr>
          <w:bottom w:val="single" w:color="40721D" w:sz="6" w:space="1"/>
        </w:pBdr>
        <w:spacing w:after="200" w:before="200"/>
      </w:pPr>
    </w:p>
    <w:p>
      <w:pPr>
        <w:pStyle w:val="Heading1"/>
        <w:spacing w:after="200" w:before="400"/>
      </w:pPr>
      <w:r>
        <w:rPr>
          <w:rFonts w:ascii="Arial" w:cs="Arial" w:eastAsia="Arial" w:hAnsi="Arial"/>
          <w:b/>
          <w:bCs/>
          <w:color w:val="40721D"/>
          <w:sz w:val="32"/>
          <w:szCs w:val="32"/>
        </w:rPr>
        <w:t xml:space="preserve">7. Third-Party Integrations</w:t>
      </w:r>
    </w:p>
    <w:p>
      <w:pPr>
        <w:pStyle w:val="Heading2"/>
        <w:spacing w:after="150" w:before="300"/>
      </w:pPr>
      <w:r>
        <w:rPr>
          <w:rFonts w:ascii="Arial" w:cs="Arial" w:eastAsia="Arial" w:hAnsi="Arial"/>
          <w:b/>
          <w:bCs/>
          <w:color w:val="2D5114"/>
          <w:sz w:val="26"/>
          <w:szCs w:val="26"/>
        </w:rPr>
        <w:t xml:space="preserve">Twilio (Patient Communications)</w:t>
      </w:r>
    </w:p>
    <w:p>
      <w:pPr>
        <w:pStyle w:val="ListParagraph"/>
        <w:numPr>
          <w:ilvl w:val="0"/>
          <w:numId w:val="2"/>
        </w:numPr>
        <w:spacing w:after="80"/>
      </w:pPr>
      <w:r>
        <w:rPr>
          <w:rFonts w:ascii="Arial" w:cs="Arial" w:eastAsia="Arial" w:hAnsi="Arial"/>
          <w:color w:val="333333"/>
          <w:sz w:val="22"/>
          <w:szCs w:val="22"/>
        </w:rPr>
        <w:t xml:space="preserve">Automated SMS pickup notifications when Rx is ready</w:t>
      </w:r>
    </w:p>
    <w:p>
      <w:pPr>
        <w:pStyle w:val="ListParagraph"/>
        <w:numPr>
          <w:ilvl w:val="0"/>
          <w:numId w:val="2"/>
        </w:numPr>
        <w:spacing w:after="80"/>
      </w:pPr>
      <w:r>
        <w:rPr>
          <w:rFonts w:ascii="Arial" w:cs="Arial" w:eastAsia="Arial" w:hAnsi="Arial"/>
          <w:color w:val="333333"/>
          <w:sz w:val="22"/>
          <w:szCs w:val="22"/>
        </w:rPr>
        <w:t xml:space="preserve">Bulk messaging for refill reminders and promotional outreach</w:t>
      </w:r>
    </w:p>
    <w:p>
      <w:pPr>
        <w:pStyle w:val="ListParagraph"/>
        <w:numPr>
          <w:ilvl w:val="0"/>
          <w:numId w:val="2"/>
        </w:numPr>
        <w:spacing w:after="80"/>
      </w:pPr>
      <w:r>
        <w:rPr>
          <w:rFonts w:ascii="Arial" w:cs="Arial" w:eastAsia="Arial" w:hAnsi="Arial"/>
          <w:color w:val="333333"/>
          <w:sz w:val="22"/>
          <w:szCs w:val="22"/>
        </w:rPr>
        <w:t xml:space="preserve">Voice call support with IVR (Interactive Voice Response)</w:t>
      </w:r>
    </w:p>
    <w:p>
      <w:pPr>
        <w:pStyle w:val="ListParagraph"/>
        <w:numPr>
          <w:ilvl w:val="0"/>
          <w:numId w:val="2"/>
        </w:numPr>
        <w:spacing w:after="80"/>
      </w:pPr>
      <w:r>
        <w:rPr>
          <w:rFonts w:ascii="Arial" w:cs="Arial" w:eastAsia="Arial" w:hAnsi="Arial"/>
          <w:color w:val="333333"/>
          <w:sz w:val="22"/>
          <w:szCs w:val="22"/>
        </w:rPr>
        <w:t xml:space="preserve">Fax transmission for prescriber communications</w:t>
      </w:r>
    </w:p>
    <w:p>
      <w:pPr>
        <w:pStyle w:val="Heading2"/>
        <w:spacing w:after="150" w:before="300"/>
      </w:pPr>
      <w:r>
        <w:rPr>
          <w:rFonts w:ascii="Arial" w:cs="Arial" w:eastAsia="Arial" w:hAnsi="Arial"/>
          <w:b/>
          <w:bCs/>
          <w:color w:val="2D5114"/>
          <w:sz w:val="26"/>
          <w:szCs w:val="26"/>
        </w:rPr>
        <w:t xml:space="preserve">Stripe (Payment Processing)</w:t>
      </w:r>
    </w:p>
    <w:p>
      <w:pPr>
        <w:pStyle w:val="ListParagraph"/>
        <w:numPr>
          <w:ilvl w:val="0"/>
          <w:numId w:val="2"/>
        </w:numPr>
        <w:spacing w:after="80"/>
      </w:pPr>
      <w:r>
        <w:rPr>
          <w:rFonts w:ascii="Arial" w:cs="Arial" w:eastAsia="Arial" w:hAnsi="Arial"/>
          <w:color w:val="333333"/>
          <w:sz w:val="22"/>
          <w:szCs w:val="22"/>
        </w:rPr>
        <w:t xml:space="preserve">PCI-compliant card tokenization (card data never touches our servers)</w:t>
      </w:r>
    </w:p>
    <w:p>
      <w:pPr>
        <w:pStyle w:val="ListParagraph"/>
        <w:numPr>
          <w:ilvl w:val="0"/>
          <w:numId w:val="2"/>
        </w:numPr>
        <w:spacing w:after="80"/>
      </w:pPr>
      <w:r>
        <w:rPr>
          <w:rFonts w:ascii="Arial" w:cs="Arial" w:eastAsia="Arial" w:hAnsi="Arial"/>
          <w:color w:val="333333"/>
          <w:sz w:val="22"/>
          <w:szCs w:val="22"/>
        </w:rPr>
        <w:t xml:space="preserve">In-store POS transactions and patient portal payments</w:t>
      </w:r>
    </w:p>
    <w:p>
      <w:pPr>
        <w:pStyle w:val="ListParagraph"/>
        <w:numPr>
          <w:ilvl w:val="0"/>
          <w:numId w:val="2"/>
        </w:numPr>
        <w:spacing w:after="80"/>
      </w:pPr>
      <w:r>
        <w:rPr>
          <w:rFonts w:ascii="Arial" w:cs="Arial" w:eastAsia="Arial" w:hAnsi="Arial"/>
          <w:color w:val="333333"/>
          <w:sz w:val="22"/>
          <w:szCs w:val="22"/>
        </w:rPr>
        <w:t xml:space="preserve">Full and partial refund support</w:t>
      </w:r>
    </w:p>
    <w:p>
      <w:pPr>
        <w:pStyle w:val="ListParagraph"/>
        <w:numPr>
          <w:ilvl w:val="0"/>
          <w:numId w:val="2"/>
        </w:numPr>
        <w:spacing w:after="80"/>
      </w:pPr>
      <w:r>
        <w:rPr>
          <w:rFonts w:ascii="Arial" w:cs="Arial" w:eastAsia="Arial" w:hAnsi="Arial"/>
          <w:color w:val="333333"/>
          <w:sz w:val="22"/>
          <w:szCs w:val="22"/>
        </w:rPr>
        <w:t xml:space="preserve">Saved payment methods for returning patients</w:t>
      </w:r>
    </w:p>
    <w:p>
      <w:pPr>
        <w:pStyle w:val="Heading2"/>
        <w:spacing w:after="150" w:before="300"/>
      </w:pPr>
      <w:r>
        <w:rPr>
          <w:rFonts w:ascii="Arial" w:cs="Arial" w:eastAsia="Arial" w:hAnsi="Arial"/>
          <w:b/>
          <w:bCs/>
          <w:color w:val="2D5114"/>
          <w:sz w:val="26"/>
          <w:szCs w:val="26"/>
        </w:rPr>
        <w:t xml:space="preserve">Shipping Carriers (USPS, UPS, FedEx)</w:t>
      </w:r>
    </w:p>
    <w:p>
      <w:pPr>
        <w:pStyle w:val="ListParagraph"/>
        <w:numPr>
          <w:ilvl w:val="0"/>
          <w:numId w:val="2"/>
        </w:numPr>
        <w:spacing w:after="80"/>
      </w:pPr>
      <w:r>
        <w:rPr>
          <w:rFonts w:ascii="Arial" w:cs="Arial" w:eastAsia="Arial" w:hAnsi="Arial"/>
          <w:color w:val="333333"/>
          <w:sz w:val="22"/>
          <w:szCs w:val="22"/>
        </w:rPr>
        <w:t xml:space="preserve">Real-time rate quotes from multiple carriers</w:t>
      </w:r>
    </w:p>
    <w:p>
      <w:pPr>
        <w:pStyle w:val="ListParagraph"/>
        <w:numPr>
          <w:ilvl w:val="0"/>
          <w:numId w:val="2"/>
        </w:numPr>
        <w:spacing w:after="80"/>
      </w:pPr>
      <w:r>
        <w:rPr>
          <w:rFonts w:ascii="Arial" w:cs="Arial" w:eastAsia="Arial" w:hAnsi="Arial"/>
          <w:color w:val="333333"/>
          <w:sz w:val="22"/>
          <w:szCs w:val="22"/>
        </w:rPr>
        <w:t xml:space="preserve">Automated shipping label generation</w:t>
      </w:r>
    </w:p>
    <w:p>
      <w:pPr>
        <w:pStyle w:val="ListParagraph"/>
        <w:numPr>
          <w:ilvl w:val="0"/>
          <w:numId w:val="2"/>
        </w:numPr>
        <w:spacing w:after="80"/>
      </w:pPr>
      <w:r>
        <w:rPr>
          <w:rFonts w:ascii="Arial" w:cs="Arial" w:eastAsia="Arial" w:hAnsi="Arial"/>
          <w:color w:val="333333"/>
          <w:sz w:val="22"/>
          <w:szCs w:val="22"/>
        </w:rPr>
        <w:t xml:space="preserve">Package tracking with carrier auto-detection</w:t>
      </w:r>
    </w:p>
    <w:p>
      <w:pPr>
        <w:pStyle w:val="ListParagraph"/>
        <w:numPr>
          <w:ilvl w:val="0"/>
          <w:numId w:val="2"/>
        </w:numPr>
        <w:spacing w:after="80"/>
      </w:pPr>
      <w:r>
        <w:rPr>
          <w:rFonts w:ascii="Arial" w:cs="Arial" w:eastAsia="Arial" w:hAnsi="Arial"/>
          <w:color w:val="333333"/>
          <w:sz w:val="22"/>
          <w:szCs w:val="22"/>
        </w:rPr>
        <w:t xml:space="preserve">Address validation and standardization</w:t>
      </w:r>
    </w:p>
    <w:p>
      <w:pPr>
        <w:pStyle w:val="Heading2"/>
        <w:spacing w:after="150" w:before="300"/>
      </w:pPr>
      <w:r>
        <w:rPr>
          <w:rFonts w:ascii="Arial" w:cs="Arial" w:eastAsia="Arial" w:hAnsi="Arial"/>
          <w:b/>
          <w:bCs/>
          <w:color w:val="2D5114"/>
          <w:sz w:val="26"/>
          <w:szCs w:val="26"/>
        </w:rPr>
        <w:t xml:space="preserve">SureScripts &amp; NCPDP</w:t>
      </w:r>
    </w:p>
    <w:p>
      <w:pPr>
        <w:pStyle w:val="ListParagraph"/>
        <w:numPr>
          <w:ilvl w:val="0"/>
          <w:numId w:val="2"/>
        </w:numPr>
        <w:spacing w:after="80"/>
      </w:pPr>
      <w:r>
        <w:rPr>
          <w:rFonts w:ascii="Arial" w:cs="Arial" w:eastAsia="Arial" w:hAnsi="Arial"/>
          <w:color w:val="333333"/>
          <w:sz w:val="22"/>
          <w:szCs w:val="22"/>
        </w:rPr>
        <w:t xml:space="preserve">Electronic prescription intake (e-prescribing)</w:t>
      </w:r>
    </w:p>
    <w:p>
      <w:pPr>
        <w:pStyle w:val="ListParagraph"/>
        <w:numPr>
          <w:ilvl w:val="0"/>
          <w:numId w:val="2"/>
        </w:numPr>
        <w:spacing w:after="80"/>
      </w:pPr>
      <w:r>
        <w:rPr>
          <w:rFonts w:ascii="Arial" w:cs="Arial" w:eastAsia="Arial" w:hAnsi="Arial"/>
          <w:color w:val="333333"/>
          <w:sz w:val="22"/>
          <w:szCs w:val="22"/>
        </w:rPr>
        <w:t xml:space="preserve">Insurance eligibility verification</w:t>
      </w:r>
    </w:p>
    <w:p>
      <w:pPr>
        <w:pStyle w:val="ListParagraph"/>
        <w:numPr>
          <w:ilvl w:val="0"/>
          <w:numId w:val="2"/>
        </w:numPr>
        <w:spacing w:after="80"/>
      </w:pPr>
      <w:r>
        <w:rPr>
          <w:rFonts w:ascii="Arial" w:cs="Arial" w:eastAsia="Arial" w:hAnsi="Arial"/>
          <w:color w:val="333333"/>
          <w:sz w:val="22"/>
          <w:szCs w:val="22"/>
        </w:rPr>
        <w:t xml:space="preserve">NCPDP-format claim submission and adjudication</w:t>
      </w:r>
    </w:p>
    <w:p>
      <w:r>
        <w:br w:type="page"/>
      </w:r>
    </w:p>
    <w:p>
      <w:pPr>
        <w:pStyle w:val="Heading1"/>
        <w:spacing w:after="200" w:before="400"/>
      </w:pPr>
      <w:r>
        <w:rPr>
          <w:rFonts w:ascii="Arial" w:cs="Arial" w:eastAsia="Arial" w:hAnsi="Arial"/>
          <w:b/>
          <w:bCs/>
          <w:color w:val="40721D"/>
          <w:sz w:val="32"/>
          <w:szCs w:val="32"/>
        </w:rPr>
        <w:t xml:space="preserve">8. Launch Roadmap</w:t>
      </w:r>
    </w:p>
    <w:p>
      <w:pPr>
        <w:spacing w:after="120"/>
      </w:pPr>
      <w:r>
        <w:rPr>
          <w:rFonts w:ascii="Arial" w:cs="Arial" w:eastAsia="Arial" w:hAnsi="Arial"/>
          <w:color w:val="666666"/>
          <w:sz w:val="22"/>
          <w:szCs w:val="22"/>
        </w:rPr>
        <w:t xml:space="preserve">The system is code-complete and in the final stages of pre-launch preparation: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800"/>
        <w:gridCol w:w="1760"/>
      </w:tblGrid>
      <w:tr>
        <w:tc>
          <w:tcPr>
            <w:tcW w:type="dxa" w:w="180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76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0721D"/>
                <w:sz w:val="20"/>
                <w:szCs w:val="20"/>
              </w:rPr>
              <w:t xml:space="preserve">Complete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application development (24 modules)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0721D"/>
                <w:sz w:val="20"/>
                <w:szCs w:val="20"/>
              </w:rPr>
              <w:t xml:space="preserve">DONE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 2026</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721D"/>
                <w:sz w:val="20"/>
                <w:szCs w:val="20"/>
              </w:rPr>
              <w:t xml:space="preserve">Complete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Security hardening (encryption, CSP, validation)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721D"/>
                <w:sz w:val="20"/>
                <w:szCs w:val="20"/>
              </w:rPr>
              <w:t xml:space="preserve">DONE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 2026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0721D"/>
                <w:sz w:val="20"/>
                <w:szCs w:val="20"/>
              </w:rPr>
              <w:t xml:space="preserve">Complete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UI/UX polish and accessibility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0721D"/>
                <w:sz w:val="20"/>
                <w:szCs w:val="20"/>
              </w:rPr>
              <w:t xml:space="preserve">DONE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 2026</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721D"/>
                <w:sz w:val="20"/>
                <w:szCs w:val="20"/>
              </w:rPr>
              <w:t xml:space="preserve">Complete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ENCRYPTION_KEY and password protection configured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721D"/>
                <w:sz w:val="20"/>
                <w:szCs w:val="20"/>
              </w:rPr>
              <w:t xml:space="preserve">DONE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 2026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0"/>
                <w:szCs w:val="20"/>
              </w:rPr>
              <w:t xml:space="preserve">In Progress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BAA agreements with vendors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0"/>
                <w:szCs w:val="20"/>
              </w:rPr>
              <w:t xml:space="preserve">PENDING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Apr 2026</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6600"/>
                <w:sz w:val="20"/>
                <w:szCs w:val="20"/>
              </w:rPr>
              <w:t xml:space="preserve">In Progress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Custom domain (pms.bndsrx.com) DNS configuration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6600"/>
                <w:sz w:val="20"/>
                <w:szCs w:val="20"/>
              </w:rPr>
              <w:t xml:space="preserve">PENDING DNS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 2026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Upcoming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Staff training sessions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SCHEDULED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Apr 2026</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20"/>
                <w:szCs w:val="20"/>
              </w:rPr>
              <w:t xml:space="preserve">Upcoming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DRX data migration dry run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PLANNED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Apr 2026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Upcoming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2-week parallel run (DRX + PMS side-by-side)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PLANNED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Apr 2026</w:t>
            </w:r>
          </w:p>
        </w:tc>
      </w:tr>
      <w:tr>
        <w:tc>
          <w:tcPr>
            <w:tcW w:type="dxa" w:w="180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b/>
                <w:bCs/>
                <w:color w:val="40721D"/>
                <w:sz w:val="20"/>
                <w:szCs w:val="20"/>
              </w:rPr>
              <w:t xml:space="preserve">GO LIVE</w:t>
            </w:r>
          </w:p>
        </w:tc>
        <w:tc>
          <w:tcPr>
            <w:tcW w:type="dxa" w:w="400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b/>
                <w:bCs/>
                <w:color w:val="40721D"/>
                <w:sz w:val="20"/>
                <w:szCs w:val="20"/>
              </w:rPr>
              <w:t xml:space="preserve">Full production cutover from DRX</w:t>
            </w:r>
          </w:p>
        </w:tc>
        <w:tc>
          <w:tcPr>
            <w:tcW w:type="dxa" w:w="180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b/>
                <w:bCs/>
                <w:color w:val="40721D"/>
                <w:sz w:val="20"/>
                <w:szCs w:val="20"/>
              </w:rPr>
              <w:t xml:space="preserve">TARGET</w:t>
            </w:r>
          </w:p>
        </w:tc>
        <w:tc>
          <w:tcPr>
            <w:tcW w:type="dxa" w:w="176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b/>
                <w:bCs/>
                <w:color w:val="40721D"/>
                <w:sz w:val="20"/>
                <w:szCs w:val="20"/>
              </w:rPr>
              <w:t xml:space="preserve">May 2026</w:t>
            </w:r>
          </w:p>
        </w:tc>
      </w:tr>
    </w:tbl>
    <w:p>
      <w:pPr>
        <w:pBdr>
          <w:bottom w:val="single" w:color="40721D" w:sz="6" w:space="1"/>
        </w:pBdr>
        <w:spacing w:after="200" w:before="200"/>
      </w:pPr>
    </w:p>
    <w:p>
      <w:pPr>
        <w:pStyle w:val="Heading1"/>
        <w:spacing w:after="200" w:before="400"/>
      </w:pPr>
      <w:r>
        <w:rPr>
          <w:rFonts w:ascii="Arial" w:cs="Arial" w:eastAsia="Arial" w:hAnsi="Arial"/>
          <w:b/>
          <w:bCs/>
          <w:color w:val="40721D"/>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00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40721D"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BAA delays from vendors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Cannot go live with PHI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Follow up weekly; have backup vendors identified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Staff resistance to change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Slow adoption, errors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Hands-on training; 2-week parallel run period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DRX data migration issues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Incomplete patient records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Dry run migration; reconciliation checks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System downtime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Pharmacy operations halted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99.9% SLA; PITR backups; DRX as fallback</w:t>
            </w:r>
          </w:p>
        </w:tc>
      </w:tr>
    </w:tbl>
    <w:p>
      <w:pPr>
        <w:pBdr>
          <w:bottom w:val="single" w:color="40721D" w:sz="6" w:space="1"/>
        </w:pBdr>
        <w:spacing w:after="200" w:before="200"/>
      </w:pPr>
    </w:p>
    <w:p>
      <w:pPr>
        <w:pStyle w:val="Heading1"/>
        <w:spacing w:after="200" w:before="400"/>
      </w:pPr>
      <w:r>
        <w:rPr>
          <w:rFonts w:ascii="Arial" w:cs="Arial" w:eastAsia="Arial" w:hAnsi="Arial"/>
          <w:b/>
          <w:bCs/>
          <w:color w:val="40721D"/>
          <w:sz w:val="32"/>
          <w:szCs w:val="32"/>
        </w:rPr>
        <w:t xml:space="preserve">10. Why This Matters</w:t>
      </w:r>
    </w:p>
    <w:p>
      <w:pPr>
        <w:spacing w:after="120"/>
      </w:pPr>
      <w:r>
        <w:rPr>
          <w:rFonts w:ascii="Arial" w:cs="Arial" w:eastAsia="Arial" w:hAnsi="Arial"/>
          <w:color w:val="666666"/>
          <w:sz w:val="22"/>
          <w:szCs w:val="22"/>
        </w:rPr>
        <w:t xml:space="preserve">This investment positions Boudreaux's ahead of competitors in several key ways:</w:t>
      </w:r>
    </w:p>
    <w:p>
      <w:pPr>
        <w:spacing w:after="100"/>
      </w:pPr>
    </w:p>
    <w:p>
      <w:pPr>
        <w:pStyle w:val="ListParagraph"/>
        <w:numPr>
          <w:ilvl w:val="0"/>
          <w:numId w:val="3"/>
        </w:numPr>
        <w:spacing w:after="100"/>
      </w:pPr>
      <w:r>
        <w:rPr>
          <w:rFonts w:ascii="Arial" w:cs="Arial" w:eastAsia="Arial" w:hAnsi="Arial"/>
          <w:b/>
          <w:bCs/>
          <w:color w:val="40721D"/>
          <w:sz w:val="22"/>
          <w:szCs w:val="22"/>
        </w:rPr>
        <w:t xml:space="preserve">Ownership &amp; Control: </w:t>
      </w:r>
      <w:r>
        <w:rPr>
          <w:rFonts w:ascii="Arial" w:cs="Arial" w:eastAsia="Arial" w:hAnsi="Arial"/>
          <w:color w:val="333333"/>
          <w:sz w:val="22"/>
          <w:szCs w:val="22"/>
        </w:rPr>
        <w:t xml:space="preserve">We own the code. No vendor lock-in. We can add features, fix issues, and adapt to regulatory changes on our timeline.</w:t>
      </w:r>
    </w:p>
    <w:p>
      <w:pPr>
        <w:pStyle w:val="ListParagraph"/>
        <w:numPr>
          <w:ilvl w:val="0"/>
          <w:numId w:val="3"/>
        </w:numPr>
        <w:spacing w:after="100"/>
      </w:pPr>
      <w:r>
        <w:rPr>
          <w:rFonts w:ascii="Arial" w:cs="Arial" w:eastAsia="Arial" w:hAnsi="Arial"/>
          <w:b/>
          <w:bCs/>
          <w:color w:val="40721D"/>
          <w:sz w:val="22"/>
          <w:szCs w:val="22"/>
        </w:rPr>
        <w:t xml:space="preserve">Compounding-First: </w:t>
      </w:r>
      <w:r>
        <w:rPr>
          <w:rFonts w:ascii="Arial" w:cs="Arial" w:eastAsia="Arial" w:hAnsi="Arial"/>
          <w:color w:val="333333"/>
          <w:sz w:val="22"/>
          <w:szCs w:val="22"/>
        </w:rPr>
        <w:t xml:space="preserve">Built specifically for compounding pharmacy workflows, not bolted onto a retail pharmacy system.</w:t>
      </w:r>
    </w:p>
    <w:p>
      <w:pPr>
        <w:pStyle w:val="ListParagraph"/>
        <w:numPr>
          <w:ilvl w:val="0"/>
          <w:numId w:val="3"/>
        </w:numPr>
        <w:spacing w:after="100"/>
      </w:pPr>
      <w:r>
        <w:rPr>
          <w:rFonts w:ascii="Arial" w:cs="Arial" w:eastAsia="Arial" w:hAnsi="Arial"/>
          <w:b/>
          <w:bCs/>
          <w:color w:val="40721D"/>
          <w:sz w:val="22"/>
          <w:szCs w:val="22"/>
        </w:rPr>
        <w:t xml:space="preserve">Cost Efficiency: </w:t>
      </w:r>
      <w:r>
        <w:rPr>
          <w:rFonts w:ascii="Arial" w:cs="Arial" w:eastAsia="Arial" w:hAnsi="Arial"/>
          <w:color w:val="333333"/>
          <w:sz w:val="22"/>
          <w:szCs w:val="22"/>
        </w:rPr>
        <w:t xml:space="preserve">$125-225/month total vs. $300-500+/month per station with DRX, with unlimited users.</w:t>
      </w:r>
    </w:p>
    <w:p>
      <w:pPr>
        <w:pStyle w:val="ListParagraph"/>
        <w:numPr>
          <w:ilvl w:val="0"/>
          <w:numId w:val="3"/>
        </w:numPr>
        <w:spacing w:after="100"/>
      </w:pPr>
      <w:r>
        <w:rPr>
          <w:rFonts w:ascii="Arial" w:cs="Arial" w:eastAsia="Arial" w:hAnsi="Arial"/>
          <w:b/>
          <w:bCs/>
          <w:color w:val="40721D"/>
          <w:sz w:val="22"/>
          <w:szCs w:val="22"/>
        </w:rPr>
        <w:t xml:space="preserve">Patient Experience: </w:t>
      </w:r>
      <w:r>
        <w:rPr>
          <w:rFonts w:ascii="Arial" w:cs="Arial" w:eastAsia="Arial" w:hAnsi="Arial"/>
          <w:color w:val="333333"/>
          <w:sz w:val="22"/>
          <w:szCs w:val="22"/>
        </w:rPr>
        <w:t xml:space="preserve">Dedicated patient and prescriber portals, SMS notifications, and modern UI set us apart.</w:t>
      </w:r>
    </w:p>
    <w:p>
      <w:pPr>
        <w:pStyle w:val="ListParagraph"/>
        <w:numPr>
          <w:ilvl w:val="0"/>
          <w:numId w:val="3"/>
        </w:numPr>
        <w:spacing w:after="100"/>
      </w:pPr>
      <w:r>
        <w:rPr>
          <w:rFonts w:ascii="Arial" w:cs="Arial" w:eastAsia="Arial" w:hAnsi="Arial"/>
          <w:b/>
          <w:bCs/>
          <w:color w:val="40721D"/>
          <w:sz w:val="22"/>
          <w:szCs w:val="22"/>
        </w:rPr>
        <w:t xml:space="preserve">Scalability: </w:t>
      </w:r>
      <w:r>
        <w:rPr>
          <w:rFonts w:ascii="Arial" w:cs="Arial" w:eastAsia="Arial" w:hAnsi="Arial"/>
          <w:color w:val="333333"/>
          <w:sz w:val="22"/>
          <w:szCs w:val="22"/>
        </w:rPr>
        <w:t xml:space="preserve">Cloud-native architecture scales automatically. Adding new locations or services requires zero infrastructure changes.</w:t>
      </w:r>
    </w:p>
    <w:p>
      <w:pPr>
        <w:pBdr>
          <w:bottom w:val="single" w:color="40721D" w:sz="6" w:space="1"/>
        </w:pBdr>
        <w:spacing w:after="200" w:before="200"/>
      </w:pPr>
    </w:p>
    <w:p>
      <w:pPr>
        <w:pStyle w:val="Heading1"/>
        <w:spacing w:after="200" w:before="400"/>
      </w:pPr>
      <w:r>
        <w:rPr>
          <w:rFonts w:ascii="Arial" w:cs="Arial" w:eastAsia="Arial" w:hAnsi="Arial"/>
          <w:b/>
          <w:bCs/>
          <w:color w:val="40721D"/>
          <w:sz w:val="32"/>
          <w:szCs w:val="32"/>
        </w:rPr>
        <w:t xml:space="preserve">11. Approval Request</w:t>
      </w:r>
    </w:p>
    <w:p>
      <w:pPr>
        <w:spacing w:after="120"/>
      </w:pPr>
      <w:r>
        <w:rPr>
          <w:rFonts w:ascii="Arial" w:cs="Arial" w:eastAsia="Arial" w:hAnsi="Arial"/>
          <w:color w:val="666666"/>
          <w:sz w:val="22"/>
          <w:szCs w:val="22"/>
        </w:rPr>
        <w:t xml:space="preserve">We are requesting executive approval to proceed with the following:</w:t>
      </w:r>
    </w:p>
    <w:p>
      <w:pPr>
        <w:spacing w:after="100"/>
      </w:pPr>
    </w:p>
    <w:p>
      <w:pPr>
        <w:pStyle w:val="ListParagraph"/>
        <w:numPr>
          <w:ilvl w:val="0"/>
          <w:numId w:val="2"/>
        </w:numPr>
        <w:spacing w:after="80"/>
      </w:pPr>
      <w:r>
        <w:rPr>
          <w:rFonts w:ascii="Arial" w:cs="Arial" w:eastAsia="Arial" w:hAnsi="Arial"/>
          <w:color w:val="333333"/>
          <w:sz w:val="22"/>
          <w:szCs w:val="22"/>
        </w:rPr>
        <w:t xml:space="preserve">Finalize BAA agreements with Supabase, Vercel, Twilio, and Sentry</w:t>
      </w:r>
    </w:p>
    <w:p>
      <w:pPr>
        <w:pStyle w:val="ListParagraph"/>
        <w:numPr>
          <w:ilvl w:val="0"/>
          <w:numId w:val="2"/>
        </w:numPr>
        <w:spacing w:after="80"/>
      </w:pPr>
      <w:r>
        <w:rPr>
          <w:rFonts w:ascii="Arial" w:cs="Arial" w:eastAsia="Arial" w:hAnsi="Arial"/>
          <w:color w:val="333333"/>
          <w:sz w:val="22"/>
          <w:szCs w:val="22"/>
        </w:rPr>
        <w:t xml:space="preserve">Complete DNS configuration for pms.bndsrx.com</w:t>
      </w:r>
    </w:p>
    <w:p>
      <w:pPr>
        <w:pStyle w:val="ListParagraph"/>
        <w:numPr>
          <w:ilvl w:val="0"/>
          <w:numId w:val="2"/>
        </w:numPr>
        <w:spacing w:after="80"/>
      </w:pPr>
      <w:r>
        <w:rPr>
          <w:rFonts w:ascii="Arial" w:cs="Arial" w:eastAsia="Arial" w:hAnsi="Arial"/>
          <w:color w:val="333333"/>
          <w:sz w:val="22"/>
          <w:szCs w:val="22"/>
        </w:rPr>
        <w:t xml:space="preserve">Schedule staff training sessions (2-3 hours per role)</w:t>
      </w:r>
    </w:p>
    <w:p>
      <w:pPr>
        <w:pStyle w:val="ListParagraph"/>
        <w:numPr>
          <w:ilvl w:val="0"/>
          <w:numId w:val="2"/>
        </w:numPr>
        <w:spacing w:after="80"/>
      </w:pPr>
      <w:r>
        <w:rPr>
          <w:rFonts w:ascii="Arial" w:cs="Arial" w:eastAsia="Arial" w:hAnsi="Arial"/>
          <w:color w:val="333333"/>
          <w:sz w:val="22"/>
          <w:szCs w:val="22"/>
        </w:rPr>
        <w:t xml:space="preserve">Begin DRX data migration dry run</w:t>
      </w:r>
    </w:p>
    <w:p>
      <w:pPr>
        <w:pStyle w:val="ListParagraph"/>
        <w:numPr>
          <w:ilvl w:val="0"/>
          <w:numId w:val="2"/>
        </w:numPr>
        <w:spacing w:after="80"/>
      </w:pPr>
      <w:r>
        <w:rPr>
          <w:rFonts w:ascii="Arial" w:cs="Arial" w:eastAsia="Arial" w:hAnsi="Arial"/>
          <w:color w:val="333333"/>
          <w:sz w:val="22"/>
          <w:szCs w:val="22"/>
        </w:rPr>
        <w:t xml:space="preserve">Conduct 2-week parallel run before full cutover</w:t>
      </w:r>
    </w:p>
    <w:p>
      <w:pPr>
        <w:pStyle w:val="ListParagraph"/>
        <w:numPr>
          <w:ilvl w:val="0"/>
          <w:numId w:val="2"/>
        </w:numPr>
        <w:spacing w:after="80"/>
      </w:pPr>
      <w:r>
        <w:rPr>
          <w:rFonts w:ascii="Arial" w:cs="Arial" w:eastAsia="Arial" w:hAnsi="Arial"/>
          <w:color w:val="333333"/>
          <w:sz w:val="22"/>
          <w:szCs w:val="22"/>
        </w:rPr>
        <w:t xml:space="preserve">Target go-live date: May 2026</w:t>
      </w:r>
    </w:p>
    <w:p>
      <w:pPr>
        <w:spacing w:after="400"/>
      </w:pPr>
    </w:p>
    <w:p>
      <w:pPr>
        <w:pBdr>
          <w:top w:val="single" w:color="40721D" w:sz="2" w:space="10"/>
        </w:pBdr>
        <w:spacing w:before="400"/>
        <w:jc w:val="center"/>
      </w:pPr>
      <w:r>
        <w:rPr>
          <w:rFonts w:ascii="Arial" w:cs="Arial" w:eastAsia="Arial" w:hAnsi="Arial"/>
          <w:color w:val="666666"/>
          <w:sz w:val="18"/>
          <w:szCs w:val="18"/>
        </w:rPr>
        <w:t xml:space="preserve">Prepared by Caleb Dowling  |  IT / Development  |  cdowling@bndsrx.com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721D" w:sz="2" w:space="4"/>
      </w:pBdr>
      <w:tabs>
        <w:tab w:val="right" w:pos="9026"/>
      </w:tabs>
    </w:pPr>
    <w:r>
      <w:rPr>
        <w:rFonts w:ascii="Arial" w:cs="Arial" w:eastAsia="Arial" w:hAnsi="Arial"/>
        <w:color w:val="666666"/>
        <w:sz w:val="16"/>
        <w:szCs w:val="16"/>
      </w:rPr>
      <w:t xml:space="preserve">BNDS PMS  |  Executive Launch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40721D"/>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D51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2026-03-25T16:03:41.590Z</dcterms:created>
  <dcterms:modified xsi:type="dcterms:W3CDTF">2026-03-25T16:03:41.590Z</dcterms:modified>
</cp:coreProperties>
</file>

<file path=docProps/custom.xml><?xml version="1.0" encoding="utf-8"?>
<Properties xmlns="http://schemas.openxmlformats.org/officeDocument/2006/custom-properties" xmlns:vt="http://schemas.openxmlformats.org/officeDocument/2006/docPropsVTypes"/>
</file>