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Usability Testing Document</w:t>
      </w:r>
    </w:p>
    <w:p w:rsidR="00000000" w:rsidDel="00000000" w:rsidP="00000000" w:rsidRDefault="00000000" w:rsidRPr="00000000" w14:paraId="00000002">
      <w:pPr>
        <w:pStyle w:val="Heading1"/>
        <w:rPr/>
      </w:pPr>
      <w:r w:rsidDel="00000000" w:rsidR="00000000" w:rsidRPr="00000000">
        <w:rPr>
          <w:rtl w:val="0"/>
        </w:rPr>
        <w:t xml:space="preserve">1. Overview</w:t>
      </w:r>
    </w:p>
    <w:p w:rsidR="00000000" w:rsidDel="00000000" w:rsidP="00000000" w:rsidRDefault="00000000" w:rsidRPr="00000000" w14:paraId="00000003">
      <w:pPr>
        <w:rPr/>
      </w:pPr>
      <w:r w:rsidDel="00000000" w:rsidR="00000000" w:rsidRPr="00000000">
        <w:rPr>
          <w:b w:val="1"/>
          <w:rtl w:val="0"/>
        </w:rPr>
        <w:t xml:space="preserve">Project Title:</w:t>
      </w:r>
      <w:r w:rsidDel="00000000" w:rsidR="00000000" w:rsidRPr="00000000">
        <w:rPr>
          <w:rtl w:val="0"/>
        </w:rPr>
        <w:t xml:space="preserve"> Unemployment Rate Forecasting Dashboard</w:t>
      </w:r>
    </w:p>
    <w:p w:rsidR="00000000" w:rsidDel="00000000" w:rsidP="00000000" w:rsidRDefault="00000000" w:rsidRPr="00000000" w14:paraId="00000004">
      <w:pPr>
        <w:rPr/>
      </w:pPr>
      <w:r w:rsidDel="00000000" w:rsidR="00000000" w:rsidRPr="00000000">
        <w:rPr>
          <w:b w:val="1"/>
          <w:rtl w:val="0"/>
        </w:rPr>
        <w:t xml:space="preserve">Date:</w:t>
      </w:r>
      <w:r w:rsidDel="00000000" w:rsidR="00000000" w:rsidRPr="00000000">
        <w:rPr>
          <w:rtl w:val="0"/>
        </w:rPr>
        <w:t xml:space="preserve"> 16/10/2025</w:t>
      </w:r>
    </w:p>
    <w:p w:rsidR="00000000" w:rsidDel="00000000" w:rsidP="00000000" w:rsidRDefault="00000000" w:rsidRPr="00000000" w14:paraId="00000005">
      <w:pPr>
        <w:rPr/>
      </w:pPr>
      <w:r w:rsidDel="00000000" w:rsidR="00000000" w:rsidRPr="00000000">
        <w:rPr>
          <w:b w:val="1"/>
          <w:rtl w:val="0"/>
        </w:rPr>
        <w:t xml:space="preserve">Prepared by:</w:t>
      </w:r>
      <w:r w:rsidDel="00000000" w:rsidR="00000000" w:rsidRPr="00000000">
        <w:rPr>
          <w:rtl w:val="0"/>
        </w:rPr>
        <w:t xml:space="preserve"> Ieuan Esteban</w:t>
      </w:r>
    </w:p>
    <w:p w:rsidR="00000000" w:rsidDel="00000000" w:rsidP="00000000" w:rsidRDefault="00000000" w:rsidRPr="00000000" w14:paraId="00000006">
      <w:pPr>
        <w:rPr/>
      </w:pPr>
      <w:r w:rsidDel="00000000" w:rsidR="00000000" w:rsidRPr="00000000">
        <w:rPr>
          <w:b w:val="1"/>
          <w:rtl w:val="0"/>
        </w:rPr>
        <w:t xml:space="preserve">Test conducted by:</w:t>
      </w:r>
      <w:r w:rsidDel="00000000" w:rsidR="00000000" w:rsidRPr="00000000">
        <w:rPr>
          <w:rtl w:val="0"/>
        </w:rPr>
        <w:t xml:space="preserve"> Justin Regidor</w:t>
      </w:r>
    </w:p>
    <w:p w:rsidR="00000000" w:rsidDel="00000000" w:rsidP="00000000" w:rsidRDefault="00000000" w:rsidRPr="00000000" w14:paraId="00000007">
      <w:pPr>
        <w:rPr/>
      </w:pPr>
      <w:r w:rsidDel="00000000" w:rsidR="00000000" w:rsidRPr="00000000">
        <w:rPr>
          <w:b w:val="1"/>
          <w:rtl w:val="0"/>
        </w:rPr>
        <w:t xml:space="preserve">Environment:</w:t>
      </w:r>
      <w:r w:rsidDel="00000000" w:rsidR="00000000" w:rsidRPr="00000000">
        <w:rPr>
          <w:rtl w:val="0"/>
        </w:rPr>
        <w:t xml:space="preserve"> Power BI</w:t>
      </w:r>
    </w:p>
    <w:p w:rsidR="00000000" w:rsidDel="00000000" w:rsidP="00000000" w:rsidRDefault="00000000" w:rsidRPr="00000000" w14:paraId="00000008">
      <w:pPr>
        <w:pStyle w:val="Heading2"/>
        <w:rPr/>
      </w:pPr>
      <w:r w:rsidDel="00000000" w:rsidR="00000000" w:rsidRPr="00000000">
        <w:rPr>
          <w:rtl w:val="0"/>
        </w:rPr>
        <w:t xml:space="preserve">Purpose</w:t>
      </w:r>
    </w:p>
    <w:p w:rsidR="00000000" w:rsidDel="00000000" w:rsidP="00000000" w:rsidRDefault="00000000" w:rsidRPr="00000000" w14:paraId="00000009">
      <w:pPr>
        <w:rPr/>
      </w:pPr>
      <w:r w:rsidDel="00000000" w:rsidR="00000000" w:rsidRPr="00000000">
        <w:rPr>
          <w:rtl w:val="0"/>
        </w:rPr>
        <w:t xml:space="preserve">The purpose of this Usability Testing Document is to assess how usable, readable and user-friendly the JRKI Unemployment Rate Forecasting Dashboard is for its intended users. This test will evaluate the visual clarity, accessibility and navigational ease of the dashboard to ensure it provides a positive user experience.</w:t>
      </w:r>
    </w:p>
    <w:p w:rsidR="00000000" w:rsidDel="00000000" w:rsidP="00000000" w:rsidRDefault="00000000" w:rsidRPr="00000000" w14:paraId="0000000A">
      <w:pPr>
        <w:pStyle w:val="Heading1"/>
        <w:rPr/>
      </w:pPr>
      <w:r w:rsidDel="00000000" w:rsidR="00000000" w:rsidRPr="00000000">
        <w:rPr>
          <w:rtl w:val="0"/>
        </w:rPr>
        <w:t xml:space="preserve">2. Objective</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Evaluate readability of visuals, including font size, colours and layout</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Assess how easily users can navigate through the dashboard</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Determine if users are able to identify and interpret key information</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Collect feedback on dashboard usability and design preferences</w:t>
      </w:r>
    </w:p>
    <w:p w:rsidR="00000000" w:rsidDel="00000000" w:rsidP="00000000" w:rsidRDefault="00000000" w:rsidRPr="00000000" w14:paraId="0000000F">
      <w:pPr>
        <w:pStyle w:val="Heading1"/>
        <w:rPr/>
      </w:pPr>
      <w:r w:rsidDel="00000000" w:rsidR="00000000" w:rsidRPr="00000000">
        <w:rPr>
          <w:rtl w:val="0"/>
        </w:rPr>
        <w:t xml:space="preserve">3. Test Participants</w:t>
      </w:r>
    </w:p>
    <w:tbl>
      <w:tblPr>
        <w:tblStyle w:val="Table1"/>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10">
            <w:pPr>
              <w:rPr/>
            </w:pPr>
            <w:r w:rsidDel="00000000" w:rsidR="00000000" w:rsidRPr="00000000">
              <w:rPr>
                <w:rtl w:val="0"/>
              </w:rPr>
              <w:t xml:space="preserve">Participant Name</w:t>
            </w:r>
          </w:p>
        </w:tc>
        <w:tc>
          <w:tcPr/>
          <w:p w:rsidR="00000000" w:rsidDel="00000000" w:rsidP="00000000" w:rsidRDefault="00000000" w:rsidRPr="00000000" w14:paraId="00000011">
            <w:pPr>
              <w:rPr/>
            </w:pPr>
            <w:r w:rsidDel="00000000" w:rsidR="00000000" w:rsidRPr="00000000">
              <w:rPr>
                <w:rtl w:val="0"/>
              </w:rPr>
              <w:t xml:space="preserve">Role</w:t>
            </w:r>
          </w:p>
        </w:tc>
      </w:tr>
      <w:tr>
        <w:trPr>
          <w:cantSplit w:val="0"/>
          <w:tblHeader w:val="0"/>
        </w:trPr>
        <w:tc>
          <w:tcPr/>
          <w:p w:rsidR="00000000" w:rsidDel="00000000" w:rsidP="00000000" w:rsidRDefault="00000000" w:rsidRPr="00000000" w14:paraId="00000012">
            <w:pPr>
              <w:rPr/>
            </w:pPr>
            <w:r w:rsidDel="00000000" w:rsidR="00000000" w:rsidRPr="00000000">
              <w:rPr>
                <w:rtl w:val="0"/>
              </w:rPr>
              <w:t xml:space="preserve">Justin Regidor</w:t>
            </w:r>
          </w:p>
        </w:tc>
        <w:tc>
          <w:tcPr/>
          <w:p w:rsidR="00000000" w:rsidDel="00000000" w:rsidP="00000000" w:rsidRDefault="00000000" w:rsidRPr="00000000" w14:paraId="00000013">
            <w:pPr>
              <w:rPr/>
            </w:pPr>
            <w:r w:rsidDel="00000000" w:rsidR="00000000" w:rsidRPr="00000000">
              <w:rPr>
                <w:rtl w:val="0"/>
              </w:rPr>
              <w:t xml:space="preserve">Programmer/Data Analyst</w:t>
            </w:r>
          </w:p>
        </w:tc>
      </w:tr>
      <w:tr>
        <w:trPr>
          <w:cantSplit w:val="0"/>
          <w:tblHeader w:val="0"/>
        </w:trPr>
        <w:tc>
          <w:tcPr/>
          <w:p w:rsidR="00000000" w:rsidDel="00000000" w:rsidP="00000000" w:rsidRDefault="00000000" w:rsidRPr="00000000" w14:paraId="00000014">
            <w:pPr>
              <w:rPr/>
            </w:pPr>
            <w:r w:rsidDel="00000000" w:rsidR="00000000" w:rsidRPr="00000000">
              <w:rPr>
                <w:rtl w:val="0"/>
              </w:rPr>
              <w:t xml:space="preserve">Ieuan Esteban</w:t>
            </w:r>
          </w:p>
        </w:tc>
        <w:tc>
          <w:tcPr/>
          <w:p w:rsidR="00000000" w:rsidDel="00000000" w:rsidP="00000000" w:rsidRDefault="00000000" w:rsidRPr="00000000" w14:paraId="00000015">
            <w:pPr>
              <w:rPr/>
            </w:pPr>
            <w:r w:rsidDel="00000000" w:rsidR="00000000" w:rsidRPr="00000000">
              <w:rPr>
                <w:rtl w:val="0"/>
              </w:rPr>
              <w:t xml:space="preserve">Researcher/Documenter</w:t>
            </w:r>
          </w:p>
        </w:tc>
      </w:tr>
      <w:tr>
        <w:trPr>
          <w:cantSplit w:val="0"/>
          <w:tblHeader w:val="0"/>
        </w:trPr>
        <w:tc>
          <w:tcPr/>
          <w:p w:rsidR="00000000" w:rsidDel="00000000" w:rsidP="00000000" w:rsidRDefault="00000000" w:rsidRPr="00000000" w14:paraId="00000016">
            <w:pPr>
              <w:rPr/>
            </w:pPr>
            <w:r w:rsidDel="00000000" w:rsidR="00000000" w:rsidRPr="00000000">
              <w:rPr>
                <w:rtl w:val="0"/>
              </w:rPr>
              <w:t xml:space="preserve">Anjali De Silva</w:t>
            </w:r>
          </w:p>
        </w:tc>
        <w:tc>
          <w:tcPr/>
          <w:p w:rsidR="00000000" w:rsidDel="00000000" w:rsidP="00000000" w:rsidRDefault="00000000" w:rsidRPr="00000000" w14:paraId="00000017">
            <w:pPr>
              <w:rPr/>
            </w:pPr>
            <w:r w:rsidDel="00000000" w:rsidR="00000000" w:rsidRPr="00000000">
              <w:rPr>
                <w:rtl w:val="0"/>
              </w:rPr>
              <w:t xml:space="preserve">Project Advisor</w:t>
            </w:r>
          </w:p>
        </w:tc>
      </w:tr>
    </w:tbl>
    <w:p w:rsidR="00000000" w:rsidDel="00000000" w:rsidP="00000000" w:rsidRDefault="00000000" w:rsidRPr="00000000" w14:paraId="00000018">
      <w:pPr>
        <w:pStyle w:val="Heading1"/>
        <w:rPr/>
      </w:pPr>
      <w:r w:rsidDel="00000000" w:rsidR="00000000" w:rsidRPr="00000000">
        <w:rPr>
          <w:rtl w:val="0"/>
        </w:rPr>
      </w:r>
    </w:p>
    <w:p w:rsidR="00000000" w:rsidDel="00000000" w:rsidP="00000000" w:rsidRDefault="00000000" w:rsidRPr="00000000" w14:paraId="00000019">
      <w:pPr>
        <w:pStyle w:val="Heading1"/>
        <w:rPr/>
      </w:pPr>
      <w:r w:rsidDel="00000000" w:rsidR="00000000" w:rsidRPr="00000000">
        <w:rPr>
          <w:rtl w:val="0"/>
        </w:rPr>
      </w:r>
    </w:p>
    <w:p w:rsidR="00000000" w:rsidDel="00000000" w:rsidP="00000000" w:rsidRDefault="00000000" w:rsidRPr="00000000" w14:paraId="0000001A">
      <w:pPr>
        <w:pStyle w:val="Heading1"/>
        <w:rPr/>
      </w:pPr>
      <w:r w:rsidDel="00000000" w:rsidR="00000000" w:rsidRPr="00000000">
        <w:rPr>
          <w:rtl w:val="0"/>
        </w:rPr>
      </w:r>
    </w:p>
    <w:p w:rsidR="00000000" w:rsidDel="00000000" w:rsidP="00000000" w:rsidRDefault="00000000" w:rsidRPr="00000000" w14:paraId="0000001B">
      <w:pPr>
        <w:pStyle w:val="Heading1"/>
        <w:rPr/>
      </w:pPr>
      <w:r w:rsidDel="00000000" w:rsidR="00000000" w:rsidRPr="00000000">
        <w:rPr>
          <w:rtl w:val="0"/>
        </w:rPr>
        <w:t xml:space="preserve">4. Test Scenarios</w:t>
      </w:r>
    </w:p>
    <w:tbl>
      <w:tblPr>
        <w:tblStyle w:val="Table2"/>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1C">
            <w:pPr>
              <w:rPr/>
            </w:pPr>
            <w:r w:rsidDel="00000000" w:rsidR="00000000" w:rsidRPr="00000000">
              <w:rPr>
                <w:rtl w:val="0"/>
              </w:rPr>
              <w:t xml:space="preserve">Test ID</w:t>
            </w:r>
          </w:p>
        </w:tc>
        <w:tc>
          <w:tcPr/>
          <w:p w:rsidR="00000000" w:rsidDel="00000000" w:rsidP="00000000" w:rsidRDefault="00000000" w:rsidRPr="00000000" w14:paraId="0000001D">
            <w:pPr>
              <w:rPr/>
            </w:pPr>
            <w:r w:rsidDel="00000000" w:rsidR="00000000" w:rsidRPr="00000000">
              <w:rPr>
                <w:rtl w:val="0"/>
              </w:rPr>
              <w:t xml:space="preserve">Scenario Description</w:t>
            </w:r>
          </w:p>
        </w:tc>
        <w:tc>
          <w:tcPr/>
          <w:p w:rsidR="00000000" w:rsidDel="00000000" w:rsidP="00000000" w:rsidRDefault="00000000" w:rsidRPr="00000000" w14:paraId="0000001E">
            <w:pPr>
              <w:rPr/>
            </w:pPr>
            <w:r w:rsidDel="00000000" w:rsidR="00000000" w:rsidRPr="00000000">
              <w:rPr>
                <w:rtl w:val="0"/>
              </w:rPr>
              <w:t xml:space="preserve">Test Method</w:t>
            </w:r>
          </w:p>
        </w:tc>
        <w:tc>
          <w:tcPr/>
          <w:p w:rsidR="00000000" w:rsidDel="00000000" w:rsidP="00000000" w:rsidRDefault="00000000" w:rsidRPr="00000000" w14:paraId="0000001F">
            <w:pPr>
              <w:rPr/>
            </w:pPr>
            <w:r w:rsidDel="00000000" w:rsidR="00000000" w:rsidRPr="00000000">
              <w:rPr>
                <w:rtl w:val="0"/>
              </w:rPr>
              <w:t xml:space="preserve">Expected Outcome</w:t>
            </w:r>
          </w:p>
        </w:tc>
        <w:tc>
          <w:tcPr/>
          <w:p w:rsidR="00000000" w:rsidDel="00000000" w:rsidP="00000000" w:rsidRDefault="00000000" w:rsidRPr="00000000" w14:paraId="00000020">
            <w:pPr>
              <w:rPr/>
            </w:pPr>
            <w:r w:rsidDel="00000000" w:rsidR="00000000" w:rsidRPr="00000000">
              <w:rPr>
                <w:rtl w:val="0"/>
              </w:rPr>
              <w:t xml:space="preserve">Actual Outcome</w:t>
            </w:r>
          </w:p>
        </w:tc>
      </w:tr>
      <w:tr>
        <w:trPr>
          <w:cantSplit w:val="0"/>
          <w:tblHeader w:val="0"/>
        </w:trPr>
        <w:tc>
          <w:tcPr/>
          <w:p w:rsidR="00000000" w:rsidDel="00000000" w:rsidP="00000000" w:rsidRDefault="00000000" w:rsidRPr="00000000" w14:paraId="00000021">
            <w:pPr>
              <w:rPr/>
            </w:pPr>
            <w:r w:rsidDel="00000000" w:rsidR="00000000" w:rsidRPr="00000000">
              <w:rPr>
                <w:rtl w:val="0"/>
              </w:rPr>
              <w:t xml:space="preserve">UT1</w:t>
            </w:r>
          </w:p>
        </w:tc>
        <w:tc>
          <w:tcPr/>
          <w:p w:rsidR="00000000" w:rsidDel="00000000" w:rsidP="00000000" w:rsidRDefault="00000000" w:rsidRPr="00000000" w14:paraId="00000022">
            <w:pPr>
              <w:rPr/>
            </w:pPr>
            <w:r w:rsidDel="00000000" w:rsidR="00000000" w:rsidRPr="00000000">
              <w:rPr>
                <w:rtl w:val="0"/>
              </w:rPr>
              <w:t xml:space="preserve">Assess readability of all visuals (fonts, colours, labels)</w:t>
            </w:r>
          </w:p>
        </w:tc>
        <w:tc>
          <w:tcPr/>
          <w:p w:rsidR="00000000" w:rsidDel="00000000" w:rsidP="00000000" w:rsidRDefault="00000000" w:rsidRPr="00000000" w14:paraId="00000023">
            <w:pPr>
              <w:rPr/>
            </w:pPr>
            <w:r w:rsidDel="00000000" w:rsidR="00000000" w:rsidRPr="00000000">
              <w:rPr>
                <w:rtl w:val="0"/>
              </w:rPr>
              <w:t xml:space="preserve">User observation and feedback</w:t>
            </w:r>
          </w:p>
        </w:tc>
        <w:tc>
          <w:tcPr/>
          <w:p w:rsidR="00000000" w:rsidDel="00000000" w:rsidP="00000000" w:rsidRDefault="00000000" w:rsidRPr="00000000" w14:paraId="00000024">
            <w:pPr>
              <w:rPr/>
            </w:pPr>
            <w:r w:rsidDel="00000000" w:rsidR="00000000" w:rsidRPr="00000000">
              <w:rPr>
                <w:rtl w:val="0"/>
              </w:rPr>
              <w:t xml:space="preserve">All visuals readable, clear and visible</w:t>
            </w:r>
          </w:p>
        </w:tc>
        <w:tc>
          <w:tcPr/>
          <w:p w:rsidR="00000000" w:rsidDel="00000000" w:rsidP="00000000" w:rsidRDefault="00000000" w:rsidRPr="00000000" w14:paraId="00000025">
            <w:pPr>
              <w:rPr/>
            </w:pPr>
            <w:r w:rsidDel="00000000" w:rsidR="00000000" w:rsidRPr="00000000">
              <w:rPr>
                <w:rtl w:val="0"/>
              </w:rPr>
              <w:t xml:space="preserve">All text elements are clearly readable. Font sizes are appropriate for dashboard viewing. Orange color scheme for forecasts and varied colors for actual data provide good contrast against dark background. Chart labels and legends are clear and easy to read.</w:t>
            </w:r>
            <w:r w:rsidDel="00000000" w:rsidR="00000000" w:rsidRPr="00000000">
              <w:rPr>
                <w:b w:val="1"/>
                <w:rtl w:val="0"/>
              </w:rPr>
              <w:br w:type="textWrapping"/>
              <w:t xml:space="preserve">Status: </w:t>
            </w:r>
            <w:r w:rsidDel="00000000" w:rsidR="00000000" w:rsidRPr="00000000">
              <w:rPr>
                <w:b w:val="1"/>
                <w:color w:val="008000"/>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026">
            <w:pPr>
              <w:rPr/>
            </w:pPr>
            <w:r w:rsidDel="00000000" w:rsidR="00000000" w:rsidRPr="00000000">
              <w:rPr>
                <w:rtl w:val="0"/>
              </w:rPr>
              <w:t xml:space="preserve">UT2</w:t>
            </w:r>
          </w:p>
        </w:tc>
        <w:tc>
          <w:tcPr/>
          <w:p w:rsidR="00000000" w:rsidDel="00000000" w:rsidP="00000000" w:rsidRDefault="00000000" w:rsidRPr="00000000" w14:paraId="00000027">
            <w:pPr>
              <w:rPr/>
            </w:pPr>
            <w:r w:rsidDel="00000000" w:rsidR="00000000" w:rsidRPr="00000000">
              <w:rPr>
                <w:rtl w:val="0"/>
              </w:rPr>
              <w:t xml:space="preserve">Evaluate layout and navigation flow</w:t>
            </w:r>
          </w:p>
        </w:tc>
        <w:tc>
          <w:tcPr/>
          <w:p w:rsidR="00000000" w:rsidDel="00000000" w:rsidP="00000000" w:rsidRDefault="00000000" w:rsidRPr="00000000" w14:paraId="00000028">
            <w:pPr>
              <w:rPr/>
            </w:pPr>
            <w:r w:rsidDel="00000000" w:rsidR="00000000" w:rsidRPr="00000000">
              <w:rPr>
                <w:rtl w:val="0"/>
              </w:rPr>
              <w:t xml:space="preserve">Task based testing</w:t>
            </w:r>
          </w:p>
        </w:tc>
        <w:tc>
          <w:tcPr/>
          <w:p w:rsidR="00000000" w:rsidDel="00000000" w:rsidP="00000000" w:rsidRDefault="00000000" w:rsidRPr="00000000" w14:paraId="00000029">
            <w:pPr>
              <w:rPr/>
            </w:pPr>
            <w:r w:rsidDel="00000000" w:rsidR="00000000" w:rsidRPr="00000000">
              <w:rPr>
                <w:rtl w:val="0"/>
              </w:rPr>
              <w:t xml:space="preserve">Users can navigate easily between dashboard pages</w:t>
            </w:r>
          </w:p>
        </w:tc>
        <w:tc>
          <w:tcPr/>
          <w:p w:rsidR="00000000" w:rsidDel="00000000" w:rsidP="00000000" w:rsidRDefault="00000000" w:rsidRPr="00000000" w14:paraId="0000002A">
            <w:pPr>
              <w:rPr/>
            </w:pPr>
            <w:r w:rsidDel="00000000" w:rsidR="00000000" w:rsidRPr="00000000">
              <w:rPr>
                <w:rtl w:val="0"/>
              </w:rPr>
              <w:t xml:space="preserve">Dashboard layout is intuitive with logical page organization. Navigation tabs at bottom are clearly labeled (Gender National Level, Gender by Ethnicity, Regional Councils, Age Groups). Users can quickly understand where to find specific information.</w:t>
            </w:r>
            <w:r w:rsidDel="00000000" w:rsidR="00000000" w:rsidRPr="00000000">
              <w:rPr>
                <w:b w:val="1"/>
                <w:rtl w:val="0"/>
              </w:rPr>
              <w:br w:type="textWrapping"/>
              <w:t xml:space="preserve">Status: </w:t>
            </w:r>
            <w:r w:rsidDel="00000000" w:rsidR="00000000" w:rsidRPr="00000000">
              <w:rPr>
                <w:b w:val="1"/>
                <w:color w:val="008000"/>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02B">
            <w:pPr>
              <w:rPr/>
            </w:pPr>
            <w:r w:rsidDel="00000000" w:rsidR="00000000" w:rsidRPr="00000000">
              <w:rPr>
                <w:rtl w:val="0"/>
              </w:rPr>
              <w:t xml:space="preserve">UT3</w:t>
            </w:r>
          </w:p>
        </w:tc>
        <w:tc>
          <w:tcPr/>
          <w:p w:rsidR="00000000" w:rsidDel="00000000" w:rsidP="00000000" w:rsidRDefault="00000000" w:rsidRPr="00000000" w14:paraId="0000002C">
            <w:pPr>
              <w:rPr/>
            </w:pPr>
            <w:r w:rsidDel="00000000" w:rsidR="00000000" w:rsidRPr="00000000">
              <w:rPr>
                <w:rtl w:val="0"/>
              </w:rPr>
              <w:t xml:space="preserve">Identify key information</w:t>
            </w:r>
          </w:p>
        </w:tc>
        <w:tc>
          <w:tcPr/>
          <w:p w:rsidR="00000000" w:rsidDel="00000000" w:rsidP="00000000" w:rsidRDefault="00000000" w:rsidRPr="00000000" w14:paraId="0000002D">
            <w:pPr>
              <w:rPr/>
            </w:pPr>
            <w:r w:rsidDel="00000000" w:rsidR="00000000" w:rsidRPr="00000000">
              <w:rPr>
                <w:rtl w:val="0"/>
              </w:rPr>
              <w:t xml:space="preserve">User observation</w:t>
            </w:r>
          </w:p>
        </w:tc>
        <w:tc>
          <w:tcPr/>
          <w:p w:rsidR="00000000" w:rsidDel="00000000" w:rsidP="00000000" w:rsidRDefault="00000000" w:rsidRPr="00000000" w14:paraId="0000002E">
            <w:pPr>
              <w:rPr/>
            </w:pPr>
            <w:r w:rsidDel="00000000" w:rsidR="00000000" w:rsidRPr="00000000">
              <w:rPr>
                <w:rtl w:val="0"/>
              </w:rPr>
              <w:t xml:space="preserve">Users can quickly find and interpret key unemployment statistics</w:t>
            </w:r>
          </w:p>
        </w:tc>
        <w:tc>
          <w:tcPr/>
          <w:p w:rsidR="00000000" w:rsidDel="00000000" w:rsidP="00000000" w:rsidRDefault="00000000" w:rsidRPr="00000000" w14:paraId="0000002F">
            <w:pPr>
              <w:rPr/>
            </w:pPr>
            <w:r w:rsidDel="00000000" w:rsidR="00000000" w:rsidRPr="00000000">
              <w:rPr>
                <w:rtl w:val="0"/>
              </w:rPr>
              <w:t xml:space="preserve">Key statistics are prominently displayed. Actual vs Forecast graphs are side-by-side for easy comparison. Slicer categories (Actual Category, Forecast Category) are clearly positioned at top of dashboard. Users can identify trends and forecasts within 5 seconds as required.</w:t>
            </w:r>
            <w:r w:rsidDel="00000000" w:rsidR="00000000" w:rsidRPr="00000000">
              <w:rPr>
                <w:b w:val="1"/>
                <w:rtl w:val="0"/>
              </w:rPr>
              <w:br w:type="textWrapping"/>
              <w:t xml:space="preserve">Status: </w:t>
            </w:r>
            <w:r w:rsidDel="00000000" w:rsidR="00000000" w:rsidRPr="00000000">
              <w:rPr>
                <w:b w:val="1"/>
                <w:color w:val="008000"/>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030">
            <w:pPr>
              <w:rPr/>
            </w:pPr>
            <w:r w:rsidDel="00000000" w:rsidR="00000000" w:rsidRPr="00000000">
              <w:rPr>
                <w:rtl w:val="0"/>
              </w:rPr>
              <w:t xml:space="preserve">UT4</w:t>
            </w:r>
          </w:p>
        </w:tc>
        <w:tc>
          <w:tcPr/>
          <w:p w:rsidR="00000000" w:rsidDel="00000000" w:rsidP="00000000" w:rsidRDefault="00000000" w:rsidRPr="00000000" w14:paraId="00000031">
            <w:pPr>
              <w:rPr/>
            </w:pPr>
            <w:r w:rsidDel="00000000" w:rsidR="00000000" w:rsidRPr="00000000">
              <w:rPr>
                <w:rtl w:val="0"/>
              </w:rPr>
              <w:t xml:space="preserve">Assess accessibility for colour blind users</w:t>
            </w:r>
          </w:p>
        </w:tc>
        <w:tc>
          <w:tcPr/>
          <w:p w:rsidR="00000000" w:rsidDel="00000000" w:rsidP="00000000" w:rsidRDefault="00000000" w:rsidRPr="00000000" w14:paraId="00000032">
            <w:pPr>
              <w:rPr/>
            </w:pPr>
            <w:r w:rsidDel="00000000" w:rsidR="00000000" w:rsidRPr="00000000">
              <w:rPr>
                <w:rtl w:val="0"/>
              </w:rPr>
              <w:t xml:space="preserve">Accessibility review</w:t>
            </w:r>
          </w:p>
        </w:tc>
        <w:tc>
          <w:tcPr/>
          <w:p w:rsidR="00000000" w:rsidDel="00000000" w:rsidP="00000000" w:rsidRDefault="00000000" w:rsidRPr="00000000" w14:paraId="00000033">
            <w:pPr>
              <w:rPr/>
            </w:pPr>
            <w:r w:rsidDel="00000000" w:rsidR="00000000" w:rsidRPr="00000000">
              <w:rPr>
                <w:rtl w:val="0"/>
              </w:rPr>
              <w:t xml:space="preserve">Charts use accessible and distinguishable colours</w:t>
            </w:r>
          </w:p>
        </w:tc>
        <w:tc>
          <w:tcPr/>
          <w:p w:rsidR="00000000" w:rsidDel="00000000" w:rsidP="00000000" w:rsidRDefault="00000000" w:rsidRPr="00000000" w14:paraId="00000034">
            <w:pPr>
              <w:rPr/>
            </w:pPr>
            <w:r w:rsidDel="00000000" w:rsidR="00000000" w:rsidRPr="00000000">
              <w:rPr>
                <w:rtl w:val="0"/>
              </w:rPr>
              <w:t xml:space="preserve">Color scheme provides sufficient contrast. Orange used for forecasts is distinguishable. Different line colors for different categories provide clear differentiation. Patterns and confidence intervals enhance accessibility beyond color alone.</w:t>
            </w:r>
            <w:r w:rsidDel="00000000" w:rsidR="00000000" w:rsidRPr="00000000">
              <w:rPr>
                <w:b w:val="1"/>
                <w:rtl w:val="0"/>
              </w:rPr>
              <w:br w:type="textWrapping"/>
              <w:t xml:space="preserve">Status: </w:t>
            </w:r>
            <w:r w:rsidDel="00000000" w:rsidR="00000000" w:rsidRPr="00000000">
              <w:rPr>
                <w:b w:val="1"/>
                <w:color w:val="008000"/>
                <w:rtl w:val="0"/>
              </w:rPr>
              <w:t xml:space="preserve">Pass</w:t>
            </w:r>
            <w:r w:rsidDel="00000000" w:rsidR="00000000" w:rsidRPr="00000000">
              <w:rPr>
                <w:rtl w:val="0"/>
              </w:rPr>
            </w:r>
          </w:p>
        </w:tc>
      </w:tr>
    </w:tbl>
    <w:p w:rsidR="00000000" w:rsidDel="00000000" w:rsidP="00000000" w:rsidRDefault="00000000" w:rsidRPr="00000000" w14:paraId="00000035">
      <w:pPr>
        <w:pStyle w:val="Heading1"/>
        <w:rPr/>
      </w:pPr>
      <w:r w:rsidDel="00000000" w:rsidR="00000000" w:rsidRPr="00000000">
        <w:rPr>
          <w:rtl w:val="0"/>
        </w:rPr>
        <w:t xml:space="preserve">5. Feedback Summary</w:t>
      </w:r>
    </w:p>
    <w:tbl>
      <w:tblPr>
        <w:tblStyle w:val="Table3"/>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36">
            <w:pPr>
              <w:rPr/>
            </w:pPr>
            <w:r w:rsidDel="00000000" w:rsidR="00000000" w:rsidRPr="00000000">
              <w:rPr>
                <w:rtl w:val="0"/>
              </w:rPr>
              <w:t xml:space="preserve">Participant</w:t>
            </w:r>
          </w:p>
        </w:tc>
        <w:tc>
          <w:tcPr/>
          <w:p w:rsidR="00000000" w:rsidDel="00000000" w:rsidP="00000000" w:rsidRDefault="00000000" w:rsidRPr="00000000" w14:paraId="00000037">
            <w:pPr>
              <w:rPr/>
            </w:pPr>
            <w:r w:rsidDel="00000000" w:rsidR="00000000" w:rsidRPr="00000000">
              <w:rPr>
                <w:rtl w:val="0"/>
              </w:rPr>
              <w:t xml:space="preserve">Feedback Summary</w:t>
            </w:r>
          </w:p>
        </w:tc>
        <w:tc>
          <w:tcPr/>
          <w:p w:rsidR="00000000" w:rsidDel="00000000" w:rsidP="00000000" w:rsidRDefault="00000000" w:rsidRPr="00000000" w14:paraId="00000038">
            <w:pPr>
              <w:rPr/>
            </w:pPr>
            <w:r w:rsidDel="00000000" w:rsidR="00000000" w:rsidRPr="00000000">
              <w:rPr>
                <w:rtl w:val="0"/>
              </w:rPr>
              <w:t xml:space="preserve">Issues Identified</w:t>
            </w:r>
          </w:p>
        </w:tc>
        <w:tc>
          <w:tcPr/>
          <w:p w:rsidR="00000000" w:rsidDel="00000000" w:rsidP="00000000" w:rsidRDefault="00000000" w:rsidRPr="00000000" w14:paraId="00000039">
            <w:pPr>
              <w:rPr/>
            </w:pPr>
            <w:r w:rsidDel="00000000" w:rsidR="00000000" w:rsidRPr="00000000">
              <w:rPr>
                <w:rtl w:val="0"/>
              </w:rPr>
              <w:t xml:space="preserve">Action Taken</w:t>
            </w:r>
          </w:p>
        </w:tc>
      </w:tr>
      <w:tr>
        <w:trPr>
          <w:cantSplit w:val="0"/>
          <w:tblHeader w:val="0"/>
        </w:trPr>
        <w:tc>
          <w:tcPr/>
          <w:p w:rsidR="00000000" w:rsidDel="00000000" w:rsidP="00000000" w:rsidRDefault="00000000" w:rsidRPr="00000000" w14:paraId="0000003A">
            <w:pPr>
              <w:rPr/>
            </w:pPr>
            <w:r w:rsidDel="00000000" w:rsidR="00000000" w:rsidRPr="00000000">
              <w:rPr>
                <w:rtl w:val="0"/>
              </w:rPr>
              <w:t xml:space="preserve">Robert McDougall</w:t>
            </w:r>
          </w:p>
        </w:tc>
        <w:tc>
          <w:tcPr/>
          <w:p w:rsidR="00000000" w:rsidDel="00000000" w:rsidP="00000000" w:rsidRDefault="00000000" w:rsidRPr="00000000" w14:paraId="0000003B">
            <w:pPr>
              <w:rPr/>
            </w:pPr>
            <w:r w:rsidDel="00000000" w:rsidR="00000000" w:rsidRPr="00000000">
              <w:rPr>
                <w:rtl w:val="0"/>
              </w:rPr>
              <w:t xml:space="preserve">Dashboard design is clean and professional. Easy to understand at a glance.</w:t>
            </w:r>
          </w:p>
        </w:tc>
        <w:tc>
          <w:tcPr/>
          <w:p w:rsidR="00000000" w:rsidDel="00000000" w:rsidP="00000000" w:rsidRDefault="00000000" w:rsidRPr="00000000" w14:paraId="0000003C">
            <w:pPr>
              <w:rPr/>
            </w:pPr>
            <w:r w:rsidDel="00000000" w:rsidR="00000000" w:rsidRPr="00000000">
              <w:rPr>
                <w:rtl w:val="0"/>
              </w:rPr>
              <w:t xml:space="preserve">None</w:t>
            </w:r>
          </w:p>
        </w:tc>
        <w:tc>
          <w:tcPr/>
          <w:p w:rsidR="00000000" w:rsidDel="00000000" w:rsidP="00000000" w:rsidRDefault="00000000" w:rsidRPr="00000000" w14:paraId="0000003D">
            <w:pPr>
              <w:rPr/>
            </w:pPr>
            <w:r w:rsidDel="00000000" w:rsidR="00000000" w:rsidRPr="00000000">
              <w:rPr>
                <w:rtl w:val="0"/>
              </w:rPr>
              <w:t xml:space="preserve">N/A</w:t>
            </w:r>
          </w:p>
        </w:tc>
      </w:tr>
      <w:tr>
        <w:trPr>
          <w:cantSplit w:val="0"/>
          <w:tblHeader w:val="0"/>
        </w:trPr>
        <w:tc>
          <w:tcPr/>
          <w:p w:rsidR="00000000" w:rsidDel="00000000" w:rsidP="00000000" w:rsidRDefault="00000000" w:rsidRPr="00000000" w14:paraId="0000003E">
            <w:pPr>
              <w:rPr/>
            </w:pPr>
            <w:r w:rsidDel="00000000" w:rsidR="00000000" w:rsidRPr="00000000">
              <w:rPr>
                <w:rtl w:val="0"/>
              </w:rPr>
              <w:t xml:space="preserve">Justin Regidor</w:t>
            </w:r>
          </w:p>
        </w:tc>
        <w:tc>
          <w:tcPr/>
          <w:p w:rsidR="00000000" w:rsidDel="00000000" w:rsidP="00000000" w:rsidRDefault="00000000" w:rsidRPr="00000000" w14:paraId="0000003F">
            <w:pPr>
              <w:rPr/>
            </w:pPr>
            <w:r w:rsidDel="00000000" w:rsidR="00000000" w:rsidRPr="00000000">
              <w:rPr>
                <w:rtl w:val="0"/>
              </w:rPr>
              <w:t xml:space="preserve">Color scheme works well. Dark theme with orange accents is visually appealing and easy to read.</w:t>
            </w:r>
          </w:p>
        </w:tc>
        <w:tc>
          <w:tcPr/>
          <w:p w:rsidR="00000000" w:rsidDel="00000000" w:rsidP="00000000" w:rsidRDefault="00000000" w:rsidRPr="00000000" w14:paraId="00000040">
            <w:pPr>
              <w:rPr/>
            </w:pPr>
            <w:r w:rsidDel="00000000" w:rsidR="00000000" w:rsidRPr="00000000">
              <w:rPr>
                <w:rtl w:val="0"/>
              </w:rPr>
              <w:t xml:space="preserve">None</w:t>
            </w:r>
          </w:p>
        </w:tc>
        <w:tc>
          <w:tcPr/>
          <w:p w:rsidR="00000000" w:rsidDel="00000000" w:rsidP="00000000" w:rsidRDefault="00000000" w:rsidRPr="00000000" w14:paraId="00000041">
            <w:pPr>
              <w:rPr/>
            </w:pPr>
            <w:r w:rsidDel="00000000" w:rsidR="00000000" w:rsidRPr="00000000">
              <w:rPr>
                <w:rtl w:val="0"/>
              </w:rPr>
              <w:t xml:space="preserve">N/A</w:t>
            </w:r>
          </w:p>
        </w:tc>
      </w:tr>
      <w:tr>
        <w:trPr>
          <w:cantSplit w:val="0"/>
          <w:tblHeader w:val="0"/>
        </w:trPr>
        <w:tc>
          <w:tcPr/>
          <w:p w:rsidR="00000000" w:rsidDel="00000000" w:rsidP="00000000" w:rsidRDefault="00000000" w:rsidRPr="00000000" w14:paraId="00000042">
            <w:pPr>
              <w:rPr/>
            </w:pPr>
            <w:r w:rsidDel="00000000" w:rsidR="00000000" w:rsidRPr="00000000">
              <w:rPr>
                <w:rtl w:val="0"/>
              </w:rPr>
              <w:t xml:space="preserve">Ieuan Esteban</w:t>
            </w:r>
          </w:p>
        </w:tc>
        <w:tc>
          <w:tcPr/>
          <w:p w:rsidR="00000000" w:rsidDel="00000000" w:rsidP="00000000" w:rsidRDefault="00000000" w:rsidRPr="00000000" w14:paraId="00000043">
            <w:pPr>
              <w:rPr/>
            </w:pPr>
            <w:r w:rsidDel="00000000" w:rsidR="00000000" w:rsidRPr="00000000">
              <w:rPr>
                <w:rtl w:val="0"/>
              </w:rPr>
              <w:t xml:space="preserve">Navigation is intuitive. Found all information quickly without confusion. Meets 5-second comprehension goal.</w:t>
            </w:r>
          </w:p>
        </w:tc>
        <w:tc>
          <w:tcPr/>
          <w:p w:rsidR="00000000" w:rsidDel="00000000" w:rsidP="00000000" w:rsidRDefault="00000000" w:rsidRPr="00000000" w14:paraId="00000044">
            <w:pPr>
              <w:rPr/>
            </w:pPr>
            <w:r w:rsidDel="00000000" w:rsidR="00000000" w:rsidRPr="00000000">
              <w:rPr>
                <w:rtl w:val="0"/>
              </w:rPr>
              <w:t xml:space="preserve">None</w:t>
            </w:r>
          </w:p>
        </w:tc>
        <w:tc>
          <w:tcPr/>
          <w:p w:rsidR="00000000" w:rsidDel="00000000" w:rsidP="00000000" w:rsidRDefault="00000000" w:rsidRPr="00000000" w14:paraId="00000045">
            <w:pPr>
              <w:rPr/>
            </w:pPr>
            <w:r w:rsidDel="00000000" w:rsidR="00000000" w:rsidRPr="00000000">
              <w:rPr>
                <w:rtl w:val="0"/>
              </w:rPr>
              <w:t xml:space="preserve">N/A</w:t>
            </w:r>
          </w:p>
        </w:tc>
      </w:tr>
      <w:tr>
        <w:trPr>
          <w:cantSplit w:val="0"/>
          <w:tblHeader w:val="0"/>
        </w:trPr>
        <w:tc>
          <w:tcPr/>
          <w:p w:rsidR="00000000" w:rsidDel="00000000" w:rsidP="00000000" w:rsidRDefault="00000000" w:rsidRPr="00000000" w14:paraId="00000046">
            <w:pPr>
              <w:rPr/>
            </w:pPr>
            <w:r w:rsidDel="00000000" w:rsidR="00000000" w:rsidRPr="00000000">
              <w:rPr>
                <w:rtl w:val="0"/>
              </w:rPr>
              <w:t xml:space="preserve">Phat Bui</w:t>
            </w:r>
          </w:p>
        </w:tc>
        <w:tc>
          <w:tcPr/>
          <w:p w:rsidR="00000000" w:rsidDel="00000000" w:rsidP="00000000" w:rsidRDefault="00000000" w:rsidRPr="00000000" w14:paraId="00000047">
            <w:pPr>
              <w:rPr/>
            </w:pPr>
            <w:r w:rsidDel="00000000" w:rsidR="00000000" w:rsidRPr="00000000">
              <w:rPr>
                <w:rtl w:val="0"/>
              </w:rPr>
              <w:t xml:space="preserve">Layout is logical with good use of space. Slicers are easy to locate and use.</w:t>
            </w:r>
          </w:p>
        </w:tc>
        <w:tc>
          <w:tcPr/>
          <w:p w:rsidR="00000000" w:rsidDel="00000000" w:rsidP="00000000" w:rsidRDefault="00000000" w:rsidRPr="00000000" w14:paraId="00000048">
            <w:pPr>
              <w:rPr/>
            </w:pPr>
            <w:r w:rsidDel="00000000" w:rsidR="00000000" w:rsidRPr="00000000">
              <w:rPr>
                <w:rtl w:val="0"/>
              </w:rPr>
              <w:t xml:space="preserve">None</w:t>
            </w:r>
          </w:p>
        </w:tc>
        <w:tc>
          <w:tcPr/>
          <w:p w:rsidR="00000000" w:rsidDel="00000000" w:rsidP="00000000" w:rsidRDefault="00000000" w:rsidRPr="00000000" w14:paraId="00000049">
            <w:pPr>
              <w:rPr/>
            </w:pPr>
            <w:r w:rsidDel="00000000" w:rsidR="00000000" w:rsidRPr="00000000">
              <w:rPr>
                <w:rtl w:val="0"/>
              </w:rPr>
              <w:t xml:space="preserve">N/A</w:t>
            </w:r>
          </w:p>
        </w:tc>
      </w:tr>
      <w:tr>
        <w:trPr>
          <w:cantSplit w:val="0"/>
          <w:tblHeader w:val="0"/>
        </w:trPr>
        <w:tc>
          <w:tcPr/>
          <w:p w:rsidR="00000000" w:rsidDel="00000000" w:rsidP="00000000" w:rsidRDefault="00000000" w:rsidRPr="00000000" w14:paraId="0000004A">
            <w:pPr>
              <w:rPr/>
            </w:pPr>
            <w:r w:rsidDel="00000000" w:rsidR="00000000" w:rsidRPr="00000000">
              <w:rPr>
                <w:rtl w:val="0"/>
              </w:rPr>
              <w:t xml:space="preserve">Anjali De Silva</w:t>
            </w:r>
          </w:p>
        </w:tc>
        <w:tc>
          <w:tcPr/>
          <w:p w:rsidR="00000000" w:rsidDel="00000000" w:rsidP="00000000" w:rsidRDefault="00000000" w:rsidRPr="00000000" w14:paraId="0000004B">
            <w:pPr>
              <w:rPr/>
            </w:pPr>
            <w:r w:rsidDel="00000000" w:rsidR="00000000" w:rsidRPr="00000000">
              <w:rPr>
                <w:rtl w:val="0"/>
              </w:rPr>
              <w:t xml:space="preserve">Dashboard design is suitable for executive-level presentation. Professional appearance appropriate for MBIE stakeholders.</w:t>
            </w:r>
          </w:p>
        </w:tc>
        <w:tc>
          <w:tcPr/>
          <w:p w:rsidR="00000000" w:rsidDel="00000000" w:rsidP="00000000" w:rsidRDefault="00000000" w:rsidRPr="00000000" w14:paraId="0000004C">
            <w:pPr>
              <w:rPr/>
            </w:pPr>
            <w:r w:rsidDel="00000000" w:rsidR="00000000" w:rsidRPr="00000000">
              <w:rPr>
                <w:rtl w:val="0"/>
              </w:rPr>
              <w:t xml:space="preserve">None</w:t>
            </w:r>
          </w:p>
        </w:tc>
        <w:tc>
          <w:tcPr/>
          <w:p w:rsidR="00000000" w:rsidDel="00000000" w:rsidP="00000000" w:rsidRDefault="00000000" w:rsidRPr="00000000" w14:paraId="0000004D">
            <w:pPr>
              <w:rPr/>
            </w:pPr>
            <w:r w:rsidDel="00000000" w:rsidR="00000000" w:rsidRPr="00000000">
              <w:rPr>
                <w:rtl w:val="0"/>
              </w:rPr>
              <w:t xml:space="preserve">N/A</w:t>
            </w:r>
          </w:p>
        </w:tc>
      </w:tr>
    </w:tbl>
    <w:p w:rsidR="00000000" w:rsidDel="00000000" w:rsidP="00000000" w:rsidRDefault="00000000" w:rsidRPr="00000000" w14:paraId="0000004E">
      <w:pPr>
        <w:pStyle w:val="Heading1"/>
        <w:rPr/>
      </w:pPr>
      <w:r w:rsidDel="00000000" w:rsidR="00000000" w:rsidRPr="00000000">
        <w:rPr>
          <w:rtl w:val="0"/>
        </w:rPr>
      </w:r>
    </w:p>
    <w:p w:rsidR="00000000" w:rsidDel="00000000" w:rsidP="00000000" w:rsidRDefault="00000000" w:rsidRPr="00000000" w14:paraId="0000004F">
      <w:pPr>
        <w:pStyle w:val="Heading1"/>
        <w:rPr/>
      </w:pPr>
      <w:r w:rsidDel="00000000" w:rsidR="00000000" w:rsidRPr="00000000">
        <w:rPr>
          <w:rtl w:val="0"/>
        </w:rPr>
        <w:t xml:space="preserve">6. Results Summary</w:t>
      </w:r>
    </w:p>
    <w:p w:rsidR="00000000" w:rsidDel="00000000" w:rsidP="00000000" w:rsidRDefault="00000000" w:rsidRPr="00000000" w14:paraId="00000050">
      <w:pPr>
        <w:rPr/>
      </w:pPr>
      <w:r w:rsidDel="00000000" w:rsidR="00000000" w:rsidRPr="00000000">
        <w:rPr>
          <w:rtl w:val="0"/>
        </w:rPr>
        <w:t xml:space="preserve">Usability testing completed on 16/10/2025 demonstrated excellent usability across all evaluated criteria. All 4 usability test scenarios passed successfully with 100% approval from test participants.</w:t>
      </w:r>
    </w:p>
    <w:p w:rsidR="00000000" w:rsidDel="00000000" w:rsidP="00000000" w:rsidRDefault="00000000" w:rsidRPr="00000000" w14:paraId="00000051">
      <w:pPr>
        <w:pStyle w:val="Heading2"/>
        <w:rPr/>
      </w:pPr>
      <w:r w:rsidDel="00000000" w:rsidR="00000000" w:rsidRPr="00000000">
        <w:rPr>
          <w:rtl w:val="0"/>
        </w:rPr>
        <w:t xml:space="preserve">Key Usability Strengths: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Visual Clarity: All text, charts, and labels are clearly readable with appropriate font sizes and contrast</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Intuitive Navigation: Users can easily move between different dashboard views using clearly labeled tabs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Rapid Comprehension: Dashboard meets the 5-second comprehension standard - key information is quickly identifiable</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Professional Design: Clean, modern aesthetic suitable for presentation to government stakeholders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Effective Color Usage: Color scheme provides good contrast and differentiates between data categories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Accessibility: Dashboard design considers color blind users through use of patterns and clear labeling</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Logical Organization: Information is organized in a way that matches user mental models and expectations</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Responsive Layout: Dashboard elements are well-proportioned and make effective use of available space</w:t>
      </w:r>
    </w:p>
    <w:p w:rsidR="00000000" w:rsidDel="00000000" w:rsidP="00000000" w:rsidRDefault="00000000" w:rsidRPr="00000000" w14:paraId="0000005A">
      <w:pPr>
        <w:rPr/>
      </w:pPr>
      <w:r w:rsidDel="00000000" w:rsidR="00000000" w:rsidRPr="00000000">
        <w:rPr>
          <w:rtl w:val="0"/>
        </w:rPr>
        <w:br w:type="textWrapping"/>
        <w:t xml:space="preserve">Conclusion: The Unemployment Rate Forecasting Dashboard demonstrates excellent usability and is highly suitable for its intended users (policy makers, analysts, and MBIE stakeholders). The dashboard successfully balances technical functionality with user-friendly design, making complex unemployment forecasting data accessible and interpretable for decision-makers.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rPr>
    </w:tblStylePr>
    <w:tblStylePr w:type="firstRow">
      <w:pPr>
        <w:spacing w:after="0" w:before="0" w:line="240" w:lineRule="auto"/>
      </w:pPr>
      <w:rPr>
        <w:rFonts w:ascii="Calibri" w:cs="Calibri" w:eastAsia="Calibri" w:hAnsi="Calibri"/>
        <w:b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rPr>
    </w:tblStylePr>
    <w:tblStylePr w:type="firstRow">
      <w:pPr>
        <w:spacing w:after="0" w:before="0" w:line="240" w:lineRule="auto"/>
      </w:pPr>
      <w:rPr>
        <w:rFonts w:ascii="Calibri" w:cs="Calibri" w:eastAsia="Calibri" w:hAnsi="Calibri"/>
        <w:b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rPr>
    </w:tblStylePr>
    <w:tblStylePr w:type="firstRow">
      <w:pPr>
        <w:spacing w:after="0" w:before="0" w:line="240" w:lineRule="auto"/>
      </w:pPr>
      <w:rPr>
        <w:rFonts w:ascii="Calibri" w:cs="Calibri" w:eastAsia="Calibri" w:hAnsi="Calibri"/>
        <w:b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Jffs3GY+ZQle6KMJySFpTeecrA==">CgMxLjA4AHIhMURXaGQwdzE1eURwY1dkS3AxTVRXcUVZakY0VXZKVFYt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