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rPr>
          <w:b w:val="1"/>
          <w:bCs w:val="1"/>
          <w:color w:val="172554"/>
        </w:rPr>
      </w:pPr>
      <w:bookmarkStart w:colFirst="0" w:colLast="0" w:name="_ownekdmyk0or" w:id="0"/>
      <w:bookmarkEnd w:id="0"/>
      <w:r w:rsidDel="00000000" w:rsidR="00000000" w:rsidRPr="00000000">
        <w:rPr>
          <w:b w:val="1"/>
          <w:bCs w:val="1"/>
          <w:color w:val="172554"/>
          <w:rtl w:val="0"/>
        </w:rPr>
        <w:t xml:space="preserve">RTX Spark Campaign Plan</w:t>
      </w:r>
    </w:p>
    <w:p w:rsidR="00000000" w:rsidDel="00000000" w:rsidP="00000000" w:rsidRDefault="00000000" w:rsidRPr="00000000" w14:paraId="00000002">
      <w:pPr>
        <w:rPr>
          <w:i w:val="1"/>
          <w:iCs w:val="1"/>
          <w:color w:val="64748b"/>
          <w:sz w:val="20"/>
          <w:szCs w:val="20"/>
        </w:rPr>
      </w:pPr>
      <w:r w:rsidDel="00000000" w:rsidR="00000000" w:rsidRPr="00000000">
        <w:rPr>
          <w:i w:val="1"/>
          <w:iCs w:val="1"/>
          <w:color w:val="64748b"/>
          <w:sz w:val="20"/>
          <w:szCs w:val="20"/>
          <w:rtl w:val="0"/>
        </w:rPr>
        <w:t xml:space="preserve">Decision-ready working plan</w:t>
      </w:r>
    </w:p>
    <w:p w:rsidR="00000000" w:rsidDel="00000000" w:rsidP="00000000" w:rsidRDefault="00000000" w:rsidRPr="00000000" w14:paraId="00000003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ceijanemlsuc" w:id="1"/>
      <w:bookmarkEnd w:id="1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Purpose</w:t>
      </w:r>
    </w:p>
    <w:p w:rsidR="00000000" w:rsidDel="00000000" w:rsidP="00000000" w:rsidRDefault="00000000" w:rsidRPr="00000000" w14:paraId="00000004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Make the local-AI value proposition concrete and keep the product claim consistent across the Exec Review deck, Agent Messaging, campaign tracker, and creative surfaces.</w:t>
      </w:r>
    </w:p>
    <w:p w:rsidR="00000000" w:rsidDel="00000000" w:rsidP="00000000" w:rsidRDefault="00000000" w:rsidRPr="00000000" w14:paraId="00000005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dh7ctwiwp3nd" w:id="2"/>
      <w:bookmarkEnd w:id="2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Campaign outcome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Lead with useful AI coworkers running locally; specifications support the promise but do not drive the story.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Leave the Exec Review with approval on the keynote storyline and alignment on the IFA demo slate.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Lock one performance claim and disclaimer, then propagate it without drift.</w:t>
      </w:r>
    </w:p>
    <w:p w:rsidR="00000000" w:rsidDel="00000000" w:rsidP="00000000" w:rsidRDefault="00000000" w:rsidRPr="00000000" w14:paraId="00000009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zbc44dy275ly" w:id="3"/>
      <w:bookmarkEnd w:id="3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Current operating picture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The agent-first narrative direction is decided.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Revised performance wording has arrived, but exact approved figures are not yet captured in the Second Brain.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The marketing shoot is blocked because the planned venue is unavailable on Wednesday; a new date requires a decision.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Two campaign lanes are awaiting current owner updates.</w:t>
      </w:r>
    </w:p>
    <w:p w:rsidR="00000000" w:rsidDel="00000000" w:rsidP="00000000" w:rsidRDefault="00000000" w:rsidRPr="00000000" w14:paraId="0000000E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p9wua2kzu548" w:id="4"/>
      <w:bookmarkEnd w:id="4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Decisions required</w:t>
      </w:r>
    </w:p>
    <w:p w:rsidR="00000000" w:rsidDel="00000000" w:rsidP="00000000" w:rsidRDefault="00000000" w:rsidRPr="00000000" w14:paraId="0000000F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d04f7kcofm4d" w:id="5"/>
      <w:bookmarkEnd w:id="5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1. Keynote storyline</w:t>
      </w:r>
    </w:p>
    <w:p w:rsidR="00000000" w:rsidDel="00000000" w:rsidP="00000000" w:rsidRDefault="00000000" w:rsidRPr="00000000" w14:paraId="00000010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Approve the agent-first narrative as the spine of the keynote. Product specifications and performance evidence should prove the promise, not compete with it.</w:t>
      </w:r>
    </w:p>
    <w:p w:rsidR="00000000" w:rsidDel="00000000" w:rsidP="00000000" w:rsidRDefault="00000000" w:rsidRPr="00000000" w14:paraId="00000011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n9vx1798u8nj" w:id="6"/>
      <w:bookmarkEnd w:id="6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2. IFA demo slate</w:t>
      </w:r>
    </w:p>
    <w:p w:rsidR="00000000" w:rsidDel="00000000" w:rsidP="00000000" w:rsidRDefault="00000000" w:rsidRPr="00000000" w14:paraId="00000012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Align on the demos that best prove the agent-first story. The current source material confirms this decision is needed but does not name an approved demo list; do not present a final slate until owners supply it.</w:t>
      </w:r>
    </w:p>
    <w:p w:rsidR="00000000" w:rsidDel="00000000" w:rsidP="00000000" w:rsidRDefault="00000000" w:rsidRPr="00000000" w14:paraId="00000013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s4modcqax92a" w:id="7"/>
      <w:bookmarkEnd w:id="7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3. Claims and disclaimer</w:t>
      </w:r>
    </w:p>
    <w:p w:rsidR="00000000" w:rsidDel="00000000" w:rsidP="00000000" w:rsidRDefault="00000000" w:rsidRPr="00000000" w14:paraId="00000014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Approve the final wording, comparison, disclaimer placement, and marketing owner for legal intake LGL-2026-0847. Do not invent or extrapolate performance numbers.</w:t>
      </w:r>
    </w:p>
    <w:p w:rsidR="00000000" w:rsidDel="00000000" w:rsidP="00000000" w:rsidRDefault="00000000" w:rsidRPr="00000000" w14:paraId="00000015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5vxp0e2k19ul" w:id="8"/>
      <w:bookmarkEnd w:id="8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4. Marketing shoot date</w:t>
      </w:r>
    </w:p>
    <w:p w:rsidR="00000000" w:rsidDel="00000000" w:rsidP="00000000" w:rsidRDefault="00000000" w:rsidRPr="00000000" w14:paraId="00000016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Choose a replacement date so Priya can rebook the venue and preserve downstream crew holds.</w:t>
      </w:r>
    </w:p>
    <w:p w:rsidR="00000000" w:rsidDel="00000000" w:rsidP="00000000" w:rsidRDefault="00000000" w:rsidRPr="00000000" w14:paraId="00000017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1t4ncs465xwf" w:id="9"/>
      <w:bookmarkEnd w:id="9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Workstreams</w:t>
      </w:r>
    </w:p>
    <w:p w:rsidR="00000000" w:rsidDel="00000000" w:rsidP="00000000" w:rsidRDefault="00000000" w:rsidRPr="00000000" w14:paraId="00000018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e5oojzkvg9to" w:id="10"/>
      <w:bookmarkEnd w:id="10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Exec Review deck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Update slide 4 only after the approved performance figures are captured.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Cut the standalone detail on slide 6 from the live flow and carry the relevant content into slide 7.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Protect slide 10 for the two decisions: keynote storyline and IFA demos.</w:t>
      </w:r>
    </w:p>
    <w:p w:rsidR="00000000" w:rsidDel="00000000" w:rsidP="00000000" w:rsidRDefault="00000000" w:rsidRPr="00000000" w14:paraId="0000001C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rihxa1nyvssd" w:id="11"/>
      <w:bookmarkEnd w:id="11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Agent Messaging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Resolve review comments and apply the same approved claim and disclaimer as the deck.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Keep the local-agent value proposition concrete and outcome-led.</w:t>
      </w:r>
    </w:p>
    <w:p w:rsidR="00000000" w:rsidDel="00000000" w:rsidP="00000000" w:rsidRDefault="00000000" w:rsidRPr="00000000" w14:paraId="0000001F">
      <w:pPr>
        <w:pStyle w:val="Heading2"/>
        <w:spacing w:after="40" w:before="160" w:lineRule="auto"/>
        <w:rPr>
          <w:b w:val="1"/>
          <w:bCs w:val="1"/>
          <w:color w:val="172554"/>
          <w:sz w:val="24"/>
          <w:szCs w:val="24"/>
        </w:rPr>
      </w:pPr>
      <w:bookmarkStart w:colFirst="0" w:colLast="0" w:name="_2kjlg1te1e0q" w:id="12"/>
      <w:bookmarkEnd w:id="12"/>
      <w:r w:rsidDel="00000000" w:rsidR="00000000" w:rsidRPr="00000000">
        <w:rPr>
          <w:b w:val="1"/>
          <w:bCs w:val="1"/>
          <w:color w:val="172554"/>
          <w:sz w:val="24"/>
          <w:szCs w:val="24"/>
          <w:rtl w:val="0"/>
        </w:rPr>
        <w:t xml:space="preserve">Campaign operations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Ask the PICs for the two missing lane updates.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Capture the marketing shoot date decision and unblock venue and crew booking.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  <w:rPr>
          <w:color w:val="1f2937"/>
          <w:u w:val="none"/>
        </w:rPr>
      </w:pPr>
      <w:r w:rsidDel="00000000" w:rsidR="00000000" w:rsidRPr="00000000">
        <w:rPr>
          <w:color w:val="1f2937"/>
          <w:rtl w:val="0"/>
        </w:rPr>
        <w:t xml:space="preserve">Record decisions and durable status changes in the Second Brain.</w:t>
      </w:r>
    </w:p>
    <w:p w:rsidR="00000000" w:rsidDel="00000000" w:rsidP="00000000" w:rsidRDefault="00000000" w:rsidRPr="00000000" w14:paraId="00000023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98iniqpb611j" w:id="13"/>
      <w:bookmarkEnd w:id="13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Working files</w:t>
      </w:r>
    </w:p>
    <w:p w:rsidR="00000000" w:rsidDel="00000000" w:rsidP="00000000" w:rsidRDefault="00000000" w:rsidRPr="00000000" w14:paraId="00000024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Campaign tracker: </w:t>
      </w:r>
      <w:hyperlink r:id="rId6">
        <w:r w:rsidDel="00000000" w:rsidR="00000000" w:rsidRPr="00000000">
          <w:rPr>
            <w:color w:val="1d4ed8"/>
            <w:u w:val="single"/>
            <w:rtl w:val="0"/>
          </w:rPr>
          <w:t xml:space="preserve">SHEET_URL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Exec Review deck: </w:t>
      </w:r>
      <w:hyperlink r:id="rId7">
        <w:r w:rsidDel="00000000" w:rsidR="00000000" w:rsidRPr="00000000">
          <w:rPr>
            <w:color w:val="1d4ed8"/>
            <w:u w:val="single"/>
            <w:rtl w:val="0"/>
          </w:rPr>
          <w:t xml:space="preserve">DECK_URL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1d4ed8"/>
          <w:u w:val="single"/>
        </w:rPr>
      </w:pPr>
      <w:r w:rsidDel="00000000" w:rsidR="00000000" w:rsidRPr="00000000">
        <w:rPr>
          <w:color w:val="1f2937"/>
          <w:rtl w:val="0"/>
        </w:rPr>
        <w:t xml:space="preserve">Legal + claims review: </w:t>
      </w:r>
      <w:hyperlink r:id="rId8">
        <w:r w:rsidDel="00000000" w:rsidR="00000000" w:rsidRPr="00000000">
          <w:rPr>
            <w:color w:val="1d4ed8"/>
            <w:u w:val="single"/>
            <w:rtl w:val="0"/>
          </w:rPr>
          <w:t xml:space="preserve">https://www.google.com/calendar/event?eid=M3Y3NjU4ZmI0cTY3czEyMjJvZzNrdGpxMjAgY2FsZWIuYWkuYWdlbnRAbQ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80" w:before="280" w:lineRule="auto"/>
        <w:rPr>
          <w:b w:val="1"/>
          <w:bCs w:val="1"/>
          <w:color w:val="1d4ed8"/>
          <w:sz w:val="32"/>
          <w:szCs w:val="32"/>
        </w:rPr>
      </w:pPr>
      <w:bookmarkStart w:colFirst="0" w:colLast="0" w:name="_350akf7im2el" w:id="14"/>
      <w:bookmarkEnd w:id="14"/>
      <w:r w:rsidDel="00000000" w:rsidR="00000000" w:rsidRPr="00000000">
        <w:rPr>
          <w:b w:val="1"/>
          <w:bCs w:val="1"/>
          <w:color w:val="1d4ed8"/>
          <w:sz w:val="32"/>
          <w:szCs w:val="32"/>
          <w:rtl w:val="0"/>
        </w:rPr>
        <w:t xml:space="preserve">Operating rule</w:t>
      </w:r>
    </w:p>
    <w:p w:rsidR="00000000" w:rsidDel="00000000" w:rsidP="00000000" w:rsidRDefault="00000000" w:rsidRPr="00000000" w14:paraId="00000028">
      <w:pPr>
        <w:rPr>
          <w:color w:val="1f2937"/>
        </w:rPr>
      </w:pPr>
      <w:r w:rsidDel="00000000" w:rsidR="00000000" w:rsidRPr="00000000">
        <w:rPr>
          <w:color w:val="1f2937"/>
          <w:rtl w:val="0"/>
        </w:rPr>
        <w:t xml:space="preserve">Refresh current email, Slack, and Calendar evidence before changing status. Keep internal source-system identifiers in provenance; use human titles and verified links in normal project writing.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SHEET_URL" TargetMode="External"/><Relationship Id="rId7" Type="http://schemas.openxmlformats.org/officeDocument/2006/relationships/hyperlink" Target="DECK_URL" TargetMode="External"/><Relationship Id="rId8" Type="http://schemas.openxmlformats.org/officeDocument/2006/relationships/hyperlink" Target="https://www.google.com/calendar/event?eid=M3Y3NjU4ZmI0cTY3czEyMjJvZzNrdGpxMjAgY2FsZWIuYWkuYWdlbnRAb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