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  <w:color w:val="172554"/>
        </w:rPr>
      </w:pPr>
      <w:bookmarkStart w:colFirst="0" w:colLast="0" w:name="_ownekdmyk0or" w:id="0"/>
      <w:bookmarkEnd w:id="0"/>
      <w:r w:rsidDel="00000000" w:rsidR="00000000" w:rsidRPr="00000000">
        <w:rPr>
          <w:b w:val="1"/>
          <w:bCs w:val="1"/>
          <w:color w:val="172554"/>
          <w:rtl w:val="0"/>
        </w:rPr>
        <w:t xml:space="preserve">RTX Spark Campaign Plan</w:t>
      </w:r>
    </w:p>
    <w:p w:rsidR="00000000" w:rsidDel="00000000" w:rsidP="00000000" w:rsidRDefault="00000000" w:rsidRPr="00000000" w14:paraId="00000002">
      <w:pPr>
        <w:rPr>
          <w:i w:val="1"/>
          <w:iCs w:val="1"/>
          <w:color w:val="64748b"/>
          <w:sz w:val="20"/>
          <w:szCs w:val="20"/>
        </w:rPr>
      </w:pPr>
      <w:r w:rsidDel="00000000" w:rsidR="00000000" w:rsidRPr="00000000">
        <w:rPr>
          <w:i w:val="1"/>
          <w:iCs w:val="1"/>
          <w:color w:val="64748b"/>
          <w:sz w:val="20"/>
          <w:szCs w:val="20"/>
          <w:rtl w:val="0"/>
        </w:rPr>
        <w:t xml:space="preserve">Decision-ready working plan</w:t>
      </w:r>
    </w:p>
    <w:p w:rsidR="00000000" w:rsidDel="00000000" w:rsidP="00000000" w:rsidRDefault="00000000" w:rsidRPr="00000000" w14:paraId="0000000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ceijanemlsuc" w:id="1"/>
      <w:bookmarkEnd w:id="1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Purpose</w:t>
      </w:r>
    </w:p>
    <w:p w:rsidR="00000000" w:rsidDel="00000000" w:rsidP="00000000" w:rsidRDefault="00000000" w:rsidRPr="00000000" w14:paraId="0000000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Make the local-AI value proposition concrete and keep the product claim consistent across the Exec Review deck, Agent Messaging, campaign tracker, and creative surfaces.</w:t>
      </w:r>
    </w:p>
    <w:p w:rsidR="00000000" w:rsidDel="00000000" w:rsidP="00000000" w:rsidRDefault="00000000" w:rsidRPr="00000000" w14:paraId="00000005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dh7ctwiwp3nd" w:id="2"/>
      <w:bookmarkEnd w:id="2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Campaign outcome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Lead with useful AI coworkers running locally; specifications support the promise but do not drive the story.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Leave the Exec Review with approval on the keynote storyline and alignment on the GTC demo slate.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Lock one performance claim and disclaimer, then propagate it without drift.</w:t>
      </w:r>
    </w:p>
    <w:p w:rsidR="00000000" w:rsidDel="00000000" w:rsidP="00000000" w:rsidRDefault="00000000" w:rsidRPr="00000000" w14:paraId="00000009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zbc44dy275ly" w:id="3"/>
      <w:bookmarkEnd w:id="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Current operating picture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The agent-first narrative direction is decided.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Revised performance wording has arrived, but exact approved figures are not yet captured in the Second Brain.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The marketing shoot is blocked because the planned venue is unavailable on Wednesday; a new date requires a decision.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Two campaign lanes are awaiting current owner updates.</w:t>
      </w:r>
    </w:p>
    <w:p w:rsidR="00000000" w:rsidDel="00000000" w:rsidP="00000000" w:rsidRDefault="00000000" w:rsidRPr="00000000" w14:paraId="0000000E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p9wua2kzu548" w:id="4"/>
      <w:bookmarkEnd w:id="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Decisions required</w:t>
      </w:r>
    </w:p>
    <w:p w:rsidR="00000000" w:rsidDel="00000000" w:rsidP="00000000" w:rsidRDefault="00000000" w:rsidRPr="00000000" w14:paraId="0000000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d04f7kcofm4d" w:id="5"/>
      <w:bookmarkEnd w:id="5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1. Keynote storyline</w:t>
      </w:r>
    </w:p>
    <w:p w:rsidR="00000000" w:rsidDel="00000000" w:rsidP="00000000" w:rsidRDefault="00000000" w:rsidRPr="00000000" w14:paraId="00000010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Approve the agent-first narrative as the spine of the keynote. Product specifications and performance evidence should prove the promise, not compete with it.</w:t>
      </w:r>
    </w:p>
    <w:p w:rsidR="00000000" w:rsidDel="00000000" w:rsidP="00000000" w:rsidRDefault="00000000" w:rsidRPr="00000000" w14:paraId="00000011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n9vx1798u8nj" w:id="6"/>
      <w:bookmarkEnd w:id="6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2. GTC demo slate</w:t>
      </w:r>
    </w:p>
    <w:p w:rsidR="00000000" w:rsidDel="00000000" w:rsidP="00000000" w:rsidRDefault="00000000" w:rsidRPr="00000000" w14:paraId="00000012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Align on the demos that best prove the agent-first story. The current source material confirms this decision is needed but does not name an approved demo list; do not present a final slate until owners supply it.</w:t>
      </w:r>
    </w:p>
    <w:p w:rsidR="00000000" w:rsidDel="00000000" w:rsidP="00000000" w:rsidRDefault="00000000" w:rsidRPr="00000000" w14:paraId="00000013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s4modcqax92a" w:id="7"/>
      <w:bookmarkEnd w:id="7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3. Claims and disclaimer</w:t>
      </w:r>
    </w:p>
    <w:p w:rsidR="00000000" w:rsidDel="00000000" w:rsidP="00000000" w:rsidRDefault="00000000" w:rsidRPr="00000000" w14:paraId="0000001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Approve the final wording, comparison, disclaimer placement, and marketing owner for legal intake LGL-2026-0847. Do not invent or extrapolate performance numbers.</w:t>
      </w:r>
    </w:p>
    <w:p w:rsidR="00000000" w:rsidDel="00000000" w:rsidP="00000000" w:rsidRDefault="00000000" w:rsidRPr="00000000" w14:paraId="00000015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5vxp0e2k19ul" w:id="8"/>
      <w:bookmarkEnd w:id="8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4. Marketing shoot date</w:t>
      </w:r>
    </w:p>
    <w:p w:rsidR="00000000" w:rsidDel="00000000" w:rsidP="00000000" w:rsidRDefault="00000000" w:rsidRPr="00000000" w14:paraId="00000016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Choose a replacement date so Priya can rebook the venue and preserve downstream crew holds.</w:t>
      </w:r>
    </w:p>
    <w:p w:rsidR="00000000" w:rsidDel="00000000" w:rsidP="00000000" w:rsidRDefault="00000000" w:rsidRPr="00000000" w14:paraId="0000001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1t4ncs465xwf" w:id="9"/>
      <w:bookmarkEnd w:id="9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Workstreams</w:t>
      </w:r>
    </w:p>
    <w:p w:rsidR="00000000" w:rsidDel="00000000" w:rsidP="00000000" w:rsidRDefault="00000000" w:rsidRPr="00000000" w14:paraId="00000018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e5oojzkvg9to" w:id="10"/>
      <w:bookmarkEnd w:id="10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Exec Review deck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Update slide 4 only after the approved performance figures are captured.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Cut the standalone detail on slide 6 from the live flow and carry the relevant content into slide 7.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Protect slide 10 for the two decisions: keynote storyline and GTC demos.</w:t>
      </w:r>
    </w:p>
    <w:p w:rsidR="00000000" w:rsidDel="00000000" w:rsidP="00000000" w:rsidRDefault="00000000" w:rsidRPr="00000000" w14:paraId="0000001C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rihxa1nyvssd" w:id="11"/>
      <w:bookmarkEnd w:id="11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Agent Messaging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Resolve review comments and apply the same approved claim and disclaimer as the deck.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Keep the local-agent value proposition concrete and outcome-led.</w:t>
      </w:r>
    </w:p>
    <w:p w:rsidR="00000000" w:rsidDel="00000000" w:rsidP="00000000" w:rsidRDefault="00000000" w:rsidRPr="00000000" w14:paraId="0000001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2kjlg1te1e0q" w:id="12"/>
      <w:bookmarkEnd w:id="12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Campaign operations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Ask the PICs for the two missing lane updates.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Capture the marketing shoot date decision and unblock venue and crew booking.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Record decisions and durable status changes in the Second Brain.</w:t>
      </w:r>
    </w:p>
    <w:p w:rsidR="00000000" w:rsidDel="00000000" w:rsidP="00000000" w:rsidRDefault="00000000" w:rsidRPr="00000000" w14:paraId="0000002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98iniqpb611j" w:id="13"/>
      <w:bookmarkEnd w:id="1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Working files</w:t>
      </w:r>
    </w:p>
    <w:p w:rsidR="00000000" w:rsidDel="00000000" w:rsidP="00000000" w:rsidRDefault="00000000" w:rsidRPr="00000000" w14:paraId="00000024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Campaign tracker: </w:t>
      </w:r>
      <w:hyperlink r:id="rId6">
        <w:r w:rsidDel="00000000" w:rsidR="00000000" w:rsidRPr="00000000">
          <w:rPr>
            <w:color w:val="1d4ed8"/>
            <w:u w:val="single"/>
            <w:rtl w:val="0"/>
          </w:rPr>
          <w:t xml:space="preserve">SHEET_URL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Exec Review deck: </w:t>
      </w:r>
      <w:hyperlink r:id="rId7">
        <w:r w:rsidDel="00000000" w:rsidR="00000000" w:rsidRPr="00000000">
          <w:rPr>
            <w:color w:val="1d4ed8"/>
            <w:u w:val="single"/>
            <w:rtl w:val="0"/>
          </w:rPr>
          <w:t xml:space="preserve">DECK_URL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Legal + claims review: </w:t>
      </w:r>
      <w:hyperlink r:id="rId8">
        <w:r w:rsidDel="00000000" w:rsidR="00000000" w:rsidRPr="00000000">
          <w:rPr>
            <w:color w:val="1d4ed8"/>
            <w:u w:val="single"/>
            <w:rtl w:val="0"/>
          </w:rPr>
          <w:t xml:space="preserve">https://www.google.com/calendar/event?eid=M3Y3NjU4ZmI0cTY3czEyMjJvZzNrdGpxMjAgY2FsZWIuYWkuYWdlbnRAbQ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350akf7im2el" w:id="14"/>
      <w:bookmarkEnd w:id="1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Operating rule</w:t>
      </w:r>
    </w:p>
    <w:p w:rsidR="00000000" w:rsidDel="00000000" w:rsidP="00000000" w:rsidRDefault="00000000" w:rsidRPr="00000000" w14:paraId="00000028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Refresh current email, Slack, and Calendar evidence before changing status. Keep internal source-system identifiers in provenance; use human titles and verified links in normal project writing.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SHEET_URL" TargetMode="External"/><Relationship Id="rId7" Type="http://schemas.openxmlformats.org/officeDocument/2006/relationships/hyperlink" Target="DECK_URL" TargetMode="External"/><Relationship Id="rId8" Type="http://schemas.openxmlformats.org/officeDocument/2006/relationships/hyperlink" Target="https://www.google.com/calendar/event?eid=M3Y3NjU4ZmI0cTY3czEyMjJvZzNrdGpxMjAgY2FsZWIuYWkuYWdlbnRAb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