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rPr>
          <w:b w:val="1"/>
          <w:bCs w:val="1"/>
          <w:color w:val="172554"/>
        </w:rPr>
      </w:pPr>
      <w:bookmarkStart w:colFirst="0" w:colLast="0" w:name="_ownekdmyk0or" w:id="0"/>
      <w:bookmarkEnd w:id="0"/>
      <w:r w:rsidDel="00000000" w:rsidR="00000000" w:rsidRPr="00000000">
        <w:rPr>
          <w:b w:val="1"/>
          <w:bCs w:val="1"/>
          <w:color w:val="172554"/>
          <w:rtl w:val="0"/>
        </w:rPr>
        <w:t xml:space="preserve">RTX Spark Campaign Plan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64748b"/>
          <w:sz w:val="20"/>
          <w:szCs w:val="20"/>
        </w:rPr>
      </w:pPr>
      <w:r w:rsidDel="00000000" w:rsidR="00000000" w:rsidRPr="00000000">
        <w:rPr>
          <w:i w:val="1"/>
          <w:iCs w:val="1"/>
          <w:color w:val="64748b"/>
          <w:sz w:val="20"/>
          <w:szCs w:val="20"/>
          <w:rtl w:val="0"/>
        </w:rPr>
        <w:t xml:space="preserve">Decision-ready working plan</w:t>
      </w:r>
    </w:p>
    <w:p w:rsidR="00000000" w:rsidDel="00000000" w:rsidP="00000000" w:rsidRDefault="00000000" w:rsidRPr="00000000" w14:paraId="00000003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ceijanemlsuc" w:id="1"/>
      <w:bookmarkEnd w:id="1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Make the local-AI value proposition concrete and keep the product claim consistent across the Exec Review deck, Agent Messaging, campaign tracker, and creative surfaces.</w:t>
      </w:r>
    </w:p>
    <w:p w:rsidR="00000000" w:rsidDel="00000000" w:rsidP="00000000" w:rsidRDefault="00000000" w:rsidRPr="00000000" w14:paraId="00000005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dh7ctwiwp3nd" w:id="2"/>
      <w:bookmarkEnd w:id="2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Campaign outcome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Lead with useful AI coworkers running locally; specifications support the promise but do not drive the story.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Leave the Exec Review with approval on the keynote storyline and alignment on the GTC demo slate.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Keep the approved product specifications consistent, including “up to” and FP4.</w:t>
      </w:r>
    </w:p>
    <w:p w:rsidR="00000000" w:rsidDel="00000000" w:rsidP="00000000" w:rsidRDefault="00000000" w:rsidRPr="00000000" w14:paraId="00000009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zbc44dy275ly" w:id="3"/>
      <w:bookmarkEnd w:id="3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Current operating picture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The agent-first narrative direction is decided.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Approved product specifications have arrived, but the deck and campaign copy still need updating.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The marketing shoot is blocked because the planned venue is unavailable on Wednesday; a new date requires a decision.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Two campaign lanes are awaiting current owner updates.</w:t>
      </w:r>
    </w:p>
    <w:p w:rsidR="00000000" w:rsidDel="00000000" w:rsidP="00000000" w:rsidRDefault="00000000" w:rsidRPr="00000000" w14:paraId="0000000E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p9wua2kzu548" w:id="4"/>
      <w:bookmarkEnd w:id="4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Decisions required</w:t>
      </w:r>
    </w:p>
    <w:p w:rsidR="00000000" w:rsidDel="00000000" w:rsidP="00000000" w:rsidRDefault="00000000" w:rsidRPr="00000000" w14:paraId="0000000F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d04f7kcofm4d" w:id="5"/>
      <w:bookmarkEnd w:id="5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1. Keynote storyline</w:t>
      </w:r>
    </w:p>
    <w:p w:rsidR="00000000" w:rsidDel="00000000" w:rsidP="00000000" w:rsidRDefault="00000000" w:rsidRPr="00000000" w14:paraId="00000010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Approve the agent-first narrative as the spine of the keynote. Use the approved product specifications to support that story.</w:t>
      </w:r>
    </w:p>
    <w:p w:rsidR="00000000" w:rsidDel="00000000" w:rsidP="00000000" w:rsidRDefault="00000000" w:rsidRPr="00000000" w14:paraId="00000011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n9vx1798u8nj" w:id="6"/>
      <w:bookmarkEnd w:id="6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2. GTC demo slate</w:t>
      </w:r>
    </w:p>
    <w:p w:rsidR="00000000" w:rsidDel="00000000" w:rsidP="00000000" w:rsidRDefault="00000000" w:rsidRPr="00000000" w14:paraId="00000012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Align on the demos that best prove the agent-first story. The current source material confirms this decision is needed but does not name an approved demo list; do not present a final slate until owners supply it.</w:t>
      </w:r>
    </w:p>
    <w:p w:rsidR="00000000" w:rsidDel="00000000" w:rsidP="00000000" w:rsidRDefault="00000000" w:rsidRPr="00000000" w14:paraId="00000013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s4modcqax92a" w:id="7"/>
      <w:bookmarkEnd w:id="7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3. Product specifications</w:t>
      </w:r>
    </w:p>
    <w:p w:rsidR="00000000" w:rsidDel="00000000" w:rsidP="00000000" w:rsidRDefault="00000000" w:rsidRPr="00000000" w14:paraId="00000014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Confirm the specification wording and marketing owner for legal intake LGL-2026-0847. Keep “up to” and FP4 intact. Route final external copy through Legal.</w:t>
      </w:r>
    </w:p>
    <w:p w:rsidR="00000000" w:rsidDel="00000000" w:rsidP="00000000" w:rsidRDefault="00000000" w:rsidRPr="00000000" w14:paraId="00000015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5vxp0e2k19ul" w:id="8"/>
      <w:bookmarkEnd w:id="8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4. Marketing shoot date</w:t>
      </w:r>
    </w:p>
    <w:p w:rsidR="00000000" w:rsidDel="00000000" w:rsidP="00000000" w:rsidRDefault="00000000" w:rsidRPr="00000000" w14:paraId="00000016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Choose a replacement date so Priya can rebook the venue and preserve downstream crew holds.</w:t>
      </w:r>
    </w:p>
    <w:p w:rsidR="00000000" w:rsidDel="00000000" w:rsidP="00000000" w:rsidRDefault="00000000" w:rsidRPr="00000000" w14:paraId="00000017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1t4ncs465xwf" w:id="9"/>
      <w:bookmarkEnd w:id="9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Workstreams</w:t>
      </w:r>
    </w:p>
    <w:p w:rsidR="00000000" w:rsidDel="00000000" w:rsidP="00000000" w:rsidRDefault="00000000" w:rsidRPr="00000000" w14:paraId="00000018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e5oojzkvg9to" w:id="10"/>
      <w:bookmarkEnd w:id="10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Exec Review deck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Update slide 4 with Mike’s approved product specifications, retaining “up to” and FP4.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Cut the standalone detail on slide 6 from the live flow and carry the relevant content into slide 7.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Protect slide 10 for the two decisions: keynote storyline and GTC demos.</w:t>
      </w:r>
    </w:p>
    <w:p w:rsidR="00000000" w:rsidDel="00000000" w:rsidP="00000000" w:rsidRDefault="00000000" w:rsidRPr="00000000" w14:paraId="0000001C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rihxa1nyvssd" w:id="11"/>
      <w:bookmarkEnd w:id="11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Agent Messaging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Resolve review comments and apply the same approved specification wording as the deck.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Keep the local-agent value proposition concrete and outcome-led.</w:t>
      </w:r>
    </w:p>
    <w:p w:rsidR="00000000" w:rsidDel="00000000" w:rsidP="00000000" w:rsidRDefault="00000000" w:rsidRPr="00000000" w14:paraId="0000001F">
      <w:pPr>
        <w:pStyle w:val="Heading2"/>
        <w:spacing w:after="40" w:before="160" w:lineRule="auto"/>
        <w:rPr>
          <w:b w:val="1"/>
          <w:bCs w:val="1"/>
          <w:color w:val="172554"/>
          <w:sz w:val="24"/>
          <w:szCs w:val="24"/>
        </w:rPr>
      </w:pPr>
      <w:bookmarkStart w:colFirst="0" w:colLast="0" w:name="_2kjlg1te1e0q" w:id="12"/>
      <w:bookmarkEnd w:id="12"/>
      <w:r w:rsidDel="00000000" w:rsidR="00000000" w:rsidRPr="00000000">
        <w:rPr>
          <w:b w:val="1"/>
          <w:bCs w:val="1"/>
          <w:color w:val="172554"/>
          <w:sz w:val="24"/>
          <w:szCs w:val="24"/>
          <w:rtl w:val="0"/>
        </w:rPr>
        <w:t xml:space="preserve">Campaign operations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Ask the PICs for the two missing lane updates.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Capture the marketing shoot date decision and unblock venue and crew booking.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color w:val="1f2937"/>
          <w:u w:val="none"/>
        </w:rPr>
      </w:pPr>
      <w:r w:rsidDel="00000000" w:rsidR="00000000" w:rsidRPr="00000000">
        <w:rPr>
          <w:color w:val="1f2937"/>
          <w:rtl w:val="0"/>
        </w:rPr>
        <w:t xml:space="preserve">Record decisions and durable status changes in the Second Brain.</w:t>
      </w:r>
    </w:p>
    <w:p w:rsidR="00000000" w:rsidDel="00000000" w:rsidP="00000000" w:rsidRDefault="00000000" w:rsidRPr="00000000" w14:paraId="00000023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98iniqpb611j" w:id="13"/>
      <w:bookmarkEnd w:id="13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Working files</w:t>
      </w:r>
    </w:p>
    <w:p w:rsidR="00000000" w:rsidDel="00000000" w:rsidP="00000000" w:rsidRDefault="00000000" w:rsidRPr="00000000" w14:paraId="00000024">
      <w:pPr>
        <w:rPr>
          <w:color w:val="1d4ed8"/>
          <w:u w:val="single"/>
        </w:rPr>
      </w:pPr>
      <w:r w:rsidDel="00000000" w:rsidR="00000000" w:rsidRPr="00000000">
        <w:rPr>
          <w:color w:val="1f2937"/>
          <w:rtl w:val="0"/>
        </w:rPr>
        <w:t xml:space="preserve">Campaign tracker: </w:t>
      </w:r>
      <w:hyperlink r:id="rId6">
        <w:r w:rsidDel="00000000" w:rsidR="00000000" w:rsidRPr="00000000">
          <w:rPr>
            <w:color w:val="1d4ed8"/>
            <w:u w:val="single"/>
            <w:rtl w:val="0"/>
          </w:rPr>
          <w:t xml:space="preserve">SHEET_URL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d4ed8"/>
          <w:u w:val="single"/>
        </w:rPr>
      </w:pPr>
      <w:r w:rsidDel="00000000" w:rsidR="00000000" w:rsidRPr="00000000">
        <w:rPr>
          <w:color w:val="1f2937"/>
          <w:rtl w:val="0"/>
        </w:rPr>
        <w:t xml:space="preserve">Exec Review deck: </w:t>
      </w:r>
      <w:hyperlink r:id="rId7">
        <w:r w:rsidDel="00000000" w:rsidR="00000000" w:rsidRPr="00000000">
          <w:rPr>
            <w:color w:val="1d4ed8"/>
            <w:u w:val="single"/>
            <w:rtl w:val="0"/>
          </w:rPr>
          <w:t xml:space="preserve">DECK_URL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d4ed8"/>
          <w:u w:val="single"/>
        </w:rPr>
      </w:pPr>
      <w:r w:rsidDel="00000000" w:rsidR="00000000" w:rsidRPr="00000000">
        <w:rPr>
          <w:color w:val="1f2937"/>
          <w:rtl w:val="0"/>
        </w:rPr>
        <w:t xml:space="preserve">Legal + claims review: </w:t>
      </w:r>
      <w:hyperlink r:id="rId8">
        <w:r w:rsidDel="00000000" w:rsidR="00000000" w:rsidRPr="00000000">
          <w:rPr>
            <w:color w:val="1d4ed8"/>
            <w:u w:val="single"/>
            <w:rtl w:val="0"/>
          </w:rPr>
          <w:t xml:space="preserve">https://www.google.com/calendar/event?eid=M3Y3NjU4ZmI0cTY3czEyMjJvZzNrdGpxMjAgY2FsZWIuYWkuYWdlbnRAbQ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80" w:before="280" w:lineRule="auto"/>
        <w:rPr>
          <w:b w:val="1"/>
          <w:bCs w:val="1"/>
          <w:color w:val="1d4ed8"/>
          <w:sz w:val="32"/>
          <w:szCs w:val="32"/>
        </w:rPr>
      </w:pPr>
      <w:bookmarkStart w:colFirst="0" w:colLast="0" w:name="_350akf7im2el" w:id="14"/>
      <w:bookmarkEnd w:id="14"/>
      <w:r w:rsidDel="00000000" w:rsidR="00000000" w:rsidRPr="00000000">
        <w:rPr>
          <w:b w:val="1"/>
          <w:bCs w:val="1"/>
          <w:color w:val="1d4ed8"/>
          <w:sz w:val="32"/>
          <w:szCs w:val="32"/>
          <w:rtl w:val="0"/>
        </w:rPr>
        <w:t xml:space="preserve">Operating rule</w:t>
      </w:r>
    </w:p>
    <w:p w:rsidR="00000000" w:rsidDel="00000000" w:rsidP="00000000" w:rsidRDefault="00000000" w:rsidRPr="00000000" w14:paraId="00000028">
      <w:pPr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Refresh current email, Slack, and Calendar evidence before changing status. Keep internal source-system identifiers in provenance; use human titles and verified links in normal project writing.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SHEET_URL" TargetMode="External"/><Relationship Id="rId7" Type="http://schemas.openxmlformats.org/officeDocument/2006/relationships/hyperlink" Target="DECK_URL" TargetMode="External"/><Relationship Id="rId8" Type="http://schemas.openxmlformats.org/officeDocument/2006/relationships/hyperlink" Target="https://www.google.com/calendar/event?eid=M3Y3NjU4ZmI0cTY3czEyMjJvZzNrdGpxMjAgY2FsZWIuYWkuYWdlbnRAb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