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6F29" w14:textId="77777777" w:rsidR="003874BC" w:rsidRDefault="00A0355B">
      <w:pPr>
        <w:pStyle w:val="Title"/>
      </w:pPr>
      <w:r>
        <w:t>ASPIREAN WEALTH, LLC</w:t>
      </w:r>
    </w:p>
    <w:p w14:paraId="2B8F260E" w14:textId="77777777" w:rsidR="003874BC" w:rsidRDefault="00A0355B">
      <w:pPr>
        <w:pStyle w:val="Title"/>
      </w:pPr>
      <w:r>
        <w:t>EDUCATIONAL ASSISTANCE PLAN</w:t>
      </w:r>
    </w:p>
    <w:p w14:paraId="2DB3AD5F" w14:textId="67CD428A" w:rsidR="003874BC" w:rsidRPr="00B353A1" w:rsidRDefault="00A0355B">
      <w:pPr>
        <w:pStyle w:val="Subtitle"/>
        <w:rPr>
          <w:b/>
          <w:bCs/>
        </w:rPr>
      </w:pPr>
      <w:r w:rsidRPr="00B353A1">
        <w:rPr>
          <w:b/>
          <w:bCs/>
        </w:rPr>
        <w:t xml:space="preserve">A written plan under Section 127 of the Internal Revenue Code — Effective </w:t>
      </w:r>
      <w:r w:rsidR="00B90279" w:rsidRPr="00B353A1">
        <w:rPr>
          <w:b/>
          <w:bCs/>
        </w:rPr>
        <w:t>July 1, 2026</w:t>
      </w:r>
    </w:p>
    <w:p w14:paraId="610ED786" w14:textId="77777777" w:rsidR="003874BC" w:rsidRDefault="00A0355B">
      <w:pPr>
        <w:pStyle w:val="Heading1"/>
      </w:pPr>
      <w:r>
        <w:t>I. Purpose</w:t>
      </w:r>
    </w:p>
    <w:p w14:paraId="116F0A7F" w14:textId="77777777" w:rsidR="003874BC" w:rsidRDefault="00A0355B">
      <w:r>
        <w:t>Aspirean Wealth, LLC (the “Employer”) adopts this Educational Assistance Plan (the “Plan”) for the exclusive benefit of its Eligible Employees, to provide educational assistance in accordance with Section 127 of the Internal Revenue Code of 1986, as amended (the “Code”). The Plan is intended to qualify as an educational assistance program under Code Section 127, so that benefits provided under the Plan are excludable from the gross income of Eligible Employees to the extent permitted by law.</w:t>
      </w:r>
    </w:p>
    <w:p w14:paraId="6BF2634E" w14:textId="77777777" w:rsidR="003874BC" w:rsidRDefault="00A0355B">
      <w:pPr>
        <w:pStyle w:val="Heading1"/>
      </w:pPr>
      <w:r>
        <w:t>II. Definitions</w:t>
      </w:r>
    </w:p>
    <w:p w14:paraId="4CD897E1" w14:textId="77777777" w:rsidR="003874BC" w:rsidRDefault="00A0355B">
      <w:r>
        <w:rPr>
          <w:b/>
          <w:bCs/>
        </w:rPr>
        <w:t xml:space="preserve">A. “Eligible Employee” </w:t>
      </w:r>
      <w:r>
        <w:t>means any employee of the Employer who is regularly scheduled to work at least [30] hours per week and who has completed [90] days of continuous employment. Spouses and dependents of employees may not participate. Individuals classified by the Employer as independent contractors are not eligible.</w:t>
      </w:r>
    </w:p>
    <w:p w14:paraId="2C4765FC" w14:textId="77777777" w:rsidR="003874BC" w:rsidRDefault="00A0355B">
      <w:r>
        <w:rPr>
          <w:b/>
          <w:bCs/>
        </w:rPr>
        <w:t xml:space="preserve">B. “Education” </w:t>
      </w:r>
      <w:r>
        <w:t>means any form of instruction or training that improves or develops the capabilities of an individual, including courses of instruction, examinations, and professional certification programs (including, without limitation, the CERTIFIED FINANCIAL PLANNER™ certification program and examination). Education is not limited to courses that are job-related or part of a degree program.</w:t>
      </w:r>
    </w:p>
    <w:p w14:paraId="4A2046D1" w14:textId="77777777" w:rsidR="003874BC" w:rsidRDefault="00A0355B">
      <w:r>
        <w:rPr>
          <w:b/>
          <w:bCs/>
        </w:rPr>
        <w:t xml:space="preserve">C. “Educational Assistance” </w:t>
      </w:r>
      <w:r>
        <w:t>means the payment or reimbursement by the Employer of expenses incurred by or on behalf of an Eligible Employee for Education, including tuition, fees and similar payments (including examination and registration fees), books, supplies, and equipment. Educational Assistance does not include: (i) payment for tools or supplies (other than textbooks) that the Eligible Employee may retain after completing the course of instruction; (ii) meals, lodging, or transportation; or (iii) education involving sports, games, or hobbies, unless such education involves the business of the Employer or is required as part of a degree program.</w:t>
      </w:r>
    </w:p>
    <w:p w14:paraId="5349AAB3" w14:textId="77777777" w:rsidR="003874BC" w:rsidRDefault="00A0355B">
      <w:r>
        <w:rPr>
          <w:b/>
          <w:bCs/>
        </w:rPr>
        <w:t xml:space="preserve">D. “Plan Year” </w:t>
      </w:r>
      <w:r>
        <w:t>means the calendar year.</w:t>
      </w:r>
    </w:p>
    <w:p w14:paraId="4C2668A6" w14:textId="77777777" w:rsidR="003874BC" w:rsidRDefault="00A0355B">
      <w:pPr>
        <w:pStyle w:val="Heading1"/>
      </w:pPr>
      <w:r>
        <w:t>III. Benefits</w:t>
      </w:r>
    </w:p>
    <w:p w14:paraId="7889770D" w14:textId="77777777" w:rsidR="003874BC" w:rsidRDefault="00A0355B">
      <w:r>
        <w:rPr>
          <w:b/>
          <w:bCs/>
        </w:rPr>
        <w:t xml:space="preserve">A. Professional Designation Reimbursement (One-Time). </w:t>
      </w:r>
      <w:r>
        <w:t>The Employer will reimburse an Eligible Employee for substantiated expenses incurred in connection with obtaining a professional designation approved in advance by the Employer — including, without limitation, the CFP®, CFA®, CPA, EA, ChFC®, or CPWA® designations — in an amount not to exceed $2,500. This benefit is available one time per Eligible Employee during the Eligible Employee’s employment with the Employer, regardless of the number of designations pursued.</w:t>
      </w:r>
    </w:p>
    <w:p w14:paraId="4CA92A41" w14:textId="53F809C5" w:rsidR="003874BC" w:rsidRDefault="00A0355B">
      <w:r>
        <w:rPr>
          <w:b/>
          <w:bCs/>
        </w:rPr>
        <w:t xml:space="preserve">B. Annual Education Reimbursement. </w:t>
      </w:r>
      <w:r>
        <w:t xml:space="preserve">In addition, the Employer </w:t>
      </w:r>
      <w:r w:rsidR="00B353A1">
        <w:t xml:space="preserve">may </w:t>
      </w:r>
      <w:r>
        <w:t>reimburse each Eligible Employee for substantiated Educational Assistance expenses — including continuing education courses, examination and registration fees, and books and materials — in an amount not to exceed $[1,000] per Eligible Employee per Plan Year. This annual limit applies uniformly to all Eligible Employees. Unused amounts may not be carried forward to a subsequent Plan Year.</w:t>
      </w:r>
    </w:p>
    <w:p w14:paraId="10C6D542" w14:textId="77777777" w:rsidR="003874BC" w:rsidRDefault="00A0355B">
      <w:r>
        <w:rPr>
          <w:b/>
          <w:bCs/>
        </w:rPr>
        <w:lastRenderedPageBreak/>
        <w:t xml:space="preserve">C. Combined Limit. </w:t>
      </w:r>
      <w:r>
        <w:t>In no event will the total benefits provided to an Eligible Employee under this Plan in any Plan Year exceed the maximum amount excludable under Code Section 127(a)(2) ($5,250, as adjusted for increases in the cost of living for taxable years beginning after 2026).</w:t>
      </w:r>
    </w:p>
    <w:p w14:paraId="36F0100E" w14:textId="77777777" w:rsidR="003874BC" w:rsidRDefault="00A0355B">
      <w:r>
        <w:rPr>
          <w:b/>
          <w:bCs/>
        </w:rPr>
        <w:t xml:space="preserve">D. Substantiation Limit. </w:t>
      </w:r>
      <w:r>
        <w:t>Reimbursement under any provision of this Plan is limited to expenses actually incurred and substantiated by the Eligible Employee. Where substantiated expenses exceed an applicable limit or the amount approved for reimbursement, the Employer’s obligation is limited to the approved amount, and the balance remains the sole responsibility of the Eligible Employee.</w:t>
      </w:r>
    </w:p>
    <w:p w14:paraId="32A4C313" w14:textId="77777777" w:rsidR="003874BC" w:rsidRDefault="00A0355B">
      <w:pPr>
        <w:pStyle w:val="Heading1"/>
      </w:pPr>
      <w:r>
        <w:t>IV. Nondiscrimination</w:t>
      </w:r>
    </w:p>
    <w:p w14:paraId="75DC8F82" w14:textId="77777777" w:rsidR="003874BC" w:rsidRDefault="00A0355B">
      <w:r>
        <w:t>A. The Plan shall not discriminate in favor of employees who are highly compensated employees within the meaning of Code Section 414(q), and shall be administered in compliance with Code Section 127(b)(2).</w:t>
      </w:r>
    </w:p>
    <w:p w14:paraId="297A65BD" w14:textId="77777777" w:rsidR="003874BC" w:rsidRDefault="00A0355B">
      <w:r>
        <w:t>B. In accordance with Code Section 127(b)(3), no more than five percent (5%) of the amounts paid or incurred by the Employer for Educational Assistance during any Plan Year may be provided to individuals who own (directly or by attribution) more than five percent (5%) of the equity or capital or profits interests of the Employer, or to their spouses or dependents.</w:t>
      </w:r>
    </w:p>
    <w:p w14:paraId="579DD2B5" w14:textId="77777777" w:rsidR="003874BC" w:rsidRDefault="00A0355B">
      <w:pPr>
        <w:pStyle w:val="Heading1"/>
      </w:pPr>
      <w:r>
        <w:t>V. No Choice of Cash or Other Benefits</w:t>
      </w:r>
    </w:p>
    <w:p w14:paraId="5CA95BCB" w14:textId="77777777" w:rsidR="003874BC" w:rsidRDefault="00A0355B">
      <w:r>
        <w:t>Eligible Employees may not choose between Educational Assistance under this Plan and any other remuneration includible in gross income. Benefits under this Plan are provided only as reimbursement of substantiated educational expenses.</w:t>
      </w:r>
    </w:p>
    <w:p w14:paraId="6833661E" w14:textId="77777777" w:rsidR="003874BC" w:rsidRDefault="00A0355B">
      <w:pPr>
        <w:pStyle w:val="Heading1"/>
      </w:pPr>
      <w:r>
        <w:t>VI. Substantiation and Payment</w:t>
      </w:r>
    </w:p>
    <w:p w14:paraId="16E171E8" w14:textId="77777777" w:rsidR="003874BC" w:rsidRDefault="00A0355B">
      <w:r>
        <w:t>A. To receive reimbursement, an Eligible Employee must submit a completed Educational Assistance Reimbursement Request Form, together with itemized receipts, invoices, or other documentation sufficient to substantiate the amount, date, and educational nature of each expense.</w:t>
      </w:r>
    </w:p>
    <w:p w14:paraId="61DB7F10" w14:textId="77777777" w:rsidR="003874BC" w:rsidRDefault="00A0355B">
      <w:r>
        <w:t>B. Requests must be submitted within [90] days after the expense is incurred or the examination is completed, unless the Employer permits a longer period in writing.</w:t>
      </w:r>
    </w:p>
    <w:p w14:paraId="3CA661FA" w14:textId="77777777" w:rsidR="003874BC" w:rsidRDefault="00A0355B">
      <w:r>
        <w:t>C. Approved reimbursements will be paid directly to the Eligible Employee through the Employer’s accounts payable process. Amounts properly excludable under Code Section 127 will not be reported as wages on Form W-2 and will not be subject to income or employment tax withholding. Any amounts that are not excludable will be treated as wages and processed through payroll with applicable withholding.</w:t>
      </w:r>
    </w:p>
    <w:p w14:paraId="56099381" w14:textId="77777777" w:rsidR="003874BC" w:rsidRDefault="00A0355B">
      <w:r>
        <w:t>D. An Eligible Employee may not claim any federal income tax deduction or credit with respect to any amount excluded from income under this Plan.</w:t>
      </w:r>
    </w:p>
    <w:p w14:paraId="486C93FB" w14:textId="77777777" w:rsidR="003874BC" w:rsidRDefault="00A0355B">
      <w:pPr>
        <w:pStyle w:val="Heading1"/>
      </w:pPr>
      <w:r>
        <w:t>VII. Funding</w:t>
      </w:r>
    </w:p>
    <w:p w14:paraId="0875CF0A" w14:textId="77777777" w:rsidR="003874BC" w:rsidRDefault="00A0355B">
      <w:r>
        <w:t>Benefits under this Plan are paid from the general assets of the Employer. The Plan is unfunded, and no Eligible Employee has any vested right to benefits except as to substantiated expenses approved for reimbursement.</w:t>
      </w:r>
    </w:p>
    <w:p w14:paraId="065842F5" w14:textId="77777777" w:rsidR="00B353A1" w:rsidRDefault="00B353A1">
      <w:pPr>
        <w:pStyle w:val="Heading1"/>
      </w:pPr>
    </w:p>
    <w:p w14:paraId="351685DF" w14:textId="77777777" w:rsidR="00B353A1" w:rsidRDefault="00B353A1">
      <w:pPr>
        <w:pStyle w:val="Heading1"/>
      </w:pPr>
    </w:p>
    <w:p w14:paraId="62B477B7" w14:textId="77777777" w:rsidR="00B353A1" w:rsidRDefault="00B353A1">
      <w:pPr>
        <w:pStyle w:val="Heading1"/>
      </w:pPr>
    </w:p>
    <w:p w14:paraId="2A9477B8" w14:textId="3C1A9435" w:rsidR="003874BC" w:rsidRDefault="00A0355B">
      <w:pPr>
        <w:pStyle w:val="Heading1"/>
      </w:pPr>
      <w:r>
        <w:t>VIII. Notification to Employees</w:t>
      </w:r>
    </w:p>
    <w:p w14:paraId="1CC19374" w14:textId="77777777" w:rsidR="003874BC" w:rsidRDefault="00A0355B">
      <w:r>
        <w:t>The Employer shall provide reasonable notification of the availability and terms of the Plan to all Eligible Employees.</w:t>
      </w:r>
    </w:p>
    <w:p w14:paraId="4942992A" w14:textId="77777777" w:rsidR="003874BC" w:rsidRDefault="00A0355B">
      <w:pPr>
        <w:pStyle w:val="Heading1"/>
      </w:pPr>
      <w:r>
        <w:t>IX. Administration, Amendment, and Termination</w:t>
      </w:r>
    </w:p>
    <w:p w14:paraId="1AFAB9CD" w14:textId="77777777" w:rsidR="003874BC" w:rsidRDefault="00A0355B">
      <w:r>
        <w:t>The Plan is administered by the Employer, which has full discretionary authority to interpret the Plan and determine eligibility for and the amount of benefits. The Employer may amend or terminate the Plan at any time, in whole or in part, by written action; provided that no amendment or termination shall affect an Eligible Employee’s right to reimbursement of expenses previously approved.</w:t>
      </w:r>
    </w:p>
    <w:p w14:paraId="1FB6A346" w14:textId="77777777" w:rsidR="003874BC" w:rsidRDefault="00A0355B">
      <w:pPr>
        <w:pStyle w:val="Heading1"/>
      </w:pPr>
      <w:r>
        <w:t>X. No Employment Rights</w:t>
      </w:r>
    </w:p>
    <w:p w14:paraId="3CA277F1" w14:textId="77777777" w:rsidR="003874BC" w:rsidRDefault="00A0355B">
      <w:r>
        <w:t>Nothing in this Plan confers any right to continued employment. Employment with the Employer remains at will.</w:t>
      </w:r>
    </w:p>
    <w:p w14:paraId="3FE02547" w14:textId="77777777" w:rsidR="003874BC" w:rsidRDefault="00A0355B">
      <w:pPr>
        <w:pStyle w:val="Heading1"/>
      </w:pPr>
      <w:r>
        <w:t>XI. Governing Law</w:t>
      </w:r>
    </w:p>
    <w:p w14:paraId="1502EEA3" w14:textId="77777777" w:rsidR="003874BC" w:rsidRDefault="00A0355B">
      <w:r>
        <w:t>This Plan shall be construed and enforced according to the laws of the State of California, to the extent not preempted by federal law.</w:t>
      </w:r>
    </w:p>
    <w:p w14:paraId="2C898E86" w14:textId="77777777" w:rsidR="003874BC" w:rsidRDefault="00A0355B">
      <w:pPr>
        <w:pStyle w:val="Heading1"/>
      </w:pPr>
      <w:r>
        <w:t>XII. Adoption</w:t>
      </w:r>
    </w:p>
    <w:p w14:paraId="342D8412" w14:textId="77777777" w:rsidR="003874BC" w:rsidRDefault="00A0355B">
      <w:r>
        <w:t>This Plan is adopted and effective as of the date signed below.</w:t>
      </w:r>
    </w:p>
    <w:p w14:paraId="513074C3" w14:textId="71263AE4" w:rsidR="003874BC" w:rsidRDefault="0099654A">
      <w:pPr>
        <w:spacing w:before="420" w:after="40"/>
      </w:pPr>
      <w:r>
        <w:rPr>
          <w:noProof/>
          <w:color w:val="333333"/>
        </w:rPr>
        <mc:AlternateContent>
          <mc:Choice Requires="wpi">
            <w:drawing>
              <wp:anchor distT="0" distB="0" distL="114300" distR="114300" simplePos="0" relativeHeight="251662336" behindDoc="0" locked="0" layoutInCell="1" allowOverlap="1" wp14:anchorId="62AE3A08" wp14:editId="2A4D03AC">
                <wp:simplePos x="0" y="0"/>
                <wp:positionH relativeFrom="column">
                  <wp:posOffset>775020</wp:posOffset>
                </wp:positionH>
                <wp:positionV relativeFrom="paragraph">
                  <wp:posOffset>-28965</wp:posOffset>
                </wp:positionV>
                <wp:extent cx="1229760" cy="351000"/>
                <wp:effectExtent l="38100" t="38100" r="46990" b="49530"/>
                <wp:wrapNone/>
                <wp:docPr id="1820889265"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1229760" cy="351000"/>
                      </w14:xfrm>
                    </w14:contentPart>
                  </a:graphicData>
                </a:graphic>
              </wp:anchor>
            </w:drawing>
          </mc:Choice>
          <mc:Fallback>
            <w:pict>
              <v:shapetype w14:anchorId="1F78CE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60.55pt;margin-top:-2.8pt;width:97.85pt;height:28.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">
                <v:imagedata r:id="rId11" o:title=""/>
              </v:shape>
            </w:pict>
          </mc:Fallback>
        </mc:AlternateContent>
      </w:r>
      <w:r>
        <w:rPr>
          <w:noProof/>
          <w:color w:val="333333"/>
        </w:rPr>
        <mc:AlternateContent>
          <mc:Choice Requires="wpi">
            <w:drawing>
              <wp:anchor distT="0" distB="0" distL="114300" distR="114300" simplePos="0" relativeHeight="251661312" behindDoc="0" locked="0" layoutInCell="1" allowOverlap="1" wp14:anchorId="0594D9D9" wp14:editId="297124F4">
                <wp:simplePos x="0" y="0"/>
                <wp:positionH relativeFrom="column">
                  <wp:posOffset>136525</wp:posOffset>
                </wp:positionH>
                <wp:positionV relativeFrom="paragraph">
                  <wp:posOffset>43180</wp:posOffset>
                </wp:positionV>
                <wp:extent cx="789235" cy="215315"/>
                <wp:effectExtent l="38100" t="38100" r="49530" b="51435"/>
                <wp:wrapNone/>
                <wp:docPr id="19092868"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789235" cy="215315"/>
                      </w14:xfrm>
                    </w14:contentPart>
                  </a:graphicData>
                </a:graphic>
              </wp:anchor>
            </w:drawing>
          </mc:Choice>
          <mc:Fallback>
            <w:pict>
              <v:shape w14:anchorId="23D77344" id="Ink 4" o:spid="_x0000_s1026" type="#_x0000_t75" style="position:absolute;margin-left:10.25pt;margin-top:2.9pt;width:63.15pt;height:17.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">
                <v:imagedata r:id="rId13" o:title=""/>
              </v:shape>
            </w:pict>
          </mc:Fallback>
        </mc:AlternateContent>
      </w:r>
      <w:r w:rsidR="00A0355B">
        <w:rPr>
          <w:color w:val="333333"/>
        </w:rPr>
        <w:t>_________________________________________</w:t>
      </w:r>
    </w:p>
    <w:p w14:paraId="4AFC4EF5" w14:textId="113E6FB1" w:rsidR="003874BC" w:rsidRDefault="00A0355B">
      <w:r>
        <w:t>Chris Winkler, Principal — Aspirean Wealth, LLC</w:t>
      </w:r>
    </w:p>
    <w:p w14:paraId="4C6DD8FB" w14:textId="398DB11B" w:rsidR="003874BC" w:rsidRDefault="00A0355B">
      <w:pPr>
        <w:spacing w:before="420" w:after="40"/>
      </w:pPr>
      <w:r>
        <w:rPr>
          <w:color w:val="333333"/>
        </w:rPr>
        <w:t>____</w:t>
      </w:r>
      <w:r w:rsidR="0099654A" w:rsidRPr="0099654A">
        <w:rPr>
          <w:color w:val="333333"/>
          <w:sz w:val="32"/>
          <w:szCs w:val="32"/>
          <w:u w:val="single"/>
        </w:rPr>
        <w:t>7/1/26</w:t>
      </w:r>
      <w:r>
        <w:rPr>
          <w:color w:val="333333"/>
        </w:rPr>
        <w:t>_____________________________________</w:t>
      </w:r>
    </w:p>
    <w:p w14:paraId="2D29F611" w14:textId="77777777" w:rsidR="003874BC" w:rsidRDefault="00A0355B">
      <w:r>
        <w:t>Date</w:t>
      </w:r>
    </w:p>
    <w:sectPr w:rsidR="003874BC">
      <w:footerReference w:type="default" r:id="rId14"/>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F1D26" w14:textId="77777777" w:rsidR="00F54DDE" w:rsidRDefault="00F54DDE">
      <w:pPr>
        <w:spacing w:after="0" w:line="240" w:lineRule="auto"/>
      </w:pPr>
      <w:r>
        <w:separator/>
      </w:r>
    </w:p>
  </w:endnote>
  <w:endnote w:type="continuationSeparator" w:id="0">
    <w:p w14:paraId="2A4CDC16" w14:textId="77777777" w:rsidR="00F54DDE" w:rsidRDefault="00F54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B79A" w14:textId="77777777" w:rsidR="003874BC" w:rsidRDefault="00A0355B">
    <w:pPr>
      <w:pBdr>
        <w:top w:val="single" w:sz="4" w:space="0" w:color="BBBBBB"/>
      </w:pBdr>
      <w:tabs>
        <w:tab w:val="right" w:pos="9360"/>
      </w:tabs>
    </w:pPr>
    <w:r>
      <w:rPr>
        <w:i/>
        <w:iCs/>
        <w:color w:val="777777"/>
        <w:sz w:val="16"/>
        <w:szCs w:val="16"/>
      </w:rPr>
      <w:t>Educational Assistance Plan — DRAFT for review by counsel. Not legal or tax advice.</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B9027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7144C" w14:textId="77777777" w:rsidR="00F54DDE" w:rsidRDefault="00F54DDE">
      <w:pPr>
        <w:spacing w:after="0" w:line="240" w:lineRule="auto"/>
      </w:pPr>
      <w:r>
        <w:separator/>
      </w:r>
    </w:p>
  </w:footnote>
  <w:footnote w:type="continuationSeparator" w:id="0">
    <w:p w14:paraId="1199D06B" w14:textId="77777777" w:rsidR="00F54DDE" w:rsidRDefault="00F54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550C"/>
    <w:multiLevelType w:val="hybridMultilevel"/>
    <w:tmpl w:val="ED78D1E6"/>
    <w:lvl w:ilvl="0" w:tplc="205CE4F4">
      <w:start w:val="1"/>
      <w:numFmt w:val="bullet"/>
      <w:lvlText w:val="•"/>
      <w:lvlJc w:val="left"/>
      <w:pPr>
        <w:ind w:left="460" w:hanging="260"/>
      </w:pPr>
    </w:lvl>
    <w:lvl w:ilvl="1" w:tplc="29FABF96">
      <w:numFmt w:val="decimal"/>
      <w:lvlText w:val=""/>
      <w:lvlJc w:val="left"/>
    </w:lvl>
    <w:lvl w:ilvl="2" w:tplc="81E25F9C">
      <w:numFmt w:val="decimal"/>
      <w:lvlText w:val=""/>
      <w:lvlJc w:val="left"/>
    </w:lvl>
    <w:lvl w:ilvl="3" w:tplc="49F84612">
      <w:numFmt w:val="decimal"/>
      <w:lvlText w:val=""/>
      <w:lvlJc w:val="left"/>
    </w:lvl>
    <w:lvl w:ilvl="4" w:tplc="9B2EB4EA">
      <w:numFmt w:val="decimal"/>
      <w:lvlText w:val=""/>
      <w:lvlJc w:val="left"/>
    </w:lvl>
    <w:lvl w:ilvl="5" w:tplc="29088A64">
      <w:numFmt w:val="decimal"/>
      <w:lvlText w:val=""/>
      <w:lvlJc w:val="left"/>
    </w:lvl>
    <w:lvl w:ilvl="6" w:tplc="B728F686">
      <w:numFmt w:val="decimal"/>
      <w:lvlText w:val=""/>
      <w:lvlJc w:val="left"/>
    </w:lvl>
    <w:lvl w:ilvl="7" w:tplc="F4BED744">
      <w:numFmt w:val="decimal"/>
      <w:lvlText w:val=""/>
      <w:lvlJc w:val="left"/>
    </w:lvl>
    <w:lvl w:ilvl="8" w:tplc="C7DE3CD4">
      <w:numFmt w:val="decimal"/>
      <w:lvlText w:val=""/>
      <w:lvlJc w:val="left"/>
    </w:lvl>
  </w:abstractNum>
  <w:abstractNum w:abstractNumId="1" w15:restartNumberingAfterBreak="0">
    <w:nsid w:val="2C4464F4"/>
    <w:multiLevelType w:val="hybridMultilevel"/>
    <w:tmpl w:val="7F067CC4"/>
    <w:lvl w:ilvl="0" w:tplc="E7BEEC38">
      <w:start w:val="1"/>
      <w:numFmt w:val="upperRoman"/>
      <w:lvlText w:val="%1."/>
      <w:lvlJc w:val="left"/>
      <w:pPr>
        <w:ind w:left="560" w:hanging="560"/>
      </w:pPr>
    </w:lvl>
    <w:lvl w:ilvl="1" w:tplc="9EBAF6A4">
      <w:numFmt w:val="decimal"/>
      <w:lvlText w:val=""/>
      <w:lvlJc w:val="left"/>
    </w:lvl>
    <w:lvl w:ilvl="2" w:tplc="96024AD4">
      <w:numFmt w:val="decimal"/>
      <w:lvlText w:val=""/>
      <w:lvlJc w:val="left"/>
    </w:lvl>
    <w:lvl w:ilvl="3" w:tplc="2F0AFA00">
      <w:numFmt w:val="decimal"/>
      <w:lvlText w:val=""/>
      <w:lvlJc w:val="left"/>
    </w:lvl>
    <w:lvl w:ilvl="4" w:tplc="957430A8">
      <w:numFmt w:val="decimal"/>
      <w:lvlText w:val=""/>
      <w:lvlJc w:val="left"/>
    </w:lvl>
    <w:lvl w:ilvl="5" w:tplc="EF621014">
      <w:numFmt w:val="decimal"/>
      <w:lvlText w:val=""/>
      <w:lvlJc w:val="left"/>
    </w:lvl>
    <w:lvl w:ilvl="6" w:tplc="0AFCD1BC">
      <w:numFmt w:val="decimal"/>
      <w:lvlText w:val=""/>
      <w:lvlJc w:val="left"/>
    </w:lvl>
    <w:lvl w:ilvl="7" w:tplc="CE648086">
      <w:numFmt w:val="decimal"/>
      <w:lvlText w:val=""/>
      <w:lvlJc w:val="left"/>
    </w:lvl>
    <w:lvl w:ilvl="8" w:tplc="0C8E13DA">
      <w:numFmt w:val="decimal"/>
      <w:lvlText w:val=""/>
      <w:lvlJc w:val="left"/>
    </w:lvl>
  </w:abstractNum>
  <w:abstractNum w:abstractNumId="2" w15:restartNumberingAfterBreak="0">
    <w:nsid w:val="44EC5B5C"/>
    <w:multiLevelType w:val="hybridMultilevel"/>
    <w:tmpl w:val="3AD094F6"/>
    <w:lvl w:ilvl="0" w:tplc="0B9002DE">
      <w:start w:val="1"/>
      <w:numFmt w:val="bullet"/>
      <w:lvlText w:val="●"/>
      <w:lvlJc w:val="left"/>
      <w:pPr>
        <w:ind w:left="720" w:hanging="360"/>
      </w:pPr>
    </w:lvl>
    <w:lvl w:ilvl="1" w:tplc="5BC4F236">
      <w:start w:val="1"/>
      <w:numFmt w:val="bullet"/>
      <w:lvlText w:val="○"/>
      <w:lvlJc w:val="left"/>
      <w:pPr>
        <w:ind w:left="1440" w:hanging="360"/>
      </w:pPr>
    </w:lvl>
    <w:lvl w:ilvl="2" w:tplc="8D3A753E">
      <w:start w:val="1"/>
      <w:numFmt w:val="bullet"/>
      <w:lvlText w:val="■"/>
      <w:lvlJc w:val="left"/>
      <w:pPr>
        <w:ind w:left="2160" w:hanging="360"/>
      </w:pPr>
    </w:lvl>
    <w:lvl w:ilvl="3" w:tplc="310AA3F8">
      <w:start w:val="1"/>
      <w:numFmt w:val="bullet"/>
      <w:lvlText w:val="●"/>
      <w:lvlJc w:val="left"/>
      <w:pPr>
        <w:ind w:left="2880" w:hanging="360"/>
      </w:pPr>
    </w:lvl>
    <w:lvl w:ilvl="4" w:tplc="CAF22DB0">
      <w:start w:val="1"/>
      <w:numFmt w:val="bullet"/>
      <w:lvlText w:val="○"/>
      <w:lvlJc w:val="left"/>
      <w:pPr>
        <w:ind w:left="3600" w:hanging="360"/>
      </w:pPr>
    </w:lvl>
    <w:lvl w:ilvl="5" w:tplc="0E50512A">
      <w:start w:val="1"/>
      <w:numFmt w:val="bullet"/>
      <w:lvlText w:val="■"/>
      <w:lvlJc w:val="left"/>
      <w:pPr>
        <w:ind w:left="4320" w:hanging="360"/>
      </w:pPr>
    </w:lvl>
    <w:lvl w:ilvl="6" w:tplc="201E810E">
      <w:start w:val="1"/>
      <w:numFmt w:val="bullet"/>
      <w:lvlText w:val="●"/>
      <w:lvlJc w:val="left"/>
      <w:pPr>
        <w:ind w:left="5040" w:hanging="360"/>
      </w:pPr>
    </w:lvl>
    <w:lvl w:ilvl="7" w:tplc="6FE62356">
      <w:start w:val="1"/>
      <w:numFmt w:val="bullet"/>
      <w:lvlText w:val="●"/>
      <w:lvlJc w:val="left"/>
      <w:pPr>
        <w:ind w:left="5760" w:hanging="360"/>
      </w:pPr>
    </w:lvl>
    <w:lvl w:ilvl="8" w:tplc="F72E260E">
      <w:start w:val="1"/>
      <w:numFmt w:val="bullet"/>
      <w:lvlText w:val="●"/>
      <w:lvlJc w:val="left"/>
      <w:pPr>
        <w:ind w:left="6480" w:hanging="360"/>
      </w:pPr>
    </w:lvl>
  </w:abstractNum>
  <w:num w:numId="1" w16cid:durableId="797616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4BC"/>
    <w:rsid w:val="003874BC"/>
    <w:rsid w:val="003B6ADB"/>
    <w:rsid w:val="004C0715"/>
    <w:rsid w:val="00742A12"/>
    <w:rsid w:val="0099654A"/>
    <w:rsid w:val="00A0355B"/>
    <w:rsid w:val="00B353A1"/>
    <w:rsid w:val="00B90279"/>
    <w:rsid w:val="00F54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35374"/>
  <w15:docId w15:val="{08112F3B-F3F3-45E9-A711-E64277438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B2A4A"/>
      <w:sz w:val="25"/>
      <w:szCs w:val="2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jc w:val="center"/>
    </w:pPr>
    <w:rPr>
      <w:b/>
      <w:bCs/>
      <w:color w:val="1B2A4A"/>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320"/>
      <w:jc w:val="center"/>
    </w:pPr>
    <w:rPr>
      <w:i/>
      <w:i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ustomXml" Target="ink/ink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ustomXml" Target="ink/ink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02:28:57.554"/>
    </inkml:context>
    <inkml:brush xml:id="br0">
      <inkml:brushProperty name="width" value="0.035" units="cm"/>
      <inkml:brushProperty name="height" value="0.035" units="cm"/>
      <inkml:brushProperty name="color" value="#004F8B"/>
    </inkml:brush>
  </inkml:definitions>
  <inkml:trace contextRef="#ctx0" brushRef="#br0">824 1 24575,'-220'204'0,"81"-78"0,-221 186 0,318-277 0,26-22 0,11-10 0,1 0 0,-1 1 0,0 0 0,1 0 0,0 0 0,0 1 0,0-1 0,1 1 0,-5 7 0,8-12 0,0 1 0,0-1 0,0 1 0,0-1 0,0 0 0,-1 1 0,1-1 0,0 0 0,0 1 0,0-1 0,0 1 0,0-1 0,0 0 0,0 1 0,0-1 0,0 0 0,1 1 0,-1-1 0,0 1 0,0-1 0,0 0 0,0 1 0,0-1 0,1 0 0,-1 1 0,0-1 0,0 0 0,1 1 0,-1-1 0,0 0 0,0 0 0,1 1 0,-1-1 0,0 0 0,1 0 0,-1 0 0,0 1 0,1-1 0,-1 0 0,0 0 0,1 0 0,-1 0 0,1 0 0,22 2 0,7-5 0,-1-1 0,45-13 0,-44 10 0,82-20 0,443-92 0,-457 104 0,0 5 0,1 4 0,175 12 0,-202 2 0,-1 3 0,0 3 0,118 41 0,-144-38 0,0 2 0,-2 1 0,0 3 0,-1 1 0,-2 3 0,57 46 0,-58-34 0,-32-31 0,0 0 0,1 0 0,0-1 0,0 0 0,0-1 0,1 0 0,0 0 0,0-1 0,0 0 0,11 4 0,-2-4 0,0-1 0,0-1 0,0 0 0,1-1 0,23-2 0,96-11 0,-128 10 0,324-63 113,-8-28-1375,-308 87 1046,110-34-6610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02:28:46.850"/>
    </inkml:context>
    <inkml:brush xml:id="br0">
      <inkml:brushProperty name="width" value="0.035" units="cm"/>
      <inkml:brushProperty name="height" value="0.035" units="cm"/>
      <inkml:brushProperty name="color" value="#004F8B"/>
    </inkml:brush>
  </inkml:definitions>
  <inkml:trace contextRef="#ctx0" brushRef="#br0">1 0 24575,'0'0'-8191</inkml:trace>
  <inkml:trace contextRef="#ctx0" brushRef="#br0" timeOffset="2341.72">1242 518 24575,'4'-13'0,"9"-44"0,-3 0 0,-2-1 0,0-83 0,-9 125 0,-1 0 0,-1 0 0,0 0 0,-9-28 0,11 42 0,-1-1 0,1 1 0,0-1 0,-1 1 0,0 0 0,1 0 0,-1 0 0,0 0 0,0 0 0,0 0 0,0 0 0,-1 0 0,1 1 0,0-1 0,-1 1 0,1 0 0,-1 0 0,1 0 0,-1 0 0,0 0 0,1 1 0,-1-1 0,0 1 0,0-1 0,-3 1 0,-6 0 0,1 0 0,-1 0 0,1 1 0,-22 5 0,-8 5 0,0 1 0,-61 28 0,-75 48 0,140-68 0,-131 69 0,-174 123 0,341-211 0,-1 0 0,1 0 0,0 0 0,-1 0 0,1 0 0,0 1 0,-1-1 0,1 0 0,0 1 0,0-1 0,0 1 0,0-1 0,-1 3 0,2-4 0,0 1 0,0-1 0,0 1 0,0-1 0,1 1 0,-1-1 0,0 0 0,0 1 0,0-1 0,0 1 0,0-1 0,0 1 0,1-1 0,-1 0 0,0 1 0,0-1 0,1 1 0,-1-1 0,0 0 0,1 1 0,-1-1 0,0 0 0,1 0 0,-1 1 0,0-1 0,1 0 0,-1 0 0,1 1 0,-1-1 0,0 0 0,1 0 0,6 2 0,-1 0 0,0-1 0,1 0 0,-1 0 0,1-1 0,7 0 0,388-31 0,-166 6 0,-87 14 0,1 8 0,0 6 0,0 6 0,149 30 0,39 10-1365,-280-43-5461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bf0e1f-3b96-4f0a-a3d3-34b01f1c59b1" xsi:nil="true"/>
    <lcf76f155ced4ddcb4097134ff3c332f xmlns="417c26ed-a27b-415f-ac0f-108c02e63df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AAE26808E6A2489BF0C9E57447A384" ma:contentTypeVersion="18" ma:contentTypeDescription="Create a new document." ma:contentTypeScope="" ma:versionID="545e8828c7451bc7900a22731be9d228">
  <xsd:schema xmlns:xsd="http://www.w3.org/2001/XMLSchema" xmlns:xs="http://www.w3.org/2001/XMLSchema" xmlns:p="http://schemas.microsoft.com/office/2006/metadata/properties" xmlns:ns2="0fbf0e1f-3b96-4f0a-a3d3-34b01f1c59b1" xmlns:ns3="417c26ed-a27b-415f-ac0f-108c02e63dff" targetNamespace="http://schemas.microsoft.com/office/2006/metadata/properties" ma:root="true" ma:fieldsID="06f522a69913ecc96e046baae0d608c6" ns2:_="" ns3:_="">
    <xsd:import namespace="0fbf0e1f-3b96-4f0a-a3d3-34b01f1c59b1"/>
    <xsd:import namespace="417c26ed-a27b-415f-ac0f-108c02e63df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f0e1f-3b96-4f0a-a3d3-34b01f1c59b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bcba50d-8f96-4d49-801c-e1fe5ae705b1}" ma:internalName="TaxCatchAll" ma:showField="CatchAllData" ma:web="0fbf0e1f-3b96-4f0a-a3d3-34b01f1c59b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7c26ed-a27b-415f-ac0f-108c02e63df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27f9c6-a703-4191-b518-20649a5eac15"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6A03AA-F03D-4286-80CD-0724E19F5C59}">
  <ds:schemaRefs>
    <ds:schemaRef ds:uri="http://schemas.microsoft.com/office/2006/metadata/properties"/>
    <ds:schemaRef ds:uri="http://schemas.microsoft.com/office/infopath/2007/PartnerControls"/>
    <ds:schemaRef ds:uri="0fbf0e1f-3b96-4f0a-a3d3-34b01f1c59b1"/>
    <ds:schemaRef ds:uri="417c26ed-a27b-415f-ac0f-108c02e63dff"/>
  </ds:schemaRefs>
</ds:datastoreItem>
</file>

<file path=customXml/itemProps2.xml><?xml version="1.0" encoding="utf-8"?>
<ds:datastoreItem xmlns:ds="http://schemas.openxmlformats.org/officeDocument/2006/customXml" ds:itemID="{C1A315D5-E3E8-4F86-ACA5-3E373E7024B8}">
  <ds:schemaRefs>
    <ds:schemaRef ds:uri="http://schemas.microsoft.com/sharepoint/v3/contenttype/forms"/>
  </ds:schemaRefs>
</ds:datastoreItem>
</file>

<file path=customXml/itemProps3.xml><?xml version="1.0" encoding="utf-8"?>
<ds:datastoreItem xmlns:ds="http://schemas.openxmlformats.org/officeDocument/2006/customXml" ds:itemID="{25455CDA-147C-4B71-A1DB-9A89B3B31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bf0e1f-3b96-4f0a-a3d3-34b01f1c59b1"/>
    <ds:schemaRef ds:uri="417c26ed-a27b-415f-ac0f-108c02e63d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1142</Words>
  <Characters>5830</Characters>
  <Application>Microsoft Office Word</Application>
  <DocSecurity>0</DocSecurity>
  <Lines>95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Chris Winkler</cp:lastModifiedBy>
  <cp:revision>2</cp:revision>
  <dcterms:created xsi:type="dcterms:W3CDTF">2026-07-20T02:30:00Z</dcterms:created>
  <dcterms:modified xsi:type="dcterms:W3CDTF">2026-07-20T02:30:00Z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0x01010009AAE26808E6A2489BF0C9E57447A384</vt:lpwstr>
  </property>
  <property fmtid="{D5CDD505-2E9C-101B-9397-08002B2CF9AE}" pid="3" name="MediaServiceImageTags">
    <vt:lpwstr/>
  </property>
</Properties>
</file>