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295F0" w14:textId="46188CDB" w:rsidR="00952B1B" w:rsidRPr="007C2D12" w:rsidRDefault="00952B1B" w:rsidP="00A33F71">
      <w:pPr>
        <w:pStyle w:val="Heading1"/>
        <w:spacing w:line="480" w:lineRule="auto"/>
        <w:rPr>
          <w:rFonts w:ascii="Calibri" w:hAnsi="Calibri"/>
          <w:color w:val="000000" w:themeColor="text1"/>
          <w:sz w:val="20"/>
          <w:szCs w:val="20"/>
        </w:rPr>
      </w:pPr>
      <w:r w:rsidRPr="007C2D12">
        <w:rPr>
          <w:rFonts w:ascii="Calibri" w:hAnsi="Calibri"/>
          <w:color w:val="000000" w:themeColor="text1"/>
          <w:sz w:val="20"/>
          <w:szCs w:val="20"/>
        </w:rPr>
        <w:t>Introduction</w:t>
      </w:r>
    </w:p>
    <w:p w14:paraId="2FEF1120" w14:textId="4898B43B" w:rsidR="00952B1B" w:rsidRPr="007C2D12" w:rsidRDefault="00952B1B" w:rsidP="005A3607">
      <w:pPr>
        <w:spacing w:line="480" w:lineRule="auto"/>
        <w:ind w:firstLine="720"/>
        <w:rPr>
          <w:rFonts w:ascii="Calibri" w:hAnsi="Calibri" w:cs="Times"/>
          <w:color w:val="000000" w:themeColor="text1"/>
          <w:sz w:val="20"/>
          <w:szCs w:val="20"/>
        </w:rPr>
      </w:pPr>
      <w:r w:rsidRPr="007C2D12">
        <w:rPr>
          <w:rFonts w:ascii="Calibri" w:hAnsi="Calibri" w:cs="Times"/>
          <w:color w:val="000000" w:themeColor="text1"/>
          <w:sz w:val="20"/>
          <w:szCs w:val="20"/>
        </w:rPr>
        <w:t>The emerald ash borer (EAB), Agrilus planipennis Fairemaire (Coleoptra: Buprestidae), is an invasive species that has killed millions of ash trees (Fraxinus spp.) since it was first detected in North</w:t>
      </w:r>
      <w:r w:rsidR="00C86BE7" w:rsidRPr="007C2D12">
        <w:rPr>
          <w:rFonts w:ascii="Calibri" w:hAnsi="Calibri" w:cs="Times"/>
          <w:color w:val="000000" w:themeColor="text1"/>
          <w:sz w:val="20"/>
          <w:szCs w:val="20"/>
        </w:rPr>
        <w:t xml:space="preserve"> America</w:t>
      </w:r>
      <w:r w:rsidRPr="007C2D12">
        <w:rPr>
          <w:rFonts w:ascii="Calibri" w:hAnsi="Calibri" w:cs="Times"/>
          <w:color w:val="000000" w:themeColor="text1"/>
          <w:sz w:val="20"/>
          <w:szCs w:val="20"/>
        </w:rPr>
        <w:t xml:space="preserve"> in 2002, although it had likely been present since the late 1990’s.  Because these beetles spend most of their life as larvae under the bark of ash trees, most of their movement can be </w:t>
      </w:r>
      <w:r w:rsidR="004D5E57" w:rsidRPr="007C2D12">
        <w:rPr>
          <w:rFonts w:ascii="Calibri" w:hAnsi="Calibri" w:cs="Times"/>
          <w:color w:val="000000" w:themeColor="text1"/>
          <w:sz w:val="20"/>
          <w:szCs w:val="20"/>
        </w:rPr>
        <w:t>attributed</w:t>
      </w:r>
      <w:r w:rsidRPr="007C2D12">
        <w:rPr>
          <w:rFonts w:ascii="Calibri" w:hAnsi="Calibri" w:cs="Times"/>
          <w:color w:val="000000" w:themeColor="text1"/>
          <w:sz w:val="20"/>
          <w:szCs w:val="20"/>
        </w:rPr>
        <w:t xml:space="preserve"> to unintentional human transportation of infested wood.  </w:t>
      </w:r>
      <w:r w:rsidRPr="007C2D12">
        <w:rPr>
          <w:rFonts w:ascii="Calibri" w:hAnsi="Calibri"/>
          <w:color w:val="000000" w:themeColor="text1"/>
          <w:sz w:val="20"/>
          <w:szCs w:val="20"/>
        </w:rPr>
        <w:t xml:space="preserve">As a result, it is difficult to predict where the EAB will move, making early detection nearly impossible.  </w:t>
      </w:r>
      <w:r w:rsidRPr="007C2D12">
        <w:rPr>
          <w:rFonts w:ascii="Calibri" w:hAnsi="Calibri" w:cs="Times"/>
          <w:color w:val="000000" w:themeColor="text1"/>
          <w:sz w:val="20"/>
          <w:szCs w:val="20"/>
        </w:rPr>
        <w:t xml:space="preserve">The effort to slow the spread of this pest is headed up at a federal level by the US Department of Agriculture (USDA) Animal Plant Health Inspection Service (APHIS) and typically by the individual state agencies at the state level.  </w:t>
      </w:r>
      <w:r w:rsidR="0033345A" w:rsidRPr="007C2D12">
        <w:rPr>
          <w:rFonts w:ascii="Calibri" w:hAnsi="Calibri" w:cs="Times"/>
          <w:color w:val="000000" w:themeColor="text1"/>
          <w:sz w:val="20"/>
          <w:szCs w:val="20"/>
        </w:rPr>
        <w:t xml:space="preserve"> The Minnesota Department of Agriculture (MDA) is the lead agency in Minnesota.</w:t>
      </w:r>
    </w:p>
    <w:p w14:paraId="5B8427BC" w14:textId="1DCC6A59"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Biology and Lifecycle</w:t>
      </w:r>
    </w:p>
    <w:p w14:paraId="77F545AA"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EAB is a member of the order Coleoptera (beetles) and is in the Buprestidae family, which are the wood boring beetles.  The life cycle of A. planipennis spans from one to two years, depending upon the temperatures of the infested region.  The two-year life cycle is likely in Minnesota, where the larvae will spend a second winter season to mature while feeding on the phloem and cambium in a pre-pupae state through four instar stages (Marshall et al., 2010).  The adult form of A. planipennis is small, usually less than ten millimeters long and approximately two millimeters wide.  Their bodies are elongated in the shape of a bullet with a bronze abdomen and metallic emerald colored wing covers.  </w:t>
      </w:r>
    </w:p>
    <w:p w14:paraId="177E856B"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 in the death of a tree.  During the mating season, females lay their eggs on the bark and in between crevasses on the outer surface of trees. On average, ach female will lay between 50-90 eggs during her lifecycle (Poland &amp; McCullough, 2006). </w:t>
      </w:r>
    </w:p>
    <w:p w14:paraId="6BD11AAF"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After about two weeks, the eggs hatch and the larvae emerge as a creamy white wormlike organism and immediately begin boring into the tree.  In the first few months, the instars in their pre-pupae state will form shallow serpentine tunnels in the phloem and cambium of the trees leaving behind a trail of brown woody excrement known as frass.  The larvae mature through four instars in their pre-pupae form during the fall, and </w:t>
      </w:r>
      <w:r w:rsidRPr="007C2D12">
        <w:rPr>
          <w:rFonts w:ascii="Calibri" w:hAnsi="Calibri" w:cs="Times New Roman"/>
          <w:color w:val="000000" w:themeColor="text1"/>
          <w:sz w:val="20"/>
          <w:szCs w:val="20"/>
        </w:rPr>
        <w:lastRenderedPageBreak/>
        <w:t xml:space="preserve">then move deeper into the sapwood to form overwintering chambers. In the one-year cycle, the larvae will the larvae will transform into sexually mature adults in the spring and emerge from the trees leaving D-shaped exit wounds (Poland &amp; McCullough, 2006).   </w:t>
      </w:r>
    </w:p>
    <w:p w14:paraId="4FF989FC" w14:textId="14FB6BDB" w:rsidR="00952B1B" w:rsidRPr="007C2D12" w:rsidRDefault="00952B1B" w:rsidP="005A3607">
      <w:pPr>
        <w:spacing w:line="480" w:lineRule="auto"/>
        <w:ind w:firstLine="360"/>
        <w:rPr>
          <w:rFonts w:ascii="Calibri" w:hAnsi="Calibri"/>
          <w:color w:val="000000" w:themeColor="text1"/>
          <w:sz w:val="20"/>
          <w:szCs w:val="20"/>
        </w:rPr>
      </w:pPr>
      <w:r w:rsidRPr="007C2D12">
        <w:rPr>
          <w:rFonts w:ascii="Calibri" w:hAnsi="Calibri" w:cs="Times New Roman"/>
          <w:color w:val="000000" w:themeColor="text1"/>
          <w:sz w:val="20"/>
          <w:szCs w:val="20"/>
        </w:rPr>
        <w:t xml:space="preserve">In colder areas, the larvae will overwinter for a second season before emerging from the tree, which </w:t>
      </w:r>
      <w:r w:rsidR="0033345A" w:rsidRPr="007C2D12">
        <w:rPr>
          <w:rFonts w:ascii="Calibri" w:hAnsi="Calibri" w:cs="Times New Roman"/>
          <w:color w:val="000000" w:themeColor="text1"/>
          <w:sz w:val="20"/>
          <w:szCs w:val="20"/>
        </w:rPr>
        <w:t>is likely in</w:t>
      </w:r>
      <w:r w:rsidRPr="007C2D12">
        <w:rPr>
          <w:rFonts w:ascii="Calibri" w:hAnsi="Calibri" w:cs="Times New Roman"/>
          <w:color w:val="000000" w:themeColor="text1"/>
          <w:sz w:val="20"/>
          <w:szCs w:val="20"/>
        </w:rPr>
        <w:t xml:space="preserve"> Minnesota.  </w:t>
      </w:r>
      <w:r w:rsidRPr="007C2D12">
        <w:rPr>
          <w:rFonts w:ascii="Calibri" w:hAnsi="Calibri"/>
          <w:color w:val="000000" w:themeColor="text1"/>
          <w:sz w:val="20"/>
          <w:szCs w:val="20"/>
        </w:rPr>
        <w:t>In the northern parts of the state, EAB larvae cannot survive the extreme winter temperatures, particularly in the USDA Plant Hardiness Zones 3a and 3b (</w:t>
      </w:r>
      <w:r w:rsidRPr="007C2D12">
        <w:rPr>
          <w:rFonts w:ascii="Calibri" w:hAnsi="Calibri"/>
          <w:b/>
          <w:color w:val="000000" w:themeColor="text1"/>
          <w:sz w:val="20"/>
          <w:szCs w:val="20"/>
        </w:rPr>
        <w:t xml:space="preserve">Figure </w:t>
      </w:r>
      <w:r w:rsidR="0033345A" w:rsidRPr="007C2D12">
        <w:rPr>
          <w:rFonts w:ascii="Calibri" w:hAnsi="Calibri"/>
          <w:b/>
          <w:color w:val="000000" w:themeColor="text1"/>
          <w:sz w:val="20"/>
          <w:szCs w:val="20"/>
        </w:rPr>
        <w:t>1</w:t>
      </w:r>
      <w:r w:rsidRPr="007C2D12">
        <w:rPr>
          <w:rFonts w:ascii="Calibri" w:hAnsi="Calibri"/>
          <w:color w:val="000000" w:themeColor="text1"/>
          <w:sz w:val="20"/>
          <w:szCs w:val="20"/>
        </w:rPr>
        <w:t>).  When a tree’s inner core reaches extreme temperatures between -20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and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EAB larval mortality can be estimated to be around 50%.  EAB larval mortality can exceed 90% when the tree’s core dips below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an extended period of time.  It is important, however, to note that wind chill does not affect the larvae (Venette et al., 2014).</w:t>
      </w:r>
    </w:p>
    <w:p w14:paraId="7B50098F" w14:textId="2CB7F108" w:rsidR="00952B1B" w:rsidRDefault="00952B1B" w:rsidP="0033345A">
      <w:pPr>
        <w:pStyle w:val="Heading4"/>
        <w:spacing w:line="480" w:lineRule="auto"/>
        <w:ind w:firstLine="720"/>
        <w:rPr>
          <w:rFonts w:ascii="Calibri" w:hAnsi="Calibri"/>
          <w:b/>
          <w:i w:val="0"/>
          <w:color w:val="000000" w:themeColor="text1"/>
          <w:sz w:val="20"/>
          <w:szCs w:val="20"/>
        </w:rPr>
      </w:pPr>
      <w:bookmarkStart w:id="0" w:name="OLE_LINK1"/>
      <w:bookmarkStart w:id="1" w:name="OLE_LINK2"/>
      <w:r w:rsidRPr="007C2D12">
        <w:rPr>
          <w:rFonts w:ascii="Calibri" w:hAnsi="Calibri"/>
          <w:b/>
          <w:i w:val="0"/>
          <w:color w:val="000000" w:themeColor="text1"/>
          <w:sz w:val="20"/>
          <w:szCs w:val="20"/>
        </w:rPr>
        <w:t>Tracking the EAB in Minnesota</w:t>
      </w:r>
    </w:p>
    <w:p w14:paraId="012B4373" w14:textId="7F5A4291" w:rsidR="00287CB3" w:rsidRPr="003628CA" w:rsidRDefault="00287CB3" w:rsidP="003628CA">
      <w:pPr>
        <w:pStyle w:val="Heading4"/>
        <w:spacing w:line="480" w:lineRule="auto"/>
        <w:ind w:firstLine="720"/>
        <w:rPr>
          <w:rFonts w:ascii="Calibri" w:hAnsi="Calibri"/>
          <w:i w:val="0"/>
          <w:color w:val="000000" w:themeColor="text1"/>
          <w:sz w:val="20"/>
          <w:szCs w:val="20"/>
        </w:rPr>
      </w:pPr>
      <w:r w:rsidRPr="007C2D12">
        <w:rPr>
          <w:rFonts w:ascii="Calibri" w:hAnsi="Calibri"/>
          <w:i w:val="0"/>
          <w:color w:val="000000" w:themeColor="text1"/>
          <w:sz w:val="20"/>
          <w:szCs w:val="20"/>
        </w:rPr>
        <w:t>The first confirmed EAB sighting in Minnesota was discovered in the Saint Anthony’s Park area of St Paul in May of 2009. Since then, it has spread to a total of 14 counties in the metro area and the southeastern portion of the state along the Mississippi River.  It is likely the EAB is in other portions of the state, but have not yet been discovered.  This beetle threatens the ash tree resource in Minnesota where dense populations can result in high levels of ash mortality.  In urban settings, tree removal can be very expensive where ash is a common monoculture (MDA, 2016).</w:t>
      </w:r>
    </w:p>
    <w:p w14:paraId="0138ECED" w14:textId="51D0D11E" w:rsidR="00952B1B"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lifecycle of the EAB presents an interesting mitigation challenge for the MDA.  </w:t>
      </w:r>
      <w:r w:rsidR="006B3A59" w:rsidRPr="007C2D12">
        <w:rPr>
          <w:rFonts w:ascii="Calibri" w:hAnsi="Calibri"/>
          <w:color w:val="000000" w:themeColor="text1"/>
          <w:sz w:val="20"/>
          <w:szCs w:val="20"/>
        </w:rPr>
        <w:t>T</w:t>
      </w:r>
      <w:r w:rsidRPr="007C2D12">
        <w:rPr>
          <w:rFonts w:ascii="Calibri" w:hAnsi="Calibri"/>
          <w:color w:val="000000" w:themeColor="text1"/>
          <w:sz w:val="20"/>
          <w:szCs w:val="20"/>
        </w:rPr>
        <w:t>rees often do not show signs of stress until it is too late because most of the damage occurs under the bark.  The MDA has several methods for searching for EAB infestations in new areas.  Thousands of purple prism traps</w:t>
      </w:r>
      <w:r w:rsidR="00287CB3">
        <w:rPr>
          <w:rFonts w:ascii="Calibri" w:hAnsi="Calibri"/>
          <w:color w:val="000000" w:themeColor="text1"/>
          <w:sz w:val="20"/>
          <w:szCs w:val="20"/>
        </w:rPr>
        <w:t xml:space="preserve"> baited with oils that mimic the smell of stressed ash trees</w:t>
      </w:r>
      <w:r w:rsidRPr="007C2D12">
        <w:rPr>
          <w:rFonts w:ascii="Calibri" w:hAnsi="Calibri"/>
          <w:color w:val="000000" w:themeColor="text1"/>
          <w:sz w:val="20"/>
          <w:szCs w:val="20"/>
        </w:rPr>
        <w:t xml:space="preserve"> have been placed around the state to capture and detect adult beetles. In addition to periodically checking the traps, field crews are also sent to perform branch sampling in high risk areas.  The MDA uses a risk area map </w:t>
      </w:r>
      <w:r w:rsidR="008C7D08" w:rsidRPr="007C2D12">
        <w:rPr>
          <w:rFonts w:ascii="Calibri" w:hAnsi="Calibri"/>
          <w:color w:val="000000" w:themeColor="text1"/>
          <w:sz w:val="20"/>
          <w:szCs w:val="20"/>
        </w:rPr>
        <w:t>based on</w:t>
      </w:r>
      <w:r w:rsidR="002D4AAF" w:rsidRPr="007C2D12">
        <w:rPr>
          <w:rFonts w:ascii="Calibri" w:hAnsi="Calibri"/>
          <w:color w:val="000000" w:themeColor="text1"/>
          <w:sz w:val="20"/>
          <w:szCs w:val="20"/>
        </w:rPr>
        <w:t xml:space="preserve"> criteria such as ash population densities, campgrounds, and sawmills </w:t>
      </w:r>
      <w:r w:rsidRPr="007C2D12">
        <w:rPr>
          <w:rFonts w:ascii="Calibri" w:hAnsi="Calibri"/>
          <w:color w:val="000000" w:themeColor="text1"/>
          <w:sz w:val="20"/>
          <w:szCs w:val="20"/>
        </w:rPr>
        <w:t>to estimate where new infestations may be so traps can be effectively placed (</w:t>
      </w:r>
      <w:r w:rsidRPr="007C2D12">
        <w:rPr>
          <w:rFonts w:ascii="Calibri" w:hAnsi="Calibri"/>
          <w:b/>
          <w:color w:val="000000" w:themeColor="text1"/>
          <w:sz w:val="20"/>
          <w:szCs w:val="20"/>
        </w:rPr>
        <w:t>Figure 3</w:t>
      </w:r>
      <w:r w:rsidR="00253E85" w:rsidRPr="007C2D12">
        <w:rPr>
          <w:rFonts w:ascii="Calibri" w:hAnsi="Calibri"/>
          <w:color w:val="000000" w:themeColor="text1"/>
          <w:sz w:val="20"/>
          <w:szCs w:val="20"/>
        </w:rPr>
        <w:t xml:space="preserve">). </w:t>
      </w:r>
    </w:p>
    <w:p w14:paraId="157493F6" w14:textId="5587D6C2" w:rsidR="0033345A"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MDA staff rely on visual cues such as crown dieback, epicormic shoots, bark splits, D-shaped exit holes, and flecking as a result of woodpecker feeding (also known as blonding)</w:t>
      </w:r>
      <w:r w:rsidR="00253E85" w:rsidRPr="007C2D12">
        <w:rPr>
          <w:rFonts w:ascii="Calibri" w:hAnsi="Calibri"/>
          <w:color w:val="000000" w:themeColor="text1"/>
          <w:sz w:val="20"/>
          <w:szCs w:val="20"/>
        </w:rPr>
        <w:t xml:space="preserve"> in high risk areas</w:t>
      </w:r>
      <w:r w:rsidRPr="007C2D12">
        <w:rPr>
          <w:rFonts w:ascii="Calibri" w:hAnsi="Calibri"/>
          <w:color w:val="000000" w:themeColor="text1"/>
          <w:sz w:val="20"/>
          <w:szCs w:val="20"/>
        </w:rPr>
        <w:t xml:space="preserve">.  The woodpecker damage can be a sign of a dense infestation within a tree because they peel back the bark while looking for larvae.  </w:t>
      </w:r>
      <w:r w:rsidR="00421BAB" w:rsidRPr="007C2D12">
        <w:rPr>
          <w:rFonts w:ascii="Calibri" w:hAnsi="Calibri"/>
          <w:color w:val="000000" w:themeColor="text1"/>
          <w:sz w:val="20"/>
          <w:szCs w:val="20"/>
        </w:rPr>
        <w:t>If these signs are present</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they</w:t>
      </w:r>
      <w:r w:rsidRPr="007C2D12">
        <w:rPr>
          <w:rFonts w:ascii="Calibri" w:hAnsi="Calibri"/>
          <w:color w:val="000000" w:themeColor="text1"/>
          <w:sz w:val="20"/>
          <w:szCs w:val="20"/>
        </w:rPr>
        <w:t xml:space="preserve"> will perform branch sampling</w:t>
      </w:r>
      <w:r w:rsidR="006B3A59" w:rsidRPr="007C2D12">
        <w:rPr>
          <w:rFonts w:ascii="Calibri" w:hAnsi="Calibri"/>
          <w:color w:val="000000" w:themeColor="text1"/>
          <w:sz w:val="20"/>
          <w:szCs w:val="20"/>
        </w:rPr>
        <w:t xml:space="preserve"> by</w:t>
      </w:r>
      <w:r w:rsidR="00421BAB" w:rsidRPr="007C2D12">
        <w:rPr>
          <w:rFonts w:ascii="Calibri" w:hAnsi="Calibri"/>
          <w:color w:val="000000" w:themeColor="text1"/>
          <w:sz w:val="20"/>
          <w:szCs w:val="20"/>
        </w:rPr>
        <w:t xml:space="preserve"> collecting</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at least</w:t>
      </w:r>
      <w:r w:rsidRPr="007C2D12">
        <w:rPr>
          <w:rFonts w:ascii="Calibri" w:hAnsi="Calibri"/>
          <w:color w:val="000000" w:themeColor="text1"/>
          <w:sz w:val="20"/>
          <w:szCs w:val="20"/>
        </w:rPr>
        <w:t xml:space="preserve"> 35 branches within a forest stand and </w:t>
      </w:r>
      <w:r w:rsidR="00421BAB" w:rsidRPr="007C2D12">
        <w:rPr>
          <w:rFonts w:ascii="Calibri" w:hAnsi="Calibri"/>
          <w:color w:val="000000" w:themeColor="text1"/>
          <w:sz w:val="20"/>
          <w:szCs w:val="20"/>
        </w:rPr>
        <w:t>checking under</w:t>
      </w:r>
      <w:r w:rsidRPr="007C2D12">
        <w:rPr>
          <w:rFonts w:ascii="Calibri" w:hAnsi="Calibri"/>
          <w:color w:val="000000" w:themeColor="text1"/>
          <w:sz w:val="20"/>
          <w:szCs w:val="20"/>
        </w:rPr>
        <w:t xml:space="preserve"> the bark to search for larval galleries.  There are several wood boring beetles that can be found in Minnesota, but the EAB create distinct S-shaped galleries (P. Walrath, personal communication, February 17, 2016).  </w:t>
      </w:r>
    </w:p>
    <w:p w14:paraId="3228D250" w14:textId="77777777" w:rsidR="00952B1B" w:rsidRPr="007C2D12" w:rsidRDefault="00952B1B" w:rsidP="005A3607">
      <w:pPr>
        <w:pStyle w:val="Heading3"/>
        <w:spacing w:line="480" w:lineRule="auto"/>
        <w:rPr>
          <w:rFonts w:ascii="Calibri" w:hAnsi="Calibri"/>
          <w:b/>
          <w:color w:val="000000" w:themeColor="text1"/>
          <w:sz w:val="20"/>
          <w:szCs w:val="20"/>
        </w:rPr>
      </w:pPr>
      <w:r w:rsidRPr="007C2D12">
        <w:rPr>
          <w:rFonts w:ascii="Calibri" w:hAnsi="Calibri"/>
          <w:b/>
          <w:color w:val="000000" w:themeColor="text1"/>
          <w:sz w:val="20"/>
          <w:szCs w:val="20"/>
        </w:rPr>
        <w:t>Quarantines and Firewood Regulations</w:t>
      </w:r>
    </w:p>
    <w:p w14:paraId="63190B52" w14:textId="5213E9DE"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order to slow and prevent the spread of wood boring pests, the USDA APHIS Plant Protection and Quarantine (PPQ) institutes an emergency quarantine when EAB are found in a new area.  </w:t>
      </w:r>
      <w:r w:rsidR="00CF4785" w:rsidRPr="007C2D12">
        <w:rPr>
          <w:rFonts w:ascii="Calibri" w:hAnsi="Calibri"/>
          <w:color w:val="000000" w:themeColor="text1"/>
          <w:sz w:val="20"/>
          <w:szCs w:val="20"/>
        </w:rPr>
        <w:t>This puts</w:t>
      </w:r>
      <w:r w:rsidRPr="007C2D12">
        <w:rPr>
          <w:rFonts w:ascii="Calibri" w:hAnsi="Calibri"/>
          <w:color w:val="000000" w:themeColor="text1"/>
          <w:sz w:val="20"/>
          <w:szCs w:val="20"/>
        </w:rPr>
        <w:t xml:space="preserve"> strict regulations put in place to prevent wood products from being moved or sold outside of the quarantined area.  The MDA defines wood products as: 1) logs and green lumber; 2) nursery stock, scion and bud wood; 3) chips and mulch, either composted or uncomposted;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52D434D6" w14:textId="77777777" w:rsidR="00952B1B"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Some firewood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C (140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47B004B0" w14:textId="03E4D303" w:rsidR="005C2457" w:rsidRDefault="005C2457" w:rsidP="005A3607">
      <w:pPr>
        <w:spacing w:line="480" w:lineRule="auto"/>
        <w:ind w:firstLine="720"/>
        <w:rPr>
          <w:rFonts w:ascii="Calibri" w:hAnsi="Calibri"/>
          <w:color w:val="000000" w:themeColor="text1"/>
          <w:sz w:val="20"/>
          <w:szCs w:val="20"/>
        </w:rPr>
      </w:pPr>
      <w:r>
        <w:rPr>
          <w:rFonts w:ascii="Calibri" w:hAnsi="Calibri"/>
          <w:color w:val="000000" w:themeColor="text1"/>
          <w:sz w:val="20"/>
          <w:szCs w:val="20"/>
        </w:rPr>
        <w:t>Mitigation</w:t>
      </w:r>
    </w:p>
    <w:p w14:paraId="46B0B38C" w14:textId="7C7FC2B3" w:rsidR="005C2457" w:rsidRPr="007C2D12" w:rsidRDefault="005C2457" w:rsidP="005A3607">
      <w:pPr>
        <w:spacing w:line="480" w:lineRule="auto"/>
        <w:ind w:firstLine="720"/>
        <w:rPr>
          <w:rFonts w:ascii="Calibri" w:hAnsi="Calibri"/>
          <w:color w:val="000000" w:themeColor="text1"/>
          <w:sz w:val="20"/>
          <w:szCs w:val="20"/>
        </w:rPr>
      </w:pPr>
      <w:r>
        <w:rPr>
          <w:rFonts w:ascii="Calibri" w:hAnsi="Calibri"/>
          <w:color w:val="000000" w:themeColor="text1"/>
          <w:sz w:val="20"/>
          <w:szCs w:val="20"/>
        </w:rPr>
        <w:t xml:space="preserve">Once a quarantine has been put in place, the MDA will begin mitigation strategies.  </w:t>
      </w:r>
    </w:p>
    <w:p w14:paraId="31FBCCB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Web GIS and VGI</w:t>
      </w:r>
    </w:p>
    <w:p w14:paraId="23EA1DB8" w14:textId="49666CB0"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Early detection of EAB in new areas is extremely valuable to the MDA because </w:t>
      </w:r>
      <w:r w:rsidR="00D60CD2" w:rsidRPr="007C2D12">
        <w:rPr>
          <w:rFonts w:ascii="Calibri" w:hAnsi="Calibri"/>
          <w:color w:val="000000" w:themeColor="text1"/>
          <w:sz w:val="20"/>
          <w:szCs w:val="20"/>
        </w:rPr>
        <w:t>the sooner they take action</w:t>
      </w:r>
      <w:r w:rsidR="00BF011D" w:rsidRPr="007C2D12">
        <w:rPr>
          <w:rFonts w:ascii="Calibri" w:hAnsi="Calibri"/>
          <w:color w:val="000000" w:themeColor="text1"/>
          <w:sz w:val="20"/>
          <w:szCs w:val="20"/>
        </w:rPr>
        <w:t xml:space="preserve"> against an EAB population, the better their chances for slowing it down</w:t>
      </w:r>
      <w:r w:rsidRPr="007C2D12">
        <w:rPr>
          <w:rFonts w:ascii="Calibri" w:hAnsi="Calibri"/>
          <w:color w:val="000000" w:themeColor="text1"/>
          <w:sz w:val="20"/>
          <w:szCs w:val="20"/>
        </w:rPr>
        <w:t xml:space="preserve">. This presents a perfect scenario where volunteered geographic information (VGI) can be leveraged </w:t>
      </w:r>
      <w:r w:rsidR="006F2BAC" w:rsidRPr="007C2D12">
        <w:rPr>
          <w:rFonts w:ascii="Calibri" w:hAnsi="Calibri"/>
          <w:color w:val="000000" w:themeColor="text1"/>
          <w:sz w:val="20"/>
          <w:szCs w:val="20"/>
        </w:rPr>
        <w:t>to use humans as sensors</w:t>
      </w:r>
      <w:r w:rsidRPr="007C2D12">
        <w:rPr>
          <w:rFonts w:ascii="Calibri" w:hAnsi="Calibri"/>
          <w:color w:val="000000" w:themeColor="text1"/>
          <w:sz w:val="20"/>
          <w:szCs w:val="20"/>
        </w:rPr>
        <w:t>.  VGI is defined by Michael Goodchild as using technology to “create, assemble, and disseminate geographic information provided voluntarily by individuals” (2007).  VGI is extremely useful in early warning systems and post catastrophic events as people familiar with the area are able to provide accurate geographic observations in real time.  The main catalyst that made VGI possible was evolution of the Web 2.0</w:t>
      </w:r>
      <w:r w:rsidR="00BF011D" w:rsidRPr="007C2D12">
        <w:rPr>
          <w:rFonts w:ascii="Calibri" w:hAnsi="Calibri"/>
          <w:color w:val="000000" w:themeColor="text1"/>
          <w:sz w:val="20"/>
          <w:szCs w:val="20"/>
        </w:rPr>
        <w:t>.  VGI is even more powerful now with rapid</w:t>
      </w:r>
      <w:r w:rsidRPr="007C2D12">
        <w:rPr>
          <w:rFonts w:ascii="Calibri" w:hAnsi="Calibri"/>
          <w:color w:val="000000" w:themeColor="text1"/>
          <w:sz w:val="20"/>
          <w:szCs w:val="20"/>
        </w:rPr>
        <w:t xml:space="preserve"> advances in technology and easy access to smart phones. Citizens become sensors themselves as they are each “an intelligent synthesizer and interpreter of local information” (Goodchild, 2007).</w:t>
      </w:r>
    </w:p>
    <w:p w14:paraId="6782D204" w14:textId="0522C6F8"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Web GIS is a huge part of what makes VGI a viable option for collecting large amounts of geographic data</w:t>
      </w:r>
      <w:r w:rsidR="005F5ABE" w:rsidRPr="007C2D12">
        <w:rPr>
          <w:rFonts w:ascii="Calibri" w:hAnsi="Calibri"/>
          <w:color w:val="000000" w:themeColor="text1"/>
          <w:sz w:val="20"/>
          <w:szCs w:val="20"/>
        </w:rPr>
        <w:t xml:space="preserve"> through client to server interaction</w:t>
      </w:r>
      <w:r w:rsidRPr="007C2D12">
        <w:rPr>
          <w:rFonts w:ascii="Calibri" w:hAnsi="Calibri"/>
          <w:color w:val="000000" w:themeColor="text1"/>
          <w:sz w:val="20"/>
          <w:szCs w:val="20"/>
        </w:rPr>
        <w:t xml:space="preserve">. Countless GIS databases are stored in the cloud and can be shown in the context of rich basemaps available from </w:t>
      </w:r>
      <w:r w:rsidR="000F371D" w:rsidRPr="007C2D12">
        <w:rPr>
          <w:rFonts w:ascii="Calibri" w:hAnsi="Calibri"/>
          <w:color w:val="000000" w:themeColor="text1"/>
          <w:sz w:val="20"/>
          <w:szCs w:val="20"/>
        </w:rPr>
        <w:t>different</w:t>
      </w:r>
      <w:r w:rsidRPr="007C2D12">
        <w:rPr>
          <w:rFonts w:ascii="Calibri" w:hAnsi="Calibri"/>
          <w:color w:val="000000" w:themeColor="text1"/>
          <w:sz w:val="20"/>
          <w:szCs w:val="20"/>
        </w:rPr>
        <w:t xml:space="preserve"> sources.  These datasets often have full editing capabilities allowing the user to create, update, or delete data.  Once this data is exposed as a web service, it can be consumed by any client that can make HTTP requests, without the end user needing to install any additional software.</w:t>
      </w:r>
    </w:p>
    <w:p w14:paraId="20BFC9CF"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Engaging the public</w:t>
      </w:r>
    </w:p>
    <w:p w14:paraId="78ADC251" w14:textId="05E61326"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the spirit of VGI, the MDA is currently trying to educate as many citizens as possible to assist in identifying and reporting EAB sightings in new locations.  Workshops are held to train citizens how to spot signs of an EAB attack on live ash trees, paying particular attention the most helpful visual cues such as woodpecker damage.  They also show attendees how to properly identify an EAB in both the larval and adult stages as well as some of the common look-a-like insects that are often mistaken for an EAB.  One thing that is stressed at these workshops is that the MDA truly needs the help from public volunteers (P. Walrath, personal communication, February 17, 2016).  </w:t>
      </w:r>
    </w:p>
    <w:p w14:paraId="3D049F80"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MDA does not have enough staff to patrol the entire state and are therefore welcome the public to report new sightings through their “Arrest the Pest” website (</w:t>
      </w:r>
      <w:hyperlink r:id="rId5" w:history="1">
        <w:r w:rsidRPr="007C2D12">
          <w:rPr>
            <w:rStyle w:val="Hyperlink"/>
            <w:rFonts w:ascii="Calibri" w:hAnsi="Calibri"/>
            <w:color w:val="000000" w:themeColor="text1"/>
            <w:sz w:val="20"/>
            <w:szCs w:val="20"/>
          </w:rPr>
          <w:t>http://www.mda.state.mn.us/arrestthepest)</w:t>
        </w:r>
      </w:hyperlink>
      <w:r w:rsidRPr="007C2D12">
        <w:rPr>
          <w:rFonts w:ascii="Calibri" w:hAnsi="Calibri"/>
          <w:color w:val="000000" w:themeColor="text1"/>
          <w:sz w:val="20"/>
          <w:szCs w:val="20"/>
        </w:rPr>
        <w:t>.  They ask that if you see an EAB, you should take a picture and try to describe exactly where it was spotted and get a sample if possible.  If you are able to provide the MDA with a sample or photograph of the sighting, it can help them determine if the sighting presents a legitimate EAB threat, and therefore an inspection crew can be sent to the site for verification.</w:t>
      </w:r>
    </w:p>
    <w:p w14:paraId="7567D7ED" w14:textId="50E9740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One way to facilitate reporting EAB sightings in Minnesota through VGI is to provide a mobile application that </w:t>
      </w:r>
      <w:r w:rsidR="006D48A8" w:rsidRPr="007C2D12">
        <w:rPr>
          <w:rFonts w:ascii="Calibri" w:hAnsi="Calibri"/>
          <w:color w:val="000000" w:themeColor="text1"/>
          <w:sz w:val="20"/>
          <w:szCs w:val="20"/>
        </w:rPr>
        <w:t xml:space="preserve">can collect information </w:t>
      </w:r>
      <w:r w:rsidRPr="007C2D12">
        <w:rPr>
          <w:rFonts w:ascii="Calibri" w:hAnsi="Calibri"/>
          <w:color w:val="000000" w:themeColor="text1"/>
          <w:sz w:val="20"/>
          <w:szCs w:val="20"/>
        </w:rPr>
        <w:t xml:space="preserve">in real time.  With virtually every adult resident owning a smart phone, a mobile application is a great way to empower the public to accurately report new sightings. The device GPS can be used to </w:t>
      </w:r>
      <w:r w:rsidR="00447B41" w:rsidRPr="007C2D12">
        <w:rPr>
          <w:rFonts w:ascii="Calibri" w:hAnsi="Calibri"/>
          <w:color w:val="000000" w:themeColor="text1"/>
          <w:sz w:val="20"/>
          <w:szCs w:val="20"/>
        </w:rPr>
        <w:t>log the</w:t>
      </w:r>
      <w:r w:rsidRPr="007C2D12">
        <w:rPr>
          <w:rFonts w:ascii="Calibri" w:hAnsi="Calibri"/>
          <w:color w:val="000000" w:themeColor="text1"/>
          <w:sz w:val="20"/>
          <w:szCs w:val="20"/>
        </w:rPr>
        <w:t xml:space="preserve"> location while the camera allow</w:t>
      </w:r>
      <w:r w:rsidR="00447B41" w:rsidRPr="007C2D12">
        <w:rPr>
          <w:rFonts w:ascii="Calibri" w:hAnsi="Calibri"/>
          <w:color w:val="000000" w:themeColor="text1"/>
          <w:sz w:val="20"/>
          <w:szCs w:val="20"/>
        </w:rPr>
        <w:t>s</w:t>
      </w:r>
      <w:r w:rsidRPr="007C2D12">
        <w:rPr>
          <w:rFonts w:ascii="Calibri" w:hAnsi="Calibri"/>
          <w:color w:val="000000" w:themeColor="text1"/>
          <w:sz w:val="20"/>
          <w:szCs w:val="20"/>
        </w:rPr>
        <w:t xml:space="preserve"> the user to provide photographic </w:t>
      </w:r>
      <w:r w:rsidR="00447B41" w:rsidRPr="007C2D12">
        <w:rPr>
          <w:rFonts w:ascii="Calibri" w:hAnsi="Calibri"/>
          <w:color w:val="000000" w:themeColor="text1"/>
          <w:sz w:val="20"/>
          <w:szCs w:val="20"/>
        </w:rPr>
        <w:t>evidence</w:t>
      </w:r>
      <w:r w:rsidRPr="007C2D12">
        <w:rPr>
          <w:rFonts w:ascii="Calibri" w:hAnsi="Calibri"/>
          <w:color w:val="000000" w:themeColor="text1"/>
          <w:sz w:val="20"/>
          <w:szCs w:val="20"/>
        </w:rPr>
        <w:t xml:space="preserve"> so the proper agencies can determine whether or not the site needs to be visited for field verification.  Additional attribute information can also be collected from the user through a form with drop-down domain values and text boxes </w:t>
      </w:r>
      <w:r w:rsidR="00447B41" w:rsidRPr="007C2D12">
        <w:rPr>
          <w:rFonts w:ascii="Calibri" w:hAnsi="Calibri"/>
          <w:color w:val="000000" w:themeColor="text1"/>
          <w:sz w:val="20"/>
          <w:szCs w:val="20"/>
        </w:rPr>
        <w:t>feeding into a cloud based GIS database</w:t>
      </w:r>
      <w:r w:rsidRPr="007C2D12">
        <w:rPr>
          <w:rFonts w:ascii="Calibri" w:hAnsi="Calibri"/>
          <w:color w:val="000000" w:themeColor="text1"/>
          <w:sz w:val="20"/>
          <w:szCs w:val="20"/>
        </w:rPr>
        <w:t xml:space="preserve">.  In order to leverage ArcGIS technology in native mobile applications, the ArcGIS Runtime Software Development Kits (SDKs) </w:t>
      </w:r>
      <w:r w:rsidR="00F22E8D" w:rsidRPr="007C2D12">
        <w:rPr>
          <w:rFonts w:ascii="Calibri" w:hAnsi="Calibri"/>
          <w:color w:val="000000" w:themeColor="text1"/>
          <w:sz w:val="20"/>
          <w:szCs w:val="20"/>
        </w:rPr>
        <w:t>must be</w:t>
      </w:r>
      <w:r w:rsidRPr="007C2D12">
        <w:rPr>
          <w:rFonts w:ascii="Calibri" w:hAnsi="Calibri"/>
          <w:color w:val="000000" w:themeColor="text1"/>
          <w:sz w:val="20"/>
          <w:szCs w:val="20"/>
        </w:rPr>
        <w:t xml:space="preserve"> used.  The application for this project </w:t>
      </w:r>
      <w:r w:rsidR="00D03754" w:rsidRPr="007C2D12">
        <w:rPr>
          <w:rFonts w:ascii="Calibri" w:hAnsi="Calibri"/>
          <w:color w:val="000000" w:themeColor="text1"/>
          <w:sz w:val="20"/>
          <w:szCs w:val="20"/>
        </w:rPr>
        <w:t>is currently being</w:t>
      </w:r>
      <w:r w:rsidRPr="007C2D12">
        <w:rPr>
          <w:rFonts w:ascii="Calibri" w:hAnsi="Calibri"/>
          <w:color w:val="000000" w:themeColor="text1"/>
          <w:sz w:val="20"/>
          <w:szCs w:val="20"/>
        </w:rPr>
        <w:t xml:space="preserve"> built separately for iOS and Android using the ArcGIS Runtime SDK for iOS and ArcGIS Runtime SDK for Android, respectively.</w:t>
      </w:r>
      <w:r w:rsidR="00BA49D0">
        <w:rPr>
          <w:rFonts w:ascii="Calibri" w:hAnsi="Calibri"/>
          <w:color w:val="000000" w:themeColor="text1"/>
          <w:sz w:val="20"/>
          <w:szCs w:val="20"/>
        </w:rPr>
        <w:t xml:space="preserve">  </w:t>
      </w:r>
      <w:r w:rsidR="00BA49D0" w:rsidRPr="00BA49D0">
        <w:rPr>
          <w:sz w:val="20"/>
          <w:szCs w:val="20"/>
        </w:rPr>
        <w:t>The Android and iOS platforms were chosen because collectively they make up 93.95% of the mobile market share as of June 2016, with Android taking 70.85% and iOS taking 23.1% (Epstein 2016).</w:t>
      </w:r>
    </w:p>
    <w:p w14:paraId="2BD3848D"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The ArcGIS Runtime</w:t>
      </w:r>
    </w:p>
    <w:p w14:paraId="6C90ECF6"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ArcGIS Runtime exposes ArcGIS functionality natively to Desktop, mobile, and embedded devices. It is based on a small, cross platform high performance C++ Runtime Core with its own geometry engine.  The ArcGIS Runtime also allows for a faster display via GPU Acceleration with OpenGL or DirectX, depending on which platform is being used.  ESRI provides Runtime SDKs to support virtually all platforms in the desktop and mobile environments, and each Application Programming Interface (API) has its own bindings to the Runtime Core (ESRI 2015).</w:t>
      </w:r>
    </w:p>
    <w:p w14:paraId="0EDF8E1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Study Area and Data</w:t>
      </w:r>
    </w:p>
    <w:p w14:paraId="1905410B" w14:textId="77777777" w:rsidR="0033345A" w:rsidRPr="007C2D12" w:rsidRDefault="00952B1B" w:rsidP="0033345A">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shapefile was downloaded from the Minnesota GeoCommons website, which will serve as one of the basemap layers for the mobile application to help track existing quarantines as well as counties that could have infestations based on data collected by citizens.  Other GIS data that is used in the app comes from the MDA’s own web GIS map service for the EAB in Minnesota.  This service includes locations of known EAB infestations, release of biocontrol agents such as various species of wasps to prey on the EAB, and counties with their respected quarantine status.</w:t>
      </w:r>
    </w:p>
    <w:p w14:paraId="1FCC3036" w14:textId="799CF51F" w:rsidR="00952B1B" w:rsidRPr="007C2D12" w:rsidRDefault="00952B1B" w:rsidP="00F22E8D">
      <w:pPr>
        <w:pStyle w:val="Heading2"/>
        <w:rPr>
          <w:rFonts w:ascii="Calibri" w:hAnsi="Calibri"/>
          <w:b/>
          <w:color w:val="000000" w:themeColor="text1"/>
          <w:sz w:val="20"/>
          <w:szCs w:val="20"/>
        </w:rPr>
      </w:pPr>
      <w:r w:rsidRPr="007C2D12">
        <w:rPr>
          <w:rFonts w:ascii="Calibri" w:hAnsi="Calibri"/>
          <w:b/>
          <w:color w:val="000000" w:themeColor="text1"/>
          <w:sz w:val="20"/>
          <w:szCs w:val="20"/>
        </w:rPr>
        <w:t>Methods</w:t>
      </w:r>
    </w:p>
    <w:p w14:paraId="023AD9D3" w14:textId="77777777" w:rsidR="00F22E8D" w:rsidRPr="007C2D12" w:rsidRDefault="00F22E8D" w:rsidP="00F22E8D">
      <w:pPr>
        <w:rPr>
          <w:sz w:val="20"/>
          <w:szCs w:val="20"/>
        </w:rPr>
      </w:pPr>
    </w:p>
    <w:p w14:paraId="776255D7"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GIS Data Preparation</w:t>
      </w:r>
    </w:p>
    <w:p w14:paraId="12840B39" w14:textId="144B20D4"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A file geodatabase was set up with a point feature class to track individual sightings and a polygon feature class to track counties with their respected quarantine status</w:t>
      </w:r>
      <w:r w:rsidR="00BD583B" w:rsidRPr="007C2D12">
        <w:rPr>
          <w:rFonts w:ascii="Calibri" w:hAnsi="Calibri"/>
          <w:color w:val="000000" w:themeColor="text1"/>
          <w:sz w:val="20"/>
          <w:szCs w:val="20"/>
        </w:rPr>
        <w:t xml:space="preserve"> and was published to ArcGIS Online as a hosted feature service</w:t>
      </w:r>
      <w:r w:rsidRPr="007C2D12">
        <w:rPr>
          <w:rFonts w:ascii="Calibri" w:hAnsi="Calibri"/>
          <w:color w:val="000000" w:themeColor="text1"/>
          <w:sz w:val="20"/>
          <w:szCs w:val="20"/>
        </w:rPr>
        <w:t xml:space="preserve">.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such as crown dieback, epicormic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w:t>
      </w:r>
      <w:r w:rsidR="006B3095" w:rsidRPr="007C2D12">
        <w:rPr>
          <w:rFonts w:ascii="Calibri" w:hAnsi="Calibri"/>
          <w:color w:val="000000" w:themeColor="text1"/>
          <w:sz w:val="20"/>
          <w:szCs w:val="20"/>
        </w:rPr>
        <w:t>Some</w:t>
      </w:r>
      <w:r w:rsidRPr="007C2D12">
        <w:rPr>
          <w:rFonts w:ascii="Calibri" w:hAnsi="Calibri"/>
          <w:color w:val="000000" w:themeColor="text1"/>
          <w:sz w:val="20"/>
          <w:szCs w:val="20"/>
        </w:rPr>
        <w:t xml:space="preserve"> attributes are automatically populated by </w:t>
      </w:r>
      <w:r w:rsidR="006B3095" w:rsidRPr="007C2D12">
        <w:rPr>
          <w:rFonts w:ascii="Calibri" w:hAnsi="Calibri"/>
          <w:color w:val="000000" w:themeColor="text1"/>
          <w:sz w:val="20"/>
          <w:szCs w:val="20"/>
        </w:rPr>
        <w:t>app such as</w:t>
      </w:r>
      <w:r w:rsidRPr="007C2D12">
        <w:rPr>
          <w:rFonts w:ascii="Calibri" w:hAnsi="Calibri"/>
          <w:color w:val="000000" w:themeColor="text1"/>
          <w:sz w:val="20"/>
          <w:szCs w:val="20"/>
        </w:rPr>
        <w:t xml:space="preserve"> latitude and longitude as well as an address provided by reverse geocoding the input point.  </w:t>
      </w:r>
    </w:p>
    <w:p w14:paraId="6EAF55C2"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county polygons are much simpler with the only important attribute other than the county name being the current quarantine status.  There are three options for the application: currently quarantined, no positive sightings, and needs to be considered for quarantine.  The sighting points and county data were published to ArcGIS Online as a hosted Feature Service with editing capabilities.  </w:t>
      </w:r>
    </w:p>
    <w:p w14:paraId="5779DB53" w14:textId="30857679"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A web map was also created in ArcGIS Online to store some configurations for the mobile applications.  It is advantageous to reference a web map in an ArcGIS Runtime app because the web map specification contains popup attributes and layer definitions for the ArcGIS web services </w:t>
      </w:r>
      <w:r w:rsidR="00BA25D5" w:rsidRPr="007C2D12">
        <w:rPr>
          <w:rFonts w:ascii="Calibri" w:hAnsi="Calibri"/>
          <w:color w:val="000000" w:themeColor="text1"/>
          <w:sz w:val="20"/>
          <w:szCs w:val="20"/>
        </w:rPr>
        <w:t>and can be transferred into the app</w:t>
      </w:r>
      <w:r w:rsidRPr="007C2D12">
        <w:rPr>
          <w:rFonts w:ascii="Calibri" w:hAnsi="Calibri"/>
          <w:color w:val="000000" w:themeColor="text1"/>
          <w:sz w:val="20"/>
          <w:szCs w:val="20"/>
        </w:rPr>
        <w:t>.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  It is also possible to create a JSON structure that mimics that of a web map to handle the layer and popup configurations to be used in a Runtime app as well.</w:t>
      </w:r>
      <w:r w:rsidR="00BA25D5" w:rsidRPr="007C2D12">
        <w:rPr>
          <w:rFonts w:ascii="Calibri" w:hAnsi="Calibri"/>
          <w:color w:val="000000" w:themeColor="text1"/>
          <w:sz w:val="20"/>
          <w:szCs w:val="20"/>
        </w:rPr>
        <w:t xml:space="preserve">  It is important to note that because the ArcGIS Runtime has its own display engine, the layers from the web app are not viewed through a browser, instead they are rendered on the device natively with OpenGL GPU acceleration.  </w:t>
      </w:r>
    </w:p>
    <w:p w14:paraId="42EFA7C4" w14:textId="643AB0C5" w:rsidR="00952B1B" w:rsidRPr="007C2D12" w:rsidRDefault="00952B1B" w:rsidP="00A33F71">
      <w:pPr>
        <w:pStyle w:val="Heading4"/>
        <w:spacing w:line="480" w:lineRule="auto"/>
        <w:rPr>
          <w:rFonts w:ascii="Calibri" w:hAnsi="Calibri"/>
          <w:b/>
          <w:i w:val="0"/>
          <w:color w:val="000000" w:themeColor="text1"/>
          <w:sz w:val="20"/>
          <w:szCs w:val="20"/>
        </w:rPr>
      </w:pPr>
      <w:r w:rsidRPr="007C2D12">
        <w:rPr>
          <w:rFonts w:ascii="Calibri" w:hAnsi="Calibri"/>
          <w:i w:val="0"/>
          <w:color w:val="000000" w:themeColor="text1"/>
          <w:sz w:val="20"/>
          <w:szCs w:val="20"/>
        </w:rPr>
        <w:tab/>
      </w:r>
      <w:r w:rsidRPr="007C2D12">
        <w:rPr>
          <w:rFonts w:ascii="Calibri" w:hAnsi="Calibri"/>
          <w:b/>
          <w:i w:val="0"/>
          <w:color w:val="000000" w:themeColor="text1"/>
          <w:sz w:val="20"/>
          <w:szCs w:val="20"/>
        </w:rPr>
        <w:t>Mobile Phone Applications</w:t>
      </w:r>
    </w:p>
    <w:p w14:paraId="7F03F007"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biocontrols,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3675E72B" w14:textId="3A9C6B48"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iOS Application Setup</w:t>
      </w:r>
    </w:p>
    <w:p w14:paraId="606A989F" w14:textId="2C1A6603"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 iOS application was developed using the new Swift programming language created by Apple.  Swift offers many benefits over the traditional Apple development language of Objective-C with features such as automatic memory management, dynamic library support, and optional variable unwrapping.  All Swift coding was done within the Xcode Integrated Development Environment (IDE).  The first step in this application was to enable the ArcGIS functionality required for the app.  Because the ArcGIS Runtime SDK for iOS is a third party library provided by ESRI, it needed to be referenced in the app as a dependency.  This was added to the EAB Tracker app by using CocoaPods, which is a dependency manager for Swift and Objective-C projects.  A podfile was set up and used to install the ArcGIS API version 10.2.5 locally within the project so it could be compiled with the application’s source code (Figure X).</w:t>
      </w:r>
    </w:p>
    <w:p w14:paraId="746E04C5"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There are also some application security settings that needed to be managed within the project as well.   Because this application will be working with ArcGIS Web Services, the device will need to have appropriate permissions set to make web requests.  Exception domains for accessing ArcGIS Online and the Google Maps Geocoding API 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 app source code.</w:t>
      </w:r>
    </w:p>
    <w:p w14:paraId="64F29774" w14:textId="7811F6EC" w:rsidR="00952B1B" w:rsidRPr="007C2D12" w:rsidRDefault="00952B1B" w:rsidP="00A33F71">
      <w:pPr>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Android Application Setup</w:t>
      </w:r>
    </w:p>
    <w:p w14:paraId="49A91BB3" w14:textId="77777777" w:rsidR="00952B1B"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 Android application was developed using the Java programming language and the Android Studio IDE, and the permissions set up was similar to iOS.  The ArcGIS Runtime SDK (version 10.2.7) for Android was added to the project as a dependency by using Gradle, which can be used to install third party libraries for Java/Android (Figure X).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p>
    <w:p w14:paraId="2FA59313" w14:textId="6B4886B6" w:rsidR="00B75DE9" w:rsidRDefault="00B75DE9" w:rsidP="00B75DE9">
      <w:pPr>
        <w:spacing w:line="480" w:lineRule="auto"/>
        <w:ind w:firstLine="720"/>
        <w:rPr>
          <w:rFonts w:ascii="Calibri" w:hAnsi="Calibri"/>
          <w:b/>
          <w:color w:val="000000" w:themeColor="text1"/>
          <w:sz w:val="20"/>
          <w:szCs w:val="20"/>
        </w:rPr>
      </w:pPr>
      <w:r>
        <w:rPr>
          <w:rFonts w:ascii="Calibri" w:hAnsi="Calibri"/>
          <w:b/>
          <w:color w:val="000000" w:themeColor="text1"/>
          <w:sz w:val="20"/>
          <w:szCs w:val="20"/>
        </w:rPr>
        <w:t>Building the Applications</w:t>
      </w:r>
    </w:p>
    <w:p w14:paraId="2D3BD433" w14:textId="3421BB67" w:rsidR="00B75DE9" w:rsidRPr="00B75DE9" w:rsidRDefault="00523966" w:rsidP="00B75DE9">
      <w:pPr>
        <w:spacing w:line="480" w:lineRule="auto"/>
        <w:ind w:firstLine="720"/>
        <w:rPr>
          <w:rFonts w:ascii="Calibri" w:hAnsi="Calibri"/>
          <w:color w:val="000000" w:themeColor="text1"/>
          <w:sz w:val="20"/>
          <w:szCs w:val="20"/>
        </w:rPr>
      </w:pPr>
      <w:r>
        <w:rPr>
          <w:rFonts w:ascii="Calibri" w:hAnsi="Calibri"/>
          <w:color w:val="000000" w:themeColor="text1"/>
          <w:sz w:val="20"/>
          <w:szCs w:val="20"/>
        </w:rPr>
        <w:t xml:space="preserve">Because the apps are </w:t>
      </w:r>
      <w:r w:rsidR="00D97746">
        <w:rPr>
          <w:rFonts w:ascii="Calibri" w:hAnsi="Calibri"/>
          <w:color w:val="000000" w:themeColor="text1"/>
          <w:sz w:val="20"/>
          <w:szCs w:val="20"/>
        </w:rPr>
        <w:t>built on different platforms, they will look and behave a little differently, but will still contain the same core functionality.  The main layout for each app will be in the style of a tabbed view application with the tabs being on top in Android, and at the bottom in iOS.  The app will always launch into the map view by as the default screen and will use the device’</w:t>
      </w:r>
      <w:r w:rsidR="009B0A3D">
        <w:rPr>
          <w:rFonts w:ascii="Calibri" w:hAnsi="Calibri"/>
          <w:color w:val="000000" w:themeColor="text1"/>
          <w:sz w:val="20"/>
          <w:szCs w:val="20"/>
        </w:rPr>
        <w:t>s GPS to zoom to the current location.  In the main map view, the user will have the ability to report a sighting.  When the user chooses to report a new sighting, the first thing the app will do is ask the user to take a photograph of the sighting or choose a photo from their media library.  Once a photo is added, the user will be asked to choose the type of sighting based on a visual cue (adult beetle present, larval gallery, D-shaped exit hole, etc).  Once a visual cue is chosen, the user will be brought to a form where they can fill out additional attribute information such as comments, sight description, their name and contact info.  A few attributes that are automatically populated</w:t>
      </w:r>
      <w:r w:rsidR="002A5048">
        <w:rPr>
          <w:rFonts w:ascii="Calibri" w:hAnsi="Calibri"/>
          <w:color w:val="000000" w:themeColor="text1"/>
          <w:sz w:val="20"/>
          <w:szCs w:val="20"/>
        </w:rPr>
        <w:t xml:space="preserve"> </w:t>
      </w:r>
      <w:r w:rsidR="009B0A3D">
        <w:rPr>
          <w:rFonts w:ascii="Calibri" w:hAnsi="Calibri"/>
          <w:color w:val="000000" w:themeColor="text1"/>
          <w:sz w:val="20"/>
          <w:szCs w:val="20"/>
        </w:rPr>
        <w:t>are the latitude and longitude from the device’s GPS, as well as an address for their current location.  The address is obtained by performing a reverse geocode against the Google Maps API by providing</w:t>
      </w:r>
      <w:bookmarkStart w:id="2" w:name="_GoBack"/>
      <w:bookmarkEnd w:id="2"/>
      <w:r w:rsidR="009B0A3D">
        <w:rPr>
          <w:rFonts w:ascii="Calibri" w:hAnsi="Calibri"/>
          <w:color w:val="000000" w:themeColor="text1"/>
          <w:sz w:val="20"/>
          <w:szCs w:val="20"/>
        </w:rPr>
        <w:t xml:space="preserve"> latitude and longitude values.</w:t>
      </w:r>
    </w:p>
    <w:p w14:paraId="779884B4"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Expected Results</w:t>
      </w:r>
    </w:p>
    <w:p w14:paraId="3127F610"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The mobile application can provide an effective means of tracking new sightings and promote early detection of new infestations.  Each year, the MDA provides workshops to train citizens on how to identify and report new EAB infestations.  This mobile application could serve as a complimentary tool to quickly report new sightings in a consistent manner with coordinate information and photographic evidence.  Because the app will be using push notifications, MDA staff who use the app will be notified immediately when a new sighting is reported, and can hopefully promptly visit the site to validate and take any necessary actions.</w:t>
      </w:r>
    </w:p>
    <w:p w14:paraId="65178346"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 most difficult task will be engaging the public and getting volunteers to submit new sightings.  One major challenge is letting people know that the app exists in the first place.  Social media could be used for advertising, but picking the best venues to distribute this information will not be easy.  Another important aspect is to ensure that the app is designed in a way that is visually appealing, intuitive, and easy to use.  A poorly designed app will likely not get much use or provide any tangible value to aid in early detection of the EAB.</w:t>
      </w:r>
    </w:p>
    <w:p w14:paraId="52140EDD"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Conclusion</w:t>
      </w:r>
    </w:p>
    <w:p w14:paraId="3C421327" w14:textId="706E7258" w:rsidR="00C76F23" w:rsidRPr="007C2D12" w:rsidRDefault="00952B1B" w:rsidP="005A3607">
      <w:pPr>
        <w:spacing w:line="480" w:lineRule="auto"/>
        <w:rPr>
          <w:rFonts w:ascii="Calibri" w:hAnsi="Calibri"/>
          <w:b/>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I believe that this tool could make a difference in early detection and swift mitigation strategies if enough people use the app.</w:t>
      </w:r>
    </w:p>
    <w:sectPr w:rsidR="00C76F23" w:rsidRPr="007C2D1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B"/>
    <w:rsid w:val="000F371D"/>
    <w:rsid w:val="00253E85"/>
    <w:rsid w:val="002776A0"/>
    <w:rsid w:val="00287CB3"/>
    <w:rsid w:val="002A5048"/>
    <w:rsid w:val="002D4AAF"/>
    <w:rsid w:val="002D7E4E"/>
    <w:rsid w:val="0033345A"/>
    <w:rsid w:val="003628CA"/>
    <w:rsid w:val="003A637B"/>
    <w:rsid w:val="00421BAB"/>
    <w:rsid w:val="00447B41"/>
    <w:rsid w:val="00464601"/>
    <w:rsid w:val="004C5514"/>
    <w:rsid w:val="004D5E57"/>
    <w:rsid w:val="00523966"/>
    <w:rsid w:val="005A3607"/>
    <w:rsid w:val="005C2457"/>
    <w:rsid w:val="005C4E79"/>
    <w:rsid w:val="005E5428"/>
    <w:rsid w:val="005F5ABE"/>
    <w:rsid w:val="00602D32"/>
    <w:rsid w:val="00607F40"/>
    <w:rsid w:val="00641F12"/>
    <w:rsid w:val="006950B1"/>
    <w:rsid w:val="006B3095"/>
    <w:rsid w:val="006B3A59"/>
    <w:rsid w:val="006D48A8"/>
    <w:rsid w:val="006F2BAC"/>
    <w:rsid w:val="00701355"/>
    <w:rsid w:val="007C2D12"/>
    <w:rsid w:val="007E554F"/>
    <w:rsid w:val="008C7D08"/>
    <w:rsid w:val="0091702C"/>
    <w:rsid w:val="00930016"/>
    <w:rsid w:val="00952B1B"/>
    <w:rsid w:val="009B0A3D"/>
    <w:rsid w:val="00A33F71"/>
    <w:rsid w:val="00AA60C9"/>
    <w:rsid w:val="00B17457"/>
    <w:rsid w:val="00B75DE9"/>
    <w:rsid w:val="00BA25D5"/>
    <w:rsid w:val="00BA49D0"/>
    <w:rsid w:val="00BA70D4"/>
    <w:rsid w:val="00BD583B"/>
    <w:rsid w:val="00BF011D"/>
    <w:rsid w:val="00C86BE7"/>
    <w:rsid w:val="00CF4785"/>
    <w:rsid w:val="00D03754"/>
    <w:rsid w:val="00D60CD2"/>
    <w:rsid w:val="00D97746"/>
    <w:rsid w:val="00DC7A5A"/>
    <w:rsid w:val="00DE0C90"/>
    <w:rsid w:val="00EB662E"/>
    <w:rsid w:val="00F22E8D"/>
    <w:rsid w:val="00F4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F93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1B"/>
  </w:style>
  <w:style w:type="paragraph" w:styleId="Heading1">
    <w:name w:val="heading 1"/>
    <w:basedOn w:val="Normal"/>
    <w:next w:val="Normal"/>
    <w:link w:val="Heading1Char"/>
    <w:uiPriority w:val="9"/>
    <w:qFormat/>
    <w:rsid w:val="0095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E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2B1B"/>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52B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2B1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52B1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unhideWhenUsed/>
    <w:qFormat/>
    <w:rsid w:val="00952B1B"/>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952B1B"/>
    <w:rPr>
      <w:color w:val="0563C1" w:themeColor="hyperlink"/>
      <w:u w:val="single"/>
    </w:rPr>
  </w:style>
  <w:style w:type="paragraph" w:styleId="NoSpacing">
    <w:name w:val="No Spacing"/>
    <w:uiPriority w:val="1"/>
    <w:qFormat/>
    <w:rsid w:val="00952B1B"/>
    <w:rPr>
      <w:sz w:val="22"/>
      <w:szCs w:val="22"/>
    </w:rPr>
  </w:style>
  <w:style w:type="character" w:customStyle="1" w:styleId="Heading2Char">
    <w:name w:val="Heading 2 Char"/>
    <w:basedOn w:val="DefaultParagraphFont"/>
    <w:link w:val="Heading2"/>
    <w:uiPriority w:val="9"/>
    <w:rsid w:val="00F22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da.state.mn.us/arrestthep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3291</Words>
  <Characters>18765</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Web GIS and VGI</vt:lpstr>
      <vt:lpstr>        Engaging the public</vt:lpstr>
      <vt:lpstr>        The ArcGIS Runtime</vt:lpstr>
      <vt:lpstr>        Study Area and Data</vt:lpstr>
      <vt:lpstr>    Methods</vt:lpstr>
      <vt:lpstr>        GIS Data Preparation</vt:lpstr>
    </vt:vector>
  </TitlesOfParts>
  <LinksUpToDate>false</LinksUpToDate>
  <CharactersWithSpaces>22012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35</cp:revision>
  <dcterms:created xsi:type="dcterms:W3CDTF">2016-10-13T22:19:00Z</dcterms:created>
  <dcterms:modified xsi:type="dcterms:W3CDTF">2016-10-14T18:50:00Z</dcterms:modified>
</cp:coreProperties>
</file>