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39C" w14:textId="77777777" w:rsidR="000A47B9" w:rsidRDefault="00B471AD">
      <w:pPr>
        <w:rPr>
          <w:rFonts w:ascii="Arial" w:hAnsi="Arial" w:cs="Arial"/>
          <w:sz w:val="28"/>
          <w:szCs w:val="28"/>
        </w:rPr>
      </w:pPr>
      <w:r w:rsidRPr="000A47B9">
        <w:rPr>
          <w:rFonts w:ascii="Arial" w:hAnsi="Arial" w:cs="Arial"/>
          <w:sz w:val="28"/>
          <w:szCs w:val="28"/>
        </w:rPr>
        <w:t xml:space="preserve">Etanol de Primeira Geração </w:t>
      </w:r>
    </w:p>
    <w:p w14:paraId="18DB7C4F" w14:textId="77777777" w:rsidR="000A47B9" w:rsidRDefault="000A47B9">
      <w:pPr>
        <w:rPr>
          <w:rFonts w:ascii="Arial" w:hAnsi="Arial" w:cs="Arial"/>
          <w:sz w:val="28"/>
          <w:szCs w:val="28"/>
        </w:rPr>
      </w:pPr>
    </w:p>
    <w:p w14:paraId="0F1634F2" w14:textId="61F9EC06" w:rsidR="00994A4C" w:rsidRDefault="00B471AD" w:rsidP="00994A4C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0A47B9">
        <w:rPr>
          <w:rFonts w:ascii="Arial" w:hAnsi="Arial" w:cs="Arial"/>
          <w:sz w:val="28"/>
          <w:szCs w:val="28"/>
        </w:rPr>
        <w:t>Em geral, os biocombustíveis de primeira geração apresentam benefícios em termos ambientais e econômicos: redução de emissões de gases do efeito estufa, melhora no balanço energético, e aumento da oferta de energia limpa</w:t>
      </w:r>
      <w:r w:rsidR="00705C48">
        <w:rPr>
          <w:rFonts w:ascii="Arial" w:hAnsi="Arial" w:cs="Arial"/>
          <w:sz w:val="28"/>
          <w:szCs w:val="28"/>
        </w:rPr>
        <w:t>.</w:t>
      </w:r>
      <w:r w:rsidR="00985DA5">
        <w:rPr>
          <w:rFonts w:ascii="Arial" w:hAnsi="Arial" w:cs="Arial"/>
          <w:sz w:val="28"/>
          <w:szCs w:val="28"/>
        </w:rPr>
        <w:t xml:space="preserve"> </w:t>
      </w:r>
      <w:r w:rsidR="00B97308">
        <w:rPr>
          <w:rFonts w:ascii="Arial" w:hAnsi="Arial" w:cs="Arial"/>
          <w:sz w:val="28"/>
          <w:szCs w:val="28"/>
        </w:rPr>
        <w:t xml:space="preserve">O </w:t>
      </w:r>
      <w:r w:rsidR="00764BF8" w:rsidRPr="00764BF8">
        <w:rPr>
          <w:rFonts w:ascii="Arial" w:hAnsi="Arial" w:cs="Arial"/>
          <w:sz w:val="28"/>
          <w:szCs w:val="28"/>
        </w:rPr>
        <w:t>bioetanol</w:t>
      </w:r>
      <w:r w:rsidR="00B97308">
        <w:rPr>
          <w:rFonts w:ascii="Arial" w:hAnsi="Arial" w:cs="Arial"/>
          <w:sz w:val="28"/>
          <w:szCs w:val="28"/>
        </w:rPr>
        <w:t xml:space="preserve">, do ponto de vista da utilização industrial, é tomado como aquele constituído de fibra e caldo no âmbito de sua produção. A fibra é todo material insolúvel e o caldo é o conjunto de água e de todos os sólidos solúveis (açúcar, cinzas, </w:t>
      </w:r>
      <w:proofErr w:type="spellStart"/>
      <w:r w:rsidR="00B97308">
        <w:rPr>
          <w:rFonts w:ascii="Arial" w:hAnsi="Arial" w:cs="Arial"/>
          <w:sz w:val="28"/>
          <w:szCs w:val="28"/>
        </w:rPr>
        <w:t>etc</w:t>
      </w:r>
      <w:proofErr w:type="spellEnd"/>
      <w:r w:rsidR="00B97308">
        <w:rPr>
          <w:rFonts w:ascii="Arial" w:hAnsi="Arial" w:cs="Arial"/>
          <w:sz w:val="28"/>
          <w:szCs w:val="28"/>
        </w:rPr>
        <w:t>).</w:t>
      </w:r>
    </w:p>
    <w:p w14:paraId="047EF56B" w14:textId="3337C0B3" w:rsidR="00124215" w:rsidRPr="000A47B9" w:rsidRDefault="00B97308" w:rsidP="00994A4C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B97308">
        <w:rPr>
          <w:rFonts w:ascii="Arial" w:hAnsi="Arial" w:cs="Arial"/>
          <w:sz w:val="28"/>
          <w:szCs w:val="28"/>
        </w:rPr>
        <w:t xml:space="preserve">Resíduos agrícolas como bagaço e palha de cana-de-açúcar, </w:t>
      </w:r>
      <w:r w:rsidR="000D04FF">
        <w:rPr>
          <w:rFonts w:ascii="Arial" w:hAnsi="Arial" w:cs="Arial"/>
          <w:sz w:val="28"/>
          <w:szCs w:val="28"/>
        </w:rPr>
        <w:t xml:space="preserve">espiga e talo de milho </w:t>
      </w:r>
      <w:r w:rsidRPr="00B97308">
        <w:rPr>
          <w:rFonts w:ascii="Arial" w:hAnsi="Arial" w:cs="Arial"/>
          <w:sz w:val="28"/>
          <w:szCs w:val="28"/>
        </w:rPr>
        <w:t>que tradicionalmente são queimados ou descartados, podem ser matérias-primas para obtenção de bioetanol</w:t>
      </w:r>
      <w:r w:rsidR="000D04FF">
        <w:rPr>
          <w:rFonts w:ascii="Arial" w:hAnsi="Arial" w:cs="Arial"/>
          <w:sz w:val="28"/>
          <w:szCs w:val="28"/>
        </w:rPr>
        <w:t xml:space="preserve"> pelo qual a vinhaça é o resíduo principal do E1G</w:t>
      </w:r>
      <w:r w:rsidRPr="00B97308">
        <w:rPr>
          <w:rFonts w:ascii="Arial" w:hAnsi="Arial" w:cs="Arial"/>
          <w:sz w:val="28"/>
          <w:szCs w:val="28"/>
        </w:rPr>
        <w:t>.</w:t>
      </w:r>
    </w:p>
    <w:p w14:paraId="68EFF035" w14:textId="79E4E67E" w:rsidR="00705C48" w:rsidRPr="00705C48" w:rsidRDefault="00764BF8" w:rsidP="00994A4C">
      <w:pPr>
        <w:ind w:firstLine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705C48" w:rsidRPr="00705C48">
        <w:rPr>
          <w:rFonts w:ascii="Arial" w:hAnsi="Arial" w:cs="Arial"/>
          <w:sz w:val="28"/>
          <w:szCs w:val="28"/>
        </w:rPr>
        <w:t xml:space="preserve"> vinhaça é um subproduto da destilação do etanol, sua proporção </w:t>
      </w:r>
      <w:r w:rsidR="00124215" w:rsidRPr="00705C48">
        <w:rPr>
          <w:rFonts w:ascii="Arial" w:hAnsi="Arial" w:cs="Arial"/>
          <w:sz w:val="28"/>
          <w:szCs w:val="28"/>
        </w:rPr>
        <w:t>de produção</w:t>
      </w:r>
      <w:r w:rsidR="00705C48" w:rsidRPr="00705C48">
        <w:rPr>
          <w:rFonts w:ascii="Arial" w:hAnsi="Arial" w:cs="Arial"/>
          <w:sz w:val="28"/>
          <w:szCs w:val="28"/>
        </w:rPr>
        <w:t xml:space="preserve"> dependendo da composição do vinho no processo de fermentação da indústria, é em torno de 10 a 18 litros de vinhaça</w:t>
      </w:r>
      <w:r w:rsidR="00EF0529">
        <w:rPr>
          <w:rFonts w:ascii="Arial" w:hAnsi="Arial" w:cs="Arial"/>
          <w:sz w:val="28"/>
          <w:szCs w:val="28"/>
        </w:rPr>
        <w:t xml:space="preserve"> </w:t>
      </w:r>
      <w:r w:rsidR="00705C48" w:rsidRPr="00705C48">
        <w:rPr>
          <w:rFonts w:ascii="Arial" w:hAnsi="Arial" w:cs="Arial"/>
          <w:sz w:val="28"/>
          <w:szCs w:val="28"/>
        </w:rPr>
        <w:t>para cada 1 litro de etanol produzido. O seu excesso na fertirrigação pode afetar a qualidade da cana, salinização do solo e poluição do lençol freático (SILVA et al.,2007).</w:t>
      </w:r>
    </w:p>
    <w:p w14:paraId="075A10DF" w14:textId="706D9716" w:rsidR="000A47B9" w:rsidRPr="000A47B9" w:rsidRDefault="000A47B9" w:rsidP="00994A4C">
      <w:pPr>
        <w:ind w:firstLine="426"/>
        <w:jc w:val="both"/>
        <w:rPr>
          <w:rFonts w:ascii="Arial" w:hAnsi="Arial" w:cs="Arial"/>
          <w:sz w:val="28"/>
          <w:szCs w:val="28"/>
        </w:rPr>
      </w:pPr>
    </w:p>
    <w:sectPr w:rsidR="000A47B9" w:rsidRPr="000A4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AD"/>
    <w:rsid w:val="000A47B9"/>
    <w:rsid w:val="000D04FF"/>
    <w:rsid w:val="00124215"/>
    <w:rsid w:val="004005AF"/>
    <w:rsid w:val="00705C48"/>
    <w:rsid w:val="00764BF8"/>
    <w:rsid w:val="00985DA5"/>
    <w:rsid w:val="00994A4C"/>
    <w:rsid w:val="00B471AD"/>
    <w:rsid w:val="00B97308"/>
    <w:rsid w:val="00C723DC"/>
    <w:rsid w:val="00D87744"/>
    <w:rsid w:val="00EF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7F9C"/>
  <w15:docId w15:val="{F7D28002-A1BD-4842-ADED-22B417FC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2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73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72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45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2023-11-29T06:09:00Z</dcterms:created>
  <dcterms:modified xsi:type="dcterms:W3CDTF">2023-12-24T20:41:00Z</dcterms:modified>
</cp:coreProperties>
</file>