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Regulation and Player Odds: A Case Study of Offshore iGaming (GemBet)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Business Analytics Project Proposal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This project examines how gambling regulation shapes player outcomes, using GemBet, an offshore sportsbook and casino operator, as the central case study. The core question: do players in tightly regulated markets (UK, US) genuinely get fairer odds and stronger protections than players on offshore platforms licensed in low-oversight jurisdictions, and if so, why does that gap exist and how large is it?</w:t>
      </w:r>
    </w:p>
    <w:p>
      <w:pPr>
        <w:pStyle w:val="Heading1"/>
      </w:pPr>
      <w:r>
        <w:t xml:space="preserve">2. Core Thesis</w:t>
      </w:r>
    </w:p>
    <w:p>
      <w:pPr>
        <w:spacing w:after="200"/>
      </w:pPr>
      <w:r>
        <w:t xml:space="preserve">In jurisdictions like the UK (UK Gambling Commission) and the US (state-level gaming boards), operators must legally disclose minimum RTP (Return to Player) thresholds, submit games to independent testing labs, and face real penalties for manipulation or non-disclosure. Offshore operators licensed in low-barrier jurisdictions such as Anjouan or Curacao face little to no equivalent requirement, and enforcement against foreign-based operators is difficult for consumer-protection agencies in the markets they actually target. The result is a structural, not luck-based, gap in player protection and disclosed fairness.</w:t>
      </w:r>
    </w:p>
    <w:p>
      <w:pPr>
        <w:pStyle w:val="Heading1"/>
      </w:pPr>
      <w:r>
        <w:t xml:space="preserve">3. Research and Analysis Structure</w:t>
      </w:r>
    </w:p>
    <w:p>
      <w:pPr>
        <w:pStyle w:val="Heading2"/>
      </w:pPr>
      <w:r>
        <w:t xml:space="preserve">3.1 Regulatory Comparison</w:t>
      </w:r>
    </w:p>
    <w:p>
      <w:pPr>
        <w:spacing w:after="100"/>
      </w:pPr>
      <w:r>
        <w:t xml:space="preserve">Build a side-by-side comparison table covering: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Licensing body and requirements (UKGC / US state boards vs Anjouan / Curacao)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 RTP disclosure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auditing requirements (e.g. eCOGRA, GLI, iTech Labs)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Dispute resolution mechanisms available to players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Penalties for non-compliance or manipulation</w:t>
      </w:r>
    </w:p>
    <w:p>
      <w:pPr>
        <w:pStyle w:val="Heading2"/>
      </w:pPr>
      <w:r>
        <w:t xml:space="preserve">3.2 GemBet Case Study</w:t>
      </w:r>
    </w:p>
    <w:p>
      <w:pPr>
        <w:spacing w:after="100"/>
      </w:pPr>
      <w:r>
        <w:t xml:space="preserve">Document GemBet's corporate and regulatory structure as a real-world example: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Holding company: Grand Complications N.V. (Curacao)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Gaming license: issued by the Autonomous Island of Anjouan, Union of Comoros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processing subsidiary: Rockman Enterprises Limited (Cyprus)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verifiable independently-published RTP audits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Inconsistent license claims across its own marketing sites (some cite Anjouan, some cite Curacao 365/JAZ, one falsely references a UK license)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Marketed heavily into Singapore and Malaysia, where domestic law restricts unlicensed remote gambling</w:t>
      </w:r>
    </w:p>
    <w:p>
      <w:pPr>
        <w:pStyle w:val="Heading2"/>
      </w:pPr>
      <w:r>
        <w:t xml:space="preserve">3.3 Data and Coding Component</w:t>
      </w:r>
    </w:p>
    <w:p>
      <w:pPr>
        <w:spacing w:after="100"/>
      </w:pPr>
      <w:r>
        <w:t xml:space="preserve">This is the technical deliverable of the project: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Compile a dataset comparing disclosed RTP percentages across regulated operators (publicly required in the UK) versus offshore operators (often undisclosed)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'regulatory strength score' that rates operators on jurisdiction, license type, audit transparency, and disclosure completeness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Visualize the disclosure gap (Python: pandas + matplotlib, or a small Streamlit dashboard)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stretch goal: a script that checks a list of gambling site URLs for basic trust signals (SSL issuer, WHOIS jurisdiction, presence/absence of licensing information)</w:t>
      </w:r>
    </w:p>
    <w:p>
      <w:pPr>
        <w:pStyle w:val="Heading1"/>
      </w:pPr>
      <w:r>
        <w:t xml:space="preserve">4. Suggested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200"/>
      </w:tblGrid>
      <w:tr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research (UK/US vs offshore) + finalize dataset schema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 table draft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 on GemBet and comparable operators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dataset (CSV/SQL)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regulatory strength scoring script + visualizations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script + charts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Write-up, GitHub repo cleanup, final report/deck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submission</w:t>
            </w:r>
          </w:p>
        </w:tc>
      </w:tr>
    </w:tbl>
    <w:p>
      <w:pPr>
        <w:pStyle w:val="Heading1"/>
        <w:spacing w:before="300"/>
      </w:pPr>
      <w:r>
        <w:t xml:space="preserve">5.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(pandas, matplotlib/plotly) for data analysis and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for structuring the operator/regulation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for version control and portfolio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Streamlit or a simple React dashboard for an interactive view</w:t>
      </w:r>
    </w:p>
    <w:p>
      <w:pPr>
        <w:pStyle w:val="Heading1"/>
        <w:spacing w:before="300"/>
      </w:pPr>
      <w:r>
        <w:t xml:space="preserve">6. Key Takeaway</w:t>
      </w:r>
    </w:p>
    <w:p>
      <w:r>
        <w:rPr>
          <w:i/>
          <w:iCs/>
        </w:rPr>
        <w:t xml:space="preserve">The perceived 'better odds' in the UK/US aren't chance -- they're the product of enforced transparency. Offshore operators like GemBet profit, in part, from the absence of that enforcement in the markets they target.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2026-07-15T13:53:10.528Z</dcterms:created>
  <dcterms:modified xsi:type="dcterms:W3CDTF">2026-07-15T13:53:10.556Z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