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54081" w14:textId="2039AEAF" w:rsidR="00E56EA4" w:rsidRDefault="00E56EA4">
      <w:r>
        <w:t>Slav loved writing. See he found out where racism and sexism came from roots. What people don’t know is roots is its own world. It’s just a world with its own rules no one was alive during slavery so we don’t actually know what it was like. If people were treated that way, we have multiple civil wars and no white people because the slaves would have rebelled or died out or killed all the white people in their sleep. The government was just trying to learn how to control the population.</w:t>
      </w:r>
      <w:bookmarkStart w:id="0" w:name="_GoBack"/>
      <w:bookmarkEnd w:id="0"/>
    </w:p>
    <w:sectPr w:rsidR="00E5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A4"/>
    <w:rsid w:val="00E5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4F07"/>
  <w15:chartTrackingRefBased/>
  <w15:docId w15:val="{B290B78F-8B75-44BA-8FDF-A627B705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2019-09-12T22:18:00Z</dcterms:created>
  <dcterms:modified xsi:type="dcterms:W3CDTF">2019-09-12T22:23:00Z</dcterms:modified>
</cp:coreProperties>
</file>