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  <w:jc w:val="center"/>
      </w:pPr>
      <w:r>
        <w:rPr>
          <w:rFonts w:ascii="Space Mono" w:cs="Space Mono" w:eastAsia="Space Mono" w:hAnsi="Space Mono"/>
          <w:b/>
          <w:bCs/>
          <w:color w:val="00E5FF"/>
          <w:sz w:val="22"/>
          <w:szCs w:val="22"/>
        </w:rPr>
        <w:t xml:space="preserve">MANUAL DE IDENTIDAD VISUAL</w:t>
      </w:r>
    </w:p>
    <w:p>
      <w:pPr>
        <w:spacing w:after="200"/>
        <w:jc w:val="center"/>
      </w:pPr>
      <w:r>
        <w:rPr>
          <w:rFonts w:ascii="Rajdhani" w:cs="Rajdhani" w:eastAsia="Rajdhani" w:hAnsi="Rajdhani"/>
          <w:b/>
          <w:bCs/>
          <w:color w:val="FFAA00"/>
          <w:sz w:val="96"/>
          <w:szCs w:val="96"/>
        </w:rPr>
        <w:t xml:space="preserve">KALIMON</w:t>
      </w:r>
    </w:p>
    <w:p>
      <w:pPr>
        <w:spacing w:after="60"/>
        <w:jc w:val="center"/>
      </w:pPr>
      <w:r>
        <w:rPr>
          <w:rFonts w:ascii="Space Mono" w:cs="Space Mono" w:eastAsia="Space Mono" w:hAnsi="Space Mono"/>
          <w:color w:val="00E5FF"/>
          <w:sz w:val="24"/>
          <w:szCs w:val="24"/>
        </w:rPr>
        <w:t xml:space="preserve">THE ULTIMATE POKÉDEX</w:t>
      </w:r>
    </w:p>
    <w:p>
      <w:pPr>
        <w:spacing w:after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Versión:</w:t>
            </w:r>
          </w:p>
        </w:tc>
        <w:tc>
          <w:tcPr>
            <w:tcW w:type="dxa" w:w="25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5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Fecha:</w:t>
            </w:r>
          </w:p>
        </w:tc>
        <w:tc>
          <w:tcPr>
            <w:tcW w:type="dxa" w:w="25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16"/>
                <w:szCs w:val="16"/>
              </w:rPr>
              <w:t xml:space="preserve">Junio 2026</w:t>
            </w:r>
          </w:p>
        </w:tc>
      </w:tr>
      <w:tr>
        <w:tc>
          <w:tcPr>
            <w:tcW w:type="dxa" w:w="25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Autor:</w:t>
            </w:r>
          </w:p>
        </w:tc>
        <w:tc>
          <w:tcPr>
            <w:tcW w:type="dxa" w:w="25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16"/>
                <w:szCs w:val="16"/>
              </w:rPr>
              <w:t xml:space="preserve">Kaliche — DOSW 2026</w:t>
            </w:r>
          </w:p>
        </w:tc>
      </w:tr>
      <w:tr>
        <w:tc>
          <w:tcPr>
            <w:tcW w:type="dxa" w:w="25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Proyecto:</w:t>
            </w:r>
          </w:p>
        </w:tc>
        <w:tc>
          <w:tcPr>
            <w:tcW w:type="dxa" w:w="25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16"/>
                <w:szCs w:val="16"/>
              </w:rPr>
              <w:t xml:space="preserve">DOSW Intersemestral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ÍNDICE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SECCIÓN</w:t>
            </w:r>
          </w:p>
        </w:tc>
        <w:tc>
          <w:tcPr>
            <w:tcW w:type="dxa" w:w="79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01</w:t>
            </w:r>
          </w:p>
        </w:tc>
        <w:tc>
          <w:tcPr>
            <w:tcW w:type="dxa" w:w="79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Nombre y logotipo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02</w:t>
            </w:r>
          </w:p>
        </w:tc>
        <w:tc>
          <w:tcPr>
            <w:tcW w:type="dxa" w:w="79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Mascota — KaliMon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03</w:t>
            </w:r>
          </w:p>
        </w:tc>
        <w:tc>
          <w:tcPr>
            <w:tcW w:type="dxa" w:w="79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Paleta de colores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04</w:t>
            </w:r>
          </w:p>
        </w:tc>
        <w:tc>
          <w:tcPr>
            <w:tcW w:type="dxa" w:w="79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Tipografía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05</w:t>
            </w:r>
          </w:p>
        </w:tc>
        <w:tc>
          <w:tcPr>
            <w:tcW w:type="dxa" w:w="79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Iconografía y estilo gráfico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06</w:t>
            </w:r>
          </w:p>
        </w:tc>
        <w:tc>
          <w:tcPr>
            <w:tcW w:type="dxa" w:w="79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Tono de voz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07</w:t>
            </w:r>
          </w:p>
        </w:tc>
        <w:tc>
          <w:tcPr>
            <w:tcW w:type="dxa" w:w="79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Usos correctos e incorrectos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08</w:t>
            </w:r>
          </w:p>
        </w:tc>
        <w:tc>
          <w:tcPr>
            <w:tcW w:type="dxa" w:w="79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Aplicación en interfaz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01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Nombre y logotipo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El nombre KaliMon combina el apodo del creador —Kali— con Mon, abreviatura universal de Pokémon. El logo es un emblema circular de estética tech-gamer: oscuro, luminoso y épico, con Rayquaza y Mew flanqueando la Pokédex digital.</w:t>
      </w:r>
    </w:p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CONSTRUCCIÓN DEL LOGOTIPO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Wordmark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Rajdhani Bold 700 — Color principal: #FFAA00 (Dorado KaliMon)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Tagline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Space Mono — "THE ULTIMATE POKÉDEX" — Color: #00E5FF al 50% opacidad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Emblema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Círculo oscuro (#0D1B2A) con Pokéball central y borde neón (#00E5FF al 30%)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Pokéball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Mitad superior #FF1C1C, mitad inferior blanca, botón central con aro eléctrico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VERSIONES DEL LOGOTIPO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68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4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Fondo requerido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AA00"/>
                <w:sz w:val="18"/>
                <w:szCs w:val="18"/>
              </w:rPr>
              <w:t xml:space="preserve">Principal</w:t>
            </w:r>
          </w:p>
        </w:tc>
        <w:tc>
          <w:tcPr>
            <w:tcW w:type="dxa" w:w="46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Wordmark en dorado #FFAA00 sobre fondo oscuro</w:t>
            </w:r>
          </w:p>
        </w:tc>
        <w:tc>
          <w:tcPr>
            <w:tcW w:type="dxa" w:w="234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3D5166"/>
                <w:sz w:val="16"/>
                <w:szCs w:val="16"/>
              </w:rPr>
              <w:t xml:space="preserve">#0D1B2A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AA00"/>
                <w:sz w:val="18"/>
                <w:szCs w:val="18"/>
              </w:rPr>
              <w:t xml:space="preserve">Fondo claro</w:t>
            </w:r>
          </w:p>
        </w:tc>
        <w:tc>
          <w:tcPr>
            <w:tcW w:type="dxa" w:w="46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Wordmark en navy #0D1B2A sobre fondo gris claro</w:t>
            </w:r>
          </w:p>
        </w:tc>
        <w:tc>
          <w:tcPr>
            <w:tcW w:type="dxa" w:w="234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3D5166"/>
                <w:sz w:val="16"/>
                <w:szCs w:val="16"/>
              </w:rPr>
              <w:t xml:space="preserve">#F0F4F8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AA00"/>
                <w:sz w:val="18"/>
                <w:szCs w:val="18"/>
              </w:rPr>
              <w:t xml:space="preserve">Neón</w:t>
            </w:r>
          </w:p>
        </w:tc>
        <w:tc>
          <w:tcPr>
            <w:tcW w:type="dxa" w:w="46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Wordmark en azul eléctrico #00E5FF sobre fondo oscuro</w:t>
            </w:r>
          </w:p>
        </w:tc>
        <w:tc>
          <w:tcPr>
            <w:tcW w:type="dxa" w:w="234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3D5166"/>
                <w:sz w:val="16"/>
                <w:szCs w:val="16"/>
              </w:rPr>
              <w:t xml:space="preserve">#0D1B2A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AA00"/>
                <w:sz w:val="18"/>
                <w:szCs w:val="18"/>
              </w:rPr>
              <w:t xml:space="preserve">Sobre dorado</w:t>
            </w:r>
          </w:p>
        </w:tc>
        <w:tc>
          <w:tcPr>
            <w:tcW w:type="dxa" w:w="46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Wordmark en navy #0D1B2A sobre fondo dorado</w:t>
            </w:r>
          </w:p>
        </w:tc>
        <w:tc>
          <w:tcPr>
            <w:tcW w:type="dxa" w:w="234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3D5166"/>
                <w:sz w:val="16"/>
                <w:szCs w:val="16"/>
              </w:rPr>
              <w:t xml:space="preserve">#FFAA00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AA00"/>
                <w:sz w:val="18"/>
                <w:szCs w:val="18"/>
              </w:rPr>
              <w:t xml:space="preserve">Ícono solo</w:t>
            </w:r>
          </w:p>
        </w:tc>
        <w:tc>
          <w:tcPr>
            <w:tcW w:type="dxa" w:w="46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Emblema circular sin texto — uso en app, favicon, avatar</w:t>
            </w:r>
          </w:p>
        </w:tc>
        <w:tc>
          <w:tcPr>
            <w:tcW w:type="dxa" w:w="234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3D5166"/>
                <w:sz w:val="16"/>
                <w:szCs w:val="16"/>
              </w:rPr>
              <w:t xml:space="preserve">#0D1B2A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ZONA DE RESPETO</w:t>
      </w: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El espacio mínimo de respeto alrededor del logotipo equivale a la altura de la letra "K". Ningún elemento externo debe invadir esta zona. El tamaño mínimo del emblema circular es 24px; por debajo de ese tamaño no debe usarse.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02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Mascota — El dúo KaliMon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La identidad visual de KaliMon tiene dos guardianes: Rayquaza como el poder legendario que protege el conocimiento, y Mew como la curiosidad infinita y el origen de todo. Juntos flanquean la Pokédex digital en el emblema.</w:t>
      </w:r>
    </w:p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PERSONAJES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c>
          <w:tcPr>
            <w:tcW w:type="dxa" w:w="1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Personaje</w:t>
            </w:r>
          </w:p>
        </w:tc>
        <w:tc>
          <w:tcPr>
            <w:tcW w:type="dxa" w:w="22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Color base</w:t>
            </w:r>
          </w:p>
        </w:tc>
        <w:tc>
          <w:tcPr>
            <w:tcW w:type="dxa" w:w="26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Paleta</w:t>
            </w:r>
          </w:p>
        </w:tc>
        <w:tc>
          <w:tcPr>
            <w:tcW w:type="dxa" w:w="31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Simbolismo</w:t>
            </w:r>
          </w:p>
        </w:tc>
      </w:tr>
      <w:tr>
        <w:tc>
          <w:tcPr>
            <w:tcW w:type="dxa" w:w="1400"/>
            <w:gridSpan w:val="1"/>
            <w:tcBorders>
              <w:top w:val="single" w:color="007A4D" w:sz="4"/>
              <w:left w:val="single" w:color="007A4D" w:sz="4"/>
              <w:bottom w:val="single" w:color="007A4D" w:sz="4"/>
              <w:right w:val="single" w:color="007A4D" w:sz="4"/>
            </w:tcBorders>
            <w:shd w:fill="00A8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Rayquaza</w:t>
            </w:r>
          </w:p>
        </w:tc>
        <w:tc>
          <w:tcPr>
            <w:tcW w:type="dxa" w:w="22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#00A86B Verde Esmeralda</w:t>
            </w:r>
          </w:p>
        </w:tc>
        <w:tc>
          <w:tcPr>
            <w:tcW w:type="dxa" w:w="2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4"/>
                <w:szCs w:val="14"/>
              </w:rPr>
              <w:t xml:space="preserve">#00A86B · #007A4D · #FFD700</w:t>
            </w:r>
          </w:p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Fuerza, protección del conocimiento, ambición</w:t>
            </w:r>
          </w:p>
        </w:tc>
      </w:tr>
      <w:tr>
        <w:tc>
          <w:tcPr>
            <w:tcW w:type="dxa" w:w="1400"/>
            <w:gridSpan w:val="1"/>
            <w:tcBorders>
              <w:top w:val="single" w:color="FF91A4" w:sz="4"/>
              <w:left w:val="single" w:color="FF91A4" w:sz="4"/>
              <w:bottom w:val="single" w:color="FF91A4" w:sz="4"/>
              <w:right w:val="single" w:color="FF91A4" w:sz="4"/>
            </w:tcBorders>
            <w:shd w:fill="FFB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D1B2A"/>
                <w:sz w:val="18"/>
                <w:szCs w:val="18"/>
              </w:rPr>
              <w:t xml:space="preserve">Mew</w:t>
            </w:r>
          </w:p>
        </w:tc>
        <w:tc>
          <w:tcPr>
            <w:tcW w:type="dxa" w:w="22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#FFB6C1 Rosa Pastel</w:t>
            </w:r>
          </w:p>
        </w:tc>
        <w:tc>
          <w:tcPr>
            <w:tcW w:type="dxa" w:w="2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4"/>
                <w:szCs w:val="14"/>
              </w:rPr>
              <w:t xml:space="preserve">#FFB6C1 · #FF91A4 · #FFFFFF</w:t>
            </w:r>
          </w:p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Curiosidad ilimitada, rareza, origen de la vida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RASGOS DE PERSONALIDAD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20"/>
                <w:szCs w:val="20"/>
              </w:rPr>
              <w:t xml:space="preserve">Épico</w:t>
            </w:r>
          </w:p>
        </w:tc>
        <w:tc>
          <w:tcPr>
            <w:tcW w:type="dxa" w:w="1872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20"/>
                <w:szCs w:val="20"/>
              </w:rPr>
              <w:t xml:space="preserve">Tech-Gamer</w:t>
            </w:r>
          </w:p>
        </w:tc>
        <w:tc>
          <w:tcPr>
            <w:tcW w:type="dxa" w:w="1872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20"/>
                <w:szCs w:val="20"/>
              </w:rPr>
              <w:t xml:space="preserve">Legendario</w:t>
            </w:r>
          </w:p>
        </w:tc>
        <w:tc>
          <w:tcPr>
            <w:tcW w:type="dxa" w:w="1872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20"/>
                <w:szCs w:val="20"/>
              </w:rPr>
              <w:t xml:space="preserve">Digital</w:t>
            </w:r>
          </w:p>
        </w:tc>
        <w:tc>
          <w:tcPr>
            <w:tcW w:type="dxa" w:w="1872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20"/>
                <w:szCs w:val="20"/>
              </w:rPr>
              <w:t xml:space="preserve">Apasionado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03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Paleta de colores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La paleta de KaliMon está extraída directamente del logo: tecnológica, vibrante y oscura. Cada color tiene un rol semántico preciso en la interfaz.</w:t>
      </w:r>
    </w:p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COLORES PRIMARIOS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760"/>
      </w:tblGrid>
      <w:tr>
        <w:tc>
          <w:tcPr>
            <w:tcW w:type="dxa" w:w="1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Hex</w:t>
            </w:r>
          </w:p>
        </w:tc>
        <w:tc>
          <w:tcPr>
            <w:tcW w:type="dxa" w:w="28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Nombre</w:t>
            </w:r>
          </w:p>
        </w:tc>
        <w:tc>
          <w:tcPr>
            <w:tcW w:type="dxa" w:w="37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0E5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#00E5FF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Azul Eléctrico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Neón principal · interfaz digital · acentos activos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#0D1B2A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Azul Oscuro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Fondo base · escudo · superficies principales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112233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#112233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Azul Medio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Paneles · elevación sobre fondo base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1A2E4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#1A2E42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Azul Card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Tarjetas · contenedores de contenido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1C1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#FF1C1C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Rojo Pokéball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Acciones destructivas · mitad superior de la Pokéball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AA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#FFAA00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Dorado KaliMon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Tipografía del logo · elementos destacados especiales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0A8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#00A86B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Verde Rayquaza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Éxito · aprobación · Rayquaza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B6C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#FFB6C1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Rosa Mew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Especial · favoritos · Mew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6"/>
                <w:szCs w:val="16"/>
              </w:rPr>
              <w:t xml:space="preserve">#FFFFFF</w:t>
            </w:r>
          </w:p>
        </w:tc>
        <w:tc>
          <w:tcPr>
            <w:tcW w:type="dxa" w:w="2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Blanco Datos</w:t>
            </w:r>
          </w:p>
        </w:tc>
        <w:tc>
          <w:tcPr>
            <w:tcW w:type="dxa" w:w="37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Fondos de contenido · texto sobre oscuro · base Pokéball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COMBINACIONES DE COLOR APROBADAS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160"/>
        <w:gridCol w:w="3400"/>
      </w:tblGrid>
      <w:tr>
        <w:tc>
          <w:tcPr>
            <w:tcW w:type="dxa" w:w="1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Fondo</w:t>
            </w:r>
          </w:p>
        </w:tc>
        <w:tc>
          <w:tcPr>
            <w:tcW w:type="dxa" w:w="1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Texto / Acento</w:t>
            </w:r>
          </w:p>
        </w:tc>
        <w:tc>
          <w:tcPr>
            <w:tcW w:type="dxa" w:w="31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Combinación</w:t>
            </w:r>
          </w:p>
        </w:tc>
        <w:tc>
          <w:tcPr>
            <w:tcW w:type="dxa" w:w="3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0E5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#0D1B2A + #00E5FF</w:t>
            </w:r>
          </w:p>
        </w:tc>
        <w:tc>
          <w:tcPr>
            <w:tcW w:type="dxa" w:w="3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Interfaz principal — uso más frecuente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AA0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#0D1B2A + #FFAA00</w:t>
            </w:r>
          </w:p>
        </w:tc>
        <w:tc>
          <w:tcPr>
            <w:tcW w:type="dxa" w:w="3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Logotipo y títulos destacados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1C1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#0D1B2A + #FF1C1C</w:t>
            </w:r>
          </w:p>
        </w:tc>
        <w:tc>
          <w:tcPr>
            <w:tcW w:type="dxa" w:w="3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Botones de acción y alertas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0A86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#0D1B2A + #00A86B</w:t>
            </w:r>
          </w:p>
        </w:tc>
        <w:tc>
          <w:tcPr>
            <w:tcW w:type="dxa" w:w="3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Estados de éxito y aprobación</w:t>
            </w:r>
          </w:p>
        </w:tc>
      </w:tr>
      <w:tr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140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#F0F4F8 + #0D1B2A</w:t>
            </w:r>
          </w:p>
        </w:tc>
        <w:tc>
          <w:tcPr>
            <w:tcW w:type="dxa" w:w="3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Versión sobre fondo claro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04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Tipografía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KaliMon usa tres familias tipográficas con roles muy claros: una display angular para los títulos épicos, una limpia para el cuerpo de texto, y una monoespaciada para todos los datos y códigos técnicos.</w:t>
      </w:r>
    </w:p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FAMILIAS TIPOGRÁFICAS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c>
          <w:tcPr>
            <w:tcW w:type="dxa" w:w="1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Fuente</w:t>
            </w:r>
          </w:p>
        </w:tc>
        <w:tc>
          <w:tcPr>
            <w:tcW w:type="dxa" w:w="2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Rol</w:t>
            </w:r>
          </w:p>
        </w:tc>
        <w:tc>
          <w:tcPr>
            <w:tcW w:type="dxa" w:w="24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Pesos usados</w:t>
            </w:r>
          </w:p>
        </w:tc>
        <w:tc>
          <w:tcPr>
            <w:tcW w:type="dxa" w:w="31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Rajdhani" w:cs="Rajdhani" w:eastAsia="Rajdhani" w:hAnsi="Rajdhani"/>
                <w:b/>
                <w:bCs/>
                <w:color w:val="FFAA00"/>
                <w:sz w:val="20"/>
                <w:szCs w:val="20"/>
              </w:rPr>
              <w:t xml:space="preserve">Rajdhani</w:t>
            </w:r>
          </w:p>
        </w:tc>
        <w:tc>
          <w:tcPr>
            <w:tcW w:type="dxa" w:w="2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Display · UI · Títulos · Navegación</w:t>
            </w:r>
          </w:p>
        </w:tc>
        <w:tc>
          <w:tcPr>
            <w:tcW w:type="dxa" w:w="2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Bold 700 · Semibold 600</w:t>
            </w:r>
          </w:p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Rajdhani" w:cs="Rajdhani" w:eastAsia="Rajdhani" w:hAnsi="Rajdhani"/>
                <w:b/>
                <w:bCs/>
                <w:color w:val="1A1A2E"/>
                <w:sz w:val="22"/>
                <w:szCs w:val="22"/>
              </w:rPr>
              <w:t xml:space="preserve">KALIMON — The Ultimate Pokédex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Inter</w:t>
            </w:r>
          </w:p>
        </w:tc>
        <w:tc>
          <w:tcPr>
            <w:tcW w:type="dxa" w:w="2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Cuerpo · Descripciones · UI general</w:t>
            </w:r>
          </w:p>
        </w:tc>
        <w:tc>
          <w:tcPr>
            <w:tcW w:type="dxa" w:w="2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Regular 400 · Medium 500</w:t>
            </w:r>
          </w:p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Texto de descripción de Pokémon y funcionalidades</w:t>
            </w:r>
          </w:p>
        </w:tc>
      </w:tr>
      <w:tr>
        <w:tc>
          <w:tcPr>
            <w:tcW w:type="dxa" w:w="14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7"/>
                <w:szCs w:val="17"/>
              </w:rPr>
              <w:t xml:space="preserve">Space Mono</w:t>
            </w:r>
          </w:p>
        </w:tc>
        <w:tc>
          <w:tcPr>
            <w:tcW w:type="dxa" w:w="2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Datos · Stats · Códigos · Labels técnicas</w:t>
            </w:r>
          </w:p>
        </w:tc>
        <w:tc>
          <w:tcPr>
            <w:tcW w:type="dxa" w:w="24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Regular 400 · Bold 700</w:t>
            </w:r>
          </w:p>
        </w:tc>
        <w:tc>
          <w:tcPr>
            <w:tcW w:type="dxa" w:w="3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00E5FF"/>
                <w:sz w:val="15"/>
                <w:szCs w:val="15"/>
              </w:rPr>
              <w:t xml:space="preserve">#025 · HP:35 · ATK:55 · RF-01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Nivel</w:t>
            </w:r>
          </w:p>
        </w:tc>
        <w:tc>
          <w:tcPr>
            <w:tcW w:type="dxa" w:w="30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Fuente / Tamaño / Peso</w:t>
            </w:r>
          </w:p>
        </w:tc>
        <w:tc>
          <w:tcPr>
            <w:tcW w:type="dxa" w:w="41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2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Display</w:t>
            </w:r>
          </w:p>
        </w:tc>
        <w:tc>
          <w:tcPr>
            <w:tcW w:type="dxa" w:w="3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Rajdhani Bold · 64px</w:t>
            </w:r>
          </w:p>
        </w:tc>
        <w:tc>
          <w:tcPr>
            <w:tcW w:type="dxa" w:w="4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Portadas · heroes · pantalla de bienvenida</w:t>
            </w:r>
          </w:p>
        </w:tc>
      </w:tr>
      <w:tr>
        <w:tc>
          <w:tcPr>
            <w:tcW w:type="dxa" w:w="22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H1</w:t>
            </w:r>
          </w:p>
        </w:tc>
        <w:tc>
          <w:tcPr>
            <w:tcW w:type="dxa" w:w="3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Rajdhani Bold · 36px</w:t>
            </w:r>
          </w:p>
        </w:tc>
        <w:tc>
          <w:tcPr>
            <w:tcW w:type="dxa" w:w="4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Títulos de sección · nombre de página principal</w:t>
            </w:r>
          </w:p>
        </w:tc>
      </w:tr>
      <w:tr>
        <w:tc>
          <w:tcPr>
            <w:tcW w:type="dxa" w:w="22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H2</w:t>
            </w:r>
          </w:p>
        </w:tc>
        <w:tc>
          <w:tcPr>
            <w:tcW w:type="dxa" w:w="3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Rajdhani Semibold · 24px</w:t>
            </w:r>
          </w:p>
        </w:tc>
        <w:tc>
          <w:tcPr>
            <w:tcW w:type="dxa" w:w="4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Subtítulos · encabezados de tarjeta</w:t>
            </w:r>
          </w:p>
        </w:tc>
      </w:tr>
      <w:tr>
        <w:tc>
          <w:tcPr>
            <w:tcW w:type="dxa" w:w="22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H3</w:t>
            </w:r>
          </w:p>
        </w:tc>
        <w:tc>
          <w:tcPr>
            <w:tcW w:type="dxa" w:w="3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Rajdhani Semibold · 18px</w:t>
            </w:r>
          </w:p>
        </w:tc>
        <w:tc>
          <w:tcPr>
            <w:tcW w:type="dxa" w:w="4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Sub-secciones · títulos de panel</w:t>
            </w:r>
          </w:p>
        </w:tc>
      </w:tr>
      <w:tr>
        <w:tc>
          <w:tcPr>
            <w:tcW w:type="dxa" w:w="22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Body</w:t>
            </w:r>
          </w:p>
        </w:tc>
        <w:tc>
          <w:tcPr>
            <w:tcW w:type="dxa" w:w="3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Inter Regular · 15px / 1.75</w:t>
            </w:r>
          </w:p>
        </w:tc>
        <w:tc>
          <w:tcPr>
            <w:tcW w:type="dxa" w:w="4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Descripciones · contenido principal · párrafos</w:t>
            </w:r>
          </w:p>
        </w:tc>
      </w:tr>
      <w:tr>
        <w:tc>
          <w:tcPr>
            <w:tcW w:type="dxa" w:w="22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Data</w:t>
            </w:r>
          </w:p>
        </w:tc>
        <w:tc>
          <w:tcPr>
            <w:tcW w:type="dxa" w:w="3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Space Mono Regular · 13px</w:t>
            </w:r>
          </w:p>
        </w:tc>
        <w:tc>
          <w:tcPr>
            <w:tcW w:type="dxa" w:w="4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Stats · códigos RF · números de Pokédex · labels</w:t>
            </w:r>
          </w:p>
        </w:tc>
      </w:tr>
      <w:tr>
        <w:tc>
          <w:tcPr>
            <w:tcW w:type="dxa" w:w="22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Label</w:t>
            </w:r>
          </w:p>
        </w:tc>
        <w:tc>
          <w:tcPr>
            <w:tcW w:type="dxa" w:w="3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Space Mono Bold · 11px / caps</w:t>
            </w:r>
          </w:p>
        </w:tc>
        <w:tc>
          <w:tcPr>
            <w:tcW w:type="dxa" w:w="4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Etiquetas técnicas · categorías · badges</w:t>
            </w:r>
          </w:p>
        </w:tc>
      </w:tr>
      <w:tr>
        <w:tc>
          <w:tcPr>
            <w:tcW w:type="dxa" w:w="22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Caption</w:t>
            </w:r>
          </w:p>
        </w:tc>
        <w:tc>
          <w:tcPr>
            <w:tcW w:type="dxa" w:w="3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Inter Regular · 12px</w:t>
            </w:r>
          </w:p>
        </w:tc>
        <w:tc>
          <w:tcPr>
            <w:tcW w:type="dxa" w:w="41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6"/>
                <w:szCs w:val="16"/>
              </w:rPr>
              <w:t xml:space="preserve">Texto de apoyo · metadatos · timestamps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05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Iconografía y estilo gráfico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KaliMon tiene una estética tech-gamer: bordes brillantes, fondos oscuros, efectos de neón controlados. Los iconos son de línea fina sobre fondos oscuros, con azul eléctrico para estados activos.</w:t>
      </w:r>
    </w:p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ICONOS PRINCIPALES DE LA INTERFAZ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2000"/>
        <w:gridCol w:w="1600"/>
        <w:gridCol w:w="1520"/>
        <w:gridCol w:w="1520"/>
      </w:tblGrid>
      <w:tr>
        <w:tc>
          <w:tcPr>
            <w:tcW w:type="dxa" w:w="16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Ícono</w:t>
            </w:r>
          </w:p>
        </w:tc>
        <w:tc>
          <w:tcPr>
            <w:tcW w:type="dxa" w:w="152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Uso</w:t>
            </w:r>
          </w:p>
        </w:tc>
        <w:tc>
          <w:tcPr>
            <w:tcW w:type="dxa" w:w="16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Ícono</w:t>
            </w:r>
          </w:p>
        </w:tc>
        <w:tc>
          <w:tcPr>
            <w:tcW w:type="dxa" w:w="152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Nombre</w:t>
            </w:r>
          </w:p>
        </w:tc>
        <w:tc>
          <w:tcPr>
            <w:tcW w:type="dxa" w:w="152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🔍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Buscar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Barra de búsqueda y filtros</w:t>
            </w:r>
          </w:p>
        </w:tc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❤️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Favorito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Toggle marcar como favorito</w:t>
            </w:r>
          </w:p>
        </w:tc>
      </w:tr>
      <w:tr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⚔️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Equipo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Sección de equipos Pokémon</w:t>
            </w:r>
          </w:p>
        </w:tc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📊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Estadísticas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Dashboard y métricas de uso</w:t>
            </w:r>
          </w:p>
        </w:tc>
      </w:tr>
      <w:tr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🔗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Compartir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Enlace público de equipo</w:t>
            </w:r>
          </w:p>
        </w:tc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👤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Perfil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Acceso al perfil de usuario</w:t>
            </w:r>
          </w:p>
        </w:tc>
      </w:tr>
      <w:tr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🏠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Inicio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Navegación al catálogo principal</w:t>
            </w:r>
          </w:p>
        </w:tc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⚙️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Ajustes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Configuración de la cuenta</w:t>
            </w:r>
          </w:p>
        </w:tc>
      </w:tr>
      <w:tr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🔔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Alertas y notificaciones del sistema</w:t>
            </w:r>
          </w:p>
        </w:tc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Aprobar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Aprobación de propuestas (admin)</w:t>
            </w:r>
          </w:p>
        </w:tc>
      </w:tr>
      <w:tr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❌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Rechazo de propuestas (admin)</w:t>
            </w:r>
          </w:p>
        </w:tc>
        <w:tc>
          <w:tcPr>
            <w:tcW w:type="dxa" w:w="16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22"/>
                <w:szCs w:val="22"/>
              </w:rPr>
              <w:t xml:space="preserve">📋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18"/>
                <w:szCs w:val="18"/>
              </w:rPr>
              <w:t xml:space="preserve">Propuesta</w:t>
            </w:r>
          </w:p>
        </w:tc>
        <w:tc>
          <w:tcPr>
            <w:tcW w:type="dxa" w:w="15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Envío y gestión de propuestas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PRINCIPIOS GRÁFICOS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Bordes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1px o 2px. Activos: rgba(0,229,255,0.25). Sin usar bordes gruesos decorativos.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Radio de esquinas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8px controles · 12px tarjetas · 16–20px paneles grandes · 50% badges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Efecto neón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Azul eléctrico (#00E5FF) como glow sutil en un máximo de 1 elemento por vista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Tamaño de iconos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16px mínimo en contextos densos · 20px estándar · 24px destacado · 32px hero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Sombras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No usar drop shadows pesadas. Solo box-shadow sutil con el color de acento al 10–15%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Animaciones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Transiciones de 150–200ms ease. Sin efectos llamativos; micro-interacciones sutiles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06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Tono de voz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KaliMon habla como un entrenador élite que también domina la tecnología. Directo, apasionado, técnico cuando toca y épico en los momentos correctos. Nunca condescendiente, siempre en modo aventura.</w:t>
      </w:r>
    </w:p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PILARES DE PERSONALIDAD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Pilar</w:t>
            </w:r>
          </w:p>
        </w:tc>
        <w:tc>
          <w:tcPr>
            <w:tcW w:type="dxa" w:w="702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Épico pero accesible</w:t>
            </w:r>
          </w:p>
        </w:tc>
        <w:tc>
          <w:tcPr>
            <w:tcW w:type="dxa" w:w="70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El tono tiene ambición de legendario, pero cualquier entrenador de nivel 1 puede entenderlo. No se usa jerga técnica innecesaria.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Tech-gamer auténtico</w:t>
            </w:r>
          </w:p>
        </w:tc>
        <w:tc>
          <w:tcPr>
            <w:tcW w:type="dxa" w:w="70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KaliMon sabe de stats, competitivo y datos. Usa esa voz con propiedad, sin fingir ser algo que no es.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Personal y con firma</w:t>
            </w:r>
          </w:p>
        </w:tc>
        <w:tc>
          <w:tcPr>
            <w:tcW w:type="dxa" w:w="70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"Kali" en el nombre no es decorativo: es la firma del creador. La app tiene personalidad propia, no es genérica.</w:t>
            </w:r>
          </w:p>
        </w:tc>
      </w:tr>
      <w:tr>
        <w:tc>
          <w:tcPr>
            <w:tcW w:type="dxa" w:w="234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6"/>
                <w:szCs w:val="16"/>
              </w:rPr>
              <w:t xml:space="preserve">Datos primero</w:t>
            </w:r>
          </w:p>
        </w:tc>
        <w:tc>
          <w:tcPr>
            <w:tcW w:type="dxa" w:w="702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La información es precisa y clara. El entusiasmo se nota en el diseño, no en el exceso de exclamaciones.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EJEMPLOS DE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Contexto</w:t>
            </w:r>
          </w:p>
        </w:tc>
        <w:tc>
          <w:tcPr>
            <w:tcW w:type="dxa" w:w="378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✓ Correcto</w:t>
            </w:r>
          </w:p>
        </w:tc>
        <w:tc>
          <w:tcPr>
            <w:tcW w:type="dxa" w:w="378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✗ Incorrecto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5"/>
                <w:szCs w:val="15"/>
              </w:rPr>
              <w:t xml:space="preserve">Botón CTA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F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Explorar Pokédex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Haz clic aquí para ver todos los Pokémon disponibles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5"/>
                <w:szCs w:val="15"/>
              </w:rPr>
              <w:t xml:space="preserve">Estado vacío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Tu equipo está vacío. Elige tu primer Pokémon.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No hay Pokémon en este equipo.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5"/>
                <w:szCs w:val="15"/>
              </w:rPr>
              <w:t xml:space="preserve">Error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F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Ese correo ya tiene cuenta. ¿Querías iniciar sesión?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Error 409: registro fallido.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5"/>
                <w:szCs w:val="15"/>
              </w:rPr>
              <w:t xml:space="preserve">Confirmación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Propuesta enviada. El admin la revisará pronto.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¡Tu propuesta fue procesada exitosamente!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5"/>
                <w:szCs w:val="15"/>
              </w:rPr>
              <w:t xml:space="preserve">Búsqueda vacía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F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Sin resultados para "Pikachuu". ¿Quisiste decir Pikachu?</w:t>
            </w:r>
          </w:p>
        </w:tc>
        <w:tc>
          <w:tcPr>
            <w:tcW w:type="dxa" w:w="37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No se encontraron resultados.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07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Usos correctos e incorrectos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Para mantener la consistencia visual y el impacto de la marca KaliMon en todos los materiales, se deben respetar estas reglas sin excepción.</w:t>
      </w:r>
    </w:p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REGLAS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✓  CORRECTO</w:t>
            </w:r>
          </w:p>
        </w:tc>
        <w:tc>
          <w:tcPr>
            <w:tcW w:type="dxa" w:w="468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✗  INCORRECTO</w:t>
            </w:r>
          </w:p>
        </w:tc>
      </w:tr>
      <w:tr>
        <w:tc>
          <w:tcPr>
            <w:tcW w:type="dxa" w:w="4680"/>
            <w:gridSpan w:val="1"/>
            <w:tcBorders>
              <w:top w:val="single" w:color="00A86B" w:sz="4"/>
              <w:left w:val="single" w:color="00A86B" w:sz="4"/>
              <w:bottom w:val="single" w:color="00A86B" w:sz="4"/>
              <w:right w:val="single" w:color="00A86B" w:sz="4"/>
            </w:tcBorders>
            <w:shd w:fill="F0FF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Usar el logo sobre fondos oscuros (#0D1B2A o similares)</w:t>
            </w:r>
          </w:p>
        </w:tc>
        <w:tc>
          <w:tcPr>
            <w:tcW w:type="dxa" w:w="4680"/>
            <w:gridSpan w:val="1"/>
            <w:tcBorders>
              <w:top w:val="single" w:color="FF1C1C" w:sz="4"/>
              <w:left w:val="single" w:color="FF1C1C" w:sz="4"/>
              <w:bottom w:val="single" w:color="FF1C1C" w:sz="4"/>
              <w:right w:val="single" w:color="FF1C1C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Colocar el logo sobre fondos claros sin versión adaptada</w:t>
            </w:r>
          </w:p>
        </w:tc>
      </w:tr>
      <w:tr>
        <w:tc>
          <w:tcPr>
            <w:tcW w:type="dxa" w:w="4680"/>
            <w:gridSpan w:val="1"/>
            <w:tcBorders>
              <w:top w:val="single" w:color="00A86B" w:sz="4"/>
              <w:left w:val="single" w:color="00A86B" w:sz="4"/>
              <w:bottom w:val="single" w:color="00A86B" w:sz="4"/>
              <w:right w:val="single" w:color="00A86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Escribir siempre "KaliMon" con K mayúscula y M mayúscula</w:t>
            </w:r>
          </w:p>
        </w:tc>
        <w:tc>
          <w:tcPr>
            <w:tcW w:type="dxa" w:w="4680"/>
            <w:gridSpan w:val="1"/>
            <w:tcBorders>
              <w:top w:val="single" w:color="FF1C1C" w:sz="4"/>
              <w:left w:val="single" w:color="FF1C1C" w:sz="4"/>
              <w:bottom w:val="single" w:color="FF1C1C" w:sz="4"/>
              <w:right w:val="single" w:color="FF1C1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Escribir "Kalimon", "kalimon" o "KALIMON" incorrectamente</w:t>
            </w:r>
          </w:p>
        </w:tc>
      </w:tr>
      <w:tr>
        <w:tc>
          <w:tcPr>
            <w:tcW w:type="dxa" w:w="4680"/>
            <w:gridSpan w:val="1"/>
            <w:tcBorders>
              <w:top w:val="single" w:color="00A86B" w:sz="4"/>
              <w:left w:val="single" w:color="00A86B" w:sz="4"/>
              <w:bottom w:val="single" w:color="00A86B" w:sz="4"/>
              <w:right w:val="single" w:color="00A86B" w:sz="4"/>
            </w:tcBorders>
            <w:shd w:fill="F0FF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Mantener el dorado (#FFAA00) exclusivo para el logotipo</w:t>
            </w:r>
          </w:p>
        </w:tc>
        <w:tc>
          <w:tcPr>
            <w:tcW w:type="dxa" w:w="4680"/>
            <w:gridSpan w:val="1"/>
            <w:tcBorders>
              <w:top w:val="single" w:color="FF1C1C" w:sz="4"/>
              <w:left w:val="single" w:color="FF1C1C" w:sz="4"/>
              <w:bottom w:val="single" w:color="FF1C1C" w:sz="4"/>
              <w:right w:val="single" w:color="FF1C1C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Cambiar el color del logo a variantes no autorizadas</w:t>
            </w:r>
          </w:p>
        </w:tc>
      </w:tr>
      <w:tr>
        <w:tc>
          <w:tcPr>
            <w:tcW w:type="dxa" w:w="4680"/>
            <w:gridSpan w:val="1"/>
            <w:tcBorders>
              <w:top w:val="single" w:color="00A86B" w:sz="4"/>
              <w:left w:val="single" w:color="00A86B" w:sz="4"/>
              <w:bottom w:val="single" w:color="00A86B" w:sz="4"/>
              <w:right w:val="single" w:color="00A86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Usar azul eléctrico (#00E5FF) para acentos y elementos activos</w:t>
            </w:r>
          </w:p>
        </w:tc>
        <w:tc>
          <w:tcPr>
            <w:tcW w:type="dxa" w:w="4680"/>
            <w:gridSpan w:val="1"/>
            <w:tcBorders>
              <w:top w:val="single" w:color="FF1C1C" w:sz="4"/>
              <w:left w:val="single" w:color="FF1C1C" w:sz="4"/>
              <w:bottom w:val="single" w:color="FF1C1C" w:sz="4"/>
              <w:right w:val="single" w:color="FF1C1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Distorsionar, rotar o añadir efectos al emblema</w:t>
            </w:r>
          </w:p>
        </w:tc>
      </w:tr>
      <w:tr>
        <w:tc>
          <w:tcPr>
            <w:tcW w:type="dxa" w:w="4680"/>
            <w:gridSpan w:val="1"/>
            <w:tcBorders>
              <w:top w:val="single" w:color="00A86B" w:sz="4"/>
              <w:left w:val="single" w:color="00A86B" w:sz="4"/>
              <w:bottom w:val="single" w:color="00A86B" w:sz="4"/>
              <w:right w:val="single" w:color="00A86B" w:sz="4"/>
            </w:tcBorders>
            <w:shd w:fill="F0FF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Mantener la Pokéball en proporción 1:1 (círculo perfecto)</w:t>
            </w:r>
          </w:p>
        </w:tc>
        <w:tc>
          <w:tcPr>
            <w:tcW w:type="dxa" w:w="4680"/>
            <w:gridSpan w:val="1"/>
            <w:tcBorders>
              <w:top w:val="single" w:color="FF1C1C" w:sz="4"/>
              <w:left w:val="single" w:color="FF1C1C" w:sz="4"/>
              <w:bottom w:val="single" w:color="FF1C1C" w:sz="4"/>
              <w:right w:val="single" w:color="FF1C1C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Usar el azul eléctrico como color de fondo masivo</w:t>
            </w:r>
          </w:p>
        </w:tc>
      </w:tr>
      <w:tr>
        <w:tc>
          <w:tcPr>
            <w:tcW w:type="dxa" w:w="4680"/>
            <w:gridSpan w:val="1"/>
            <w:tcBorders>
              <w:top w:val="single" w:color="00A86B" w:sz="4"/>
              <w:left w:val="single" w:color="00A86B" w:sz="4"/>
              <w:bottom w:val="single" w:color="00A86B" w:sz="4"/>
              <w:right w:val="single" w:color="00A86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Usar Rajdhani para todos los títulos y encabezados</w:t>
            </w:r>
          </w:p>
        </w:tc>
        <w:tc>
          <w:tcPr>
            <w:tcW w:type="dxa" w:w="4680"/>
            <w:gridSpan w:val="1"/>
            <w:tcBorders>
              <w:top w:val="single" w:color="FF1C1C" w:sz="4"/>
              <w:left w:val="single" w:color="FF1C1C" w:sz="4"/>
              <w:bottom w:val="single" w:color="FF1C1C" w:sz="4"/>
              <w:right w:val="single" w:color="FF1C1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Mezclar más de 3 colores de la paleta en un componente</w:t>
            </w:r>
          </w:p>
        </w:tc>
      </w:tr>
      <w:tr>
        <w:tc>
          <w:tcPr>
            <w:tcW w:type="dxa" w:w="4680"/>
            <w:gridSpan w:val="1"/>
            <w:tcBorders>
              <w:top w:val="single" w:color="00A86B" w:sz="4"/>
              <w:left w:val="single" w:color="00A86B" w:sz="4"/>
              <w:bottom w:val="single" w:color="00A86B" w:sz="4"/>
              <w:right w:val="single" w:color="00A86B" w:sz="4"/>
            </w:tcBorders>
            <w:shd w:fill="F0FF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Respetar el espacio mínimo de respeto alrededor del logo</w:t>
            </w:r>
          </w:p>
        </w:tc>
        <w:tc>
          <w:tcPr>
            <w:tcW w:type="dxa" w:w="4680"/>
            <w:gridSpan w:val="1"/>
            <w:tcBorders>
              <w:top w:val="single" w:color="FF1C1C" w:sz="4"/>
              <w:left w:val="single" w:color="FF1C1C" w:sz="4"/>
              <w:bottom w:val="single" w:color="FF1C1C" w:sz="4"/>
              <w:right w:val="single" w:color="FF1C1C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Usar Rajdhani para texto corrido de más de 3 líneas</w:t>
            </w:r>
          </w:p>
        </w:tc>
      </w:tr>
      <w:tr>
        <w:tc>
          <w:tcPr>
            <w:tcW w:type="dxa" w:w="4680"/>
            <w:gridSpan w:val="1"/>
            <w:tcBorders>
              <w:top w:val="single" w:color="00A86B" w:sz="4"/>
              <w:left w:val="single" w:color="00A86B" w:sz="4"/>
              <w:bottom w:val="single" w:color="00A86B" w:sz="4"/>
              <w:right w:val="single" w:color="00A86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3020"/>
                <w:sz w:val="18"/>
                <w:szCs w:val="18"/>
              </w:rPr>
              <w:t xml:space="preserve">Combinar máximo 3 colores de la paleta en un mismo componente</w:t>
            </w:r>
          </w:p>
        </w:tc>
        <w:tc>
          <w:tcPr>
            <w:tcW w:type="dxa" w:w="4680"/>
            <w:gridSpan w:val="1"/>
            <w:tcBorders>
              <w:top w:val="single" w:color="FF1C1C" w:sz="4"/>
              <w:left w:val="single" w:color="FF1C1C" w:sz="4"/>
              <w:bottom w:val="single" w:color="FF1C1C" w:sz="4"/>
              <w:right w:val="single" w:color="FF1C1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A1010"/>
                <w:sz w:val="18"/>
                <w:szCs w:val="18"/>
              </w:rPr>
              <w:t xml:space="preserve">Cambiar las proporciones del emblema circular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TAMAÑOS TIPOGRÁFICOS PERMITIDOS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✓ Permitidos</w:t>
            </w:r>
          </w:p>
        </w:tc>
        <w:tc>
          <w:tcPr>
            <w:tcW w:type="dxa" w:w="468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✗ No permitidos</w:t>
            </w:r>
          </w:p>
        </w:tc>
      </w:tr>
      <w:tr>
        <w:tc>
          <w:tcPr>
            <w:tcW w:type="dxa" w:w="46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F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3020"/>
                <w:sz w:val="16"/>
                <w:szCs w:val="16"/>
              </w:rPr>
              <w:t xml:space="preserve">12px · 14px · 15px · 18px · 24px · 36px · 64px</w:t>
            </w:r>
          </w:p>
        </w:tc>
        <w:tc>
          <w:tcPr>
            <w:tcW w:type="dxa" w:w="468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3A1010"/>
                <w:sz w:val="16"/>
                <w:szCs w:val="16"/>
              </w:rPr>
              <w:t xml:space="preserve">Tamaños fuera de escala · texto &lt; 12px · texto &gt; 80px en UI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pace Mono" w:cs="Space Mono" w:eastAsia="Space Mono" w:hAnsi="Space Mono"/>
                <w:color w:val="00E5FF"/>
                <w:sz w:val="16"/>
                <w:szCs w:val="16"/>
              </w:rPr>
              <w:t xml:space="preserve">08 — </w:t>
            </w:r>
            <w:r>
              <w:rPr>
                <w:rFonts w:ascii="Rajdhani" w:cs="Rajdhani" w:eastAsia="Rajdhani" w:hAnsi="Rajdhani"/>
                <w:b/>
                <w:bCs/>
                <w:color w:val="FFFFFF"/>
                <w:sz w:val="32"/>
                <w:szCs w:val="32"/>
              </w:rPr>
              <w:t xml:space="preserve">Aplicación en interfaz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Rajdhani" w:cs="Rajdhani" w:eastAsia="Rajdhani" w:hAnsi="Rajdhani"/>
          <w:b w:val="false"/>
          <w:bCs w:val="false"/>
          <w:i w:val="false"/>
          <w:iCs w:val="false"/>
          <w:color w:val="3D5166"/>
          <w:sz w:val="20"/>
          <w:szCs w:val="20"/>
        </w:rPr>
        <w:t xml:space="preserve">Así se aplica la identidad en los componentes principales de la interfaz. El diseño es oscuro, compacto y data-first.</w:t>
      </w:r>
    </w:p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COMPONENTES DE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Fondo</w:t>
            </w:r>
          </w:p>
        </w:tc>
        <w:tc>
          <w:tcPr>
            <w:tcW w:type="dxa" w:w="22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Texto</w:t>
            </w:r>
          </w:p>
        </w:tc>
        <w:tc>
          <w:tcPr>
            <w:tcW w:type="dxa" w:w="35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Primario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#00E5FF</w:t>
            </w:r>
          </w:p>
        </w:tc>
        <w:tc>
          <w:tcPr>
            <w:tcW w:type="dxa" w:w="22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#0D1B2A</w:t>
            </w:r>
          </w:p>
        </w:tc>
        <w:tc>
          <w:tcPr>
            <w:tcW w:type="dxa" w:w="35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Acción principal — Explorar, Guardar, Confirmar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Peligro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#FF1C1C</w:t>
            </w:r>
          </w:p>
        </w:tc>
        <w:tc>
          <w:tcPr>
            <w:tcW w:type="dxa" w:w="22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#FFFFFF</w:t>
            </w:r>
          </w:p>
        </w:tc>
        <w:tc>
          <w:tcPr>
            <w:tcW w:type="dxa" w:w="35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Eliminar, Rechazar propuesta, Cerrar sesión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Outline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Transparente</w:t>
            </w:r>
          </w:p>
        </w:tc>
        <w:tc>
          <w:tcPr>
            <w:tcW w:type="dxa" w:w="22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#00E5FF + borde</w:t>
            </w:r>
          </w:p>
        </w:tc>
        <w:tc>
          <w:tcPr>
            <w:tcW w:type="dxa" w:w="35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Acciones secundarias — Proponer, Cancelar</w:t>
            </w:r>
          </w:p>
        </w:tc>
      </w:tr>
      <w:tr>
        <w:tc>
          <w:tcPr>
            <w:tcW w:type="dxa" w:w="18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Ghost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Transparente</w:t>
            </w:r>
          </w:p>
        </w:tc>
        <w:tc>
          <w:tcPr>
            <w:tcW w:type="dxa" w:w="22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rgba(255,255,255,0.5)</w:t>
            </w:r>
          </w:p>
        </w:tc>
        <w:tc>
          <w:tcPr>
            <w:tcW w:type="dxa" w:w="35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Acciones terciarias — Cancelar, Volver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ESTADOS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000"/>
        <w:gridCol w:w="4000"/>
      </w:tblGrid>
      <w:tr>
        <w:tc>
          <w:tcPr>
            <w:tcW w:type="dxa" w:w="156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Color badge</w:t>
            </w:r>
          </w:p>
        </w:tc>
        <w:tc>
          <w:tcPr>
            <w:tcW w:type="dxa" w:w="20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Hex</w:t>
            </w:r>
          </w:p>
        </w:tc>
        <w:tc>
          <w:tcPr>
            <w:tcW w:type="dxa" w:w="4000"/>
            <w:gridSpan w:val="1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0E5FF"/>
                <w:sz w:val="18"/>
                <w:szCs w:val="18"/>
              </w:rPr>
              <w:t xml:space="preserve">Contexto de uso</w:t>
            </w:r>
          </w:p>
        </w:tc>
      </w:tr>
      <w:tr>
        <w:tc>
          <w:tcPr>
            <w:tcW w:type="dxa" w:w="156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Dorado KaliMon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#FFAA00</w:t>
            </w:r>
          </w:p>
        </w:tc>
        <w:tc>
          <w:tcPr>
            <w:tcW w:type="dxa" w:w="4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Propuestas en espera de revisión del admin</w:t>
            </w:r>
          </w:p>
        </w:tc>
      </w:tr>
      <w:tr>
        <w:tc>
          <w:tcPr>
            <w:tcW w:type="dxa" w:w="156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Aprobado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Verde Rayquaza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#00A86B</w:t>
            </w:r>
          </w:p>
        </w:tc>
        <w:tc>
          <w:tcPr>
            <w:tcW w:type="dxa" w:w="4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Propuesta aprobada · operación exitosa</w:t>
            </w:r>
          </w:p>
        </w:tc>
      </w:tr>
      <w:tr>
        <w:tc>
          <w:tcPr>
            <w:tcW w:type="dxa" w:w="156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Rechazado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Rojo Pokéball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#FF1C1C</w:t>
            </w:r>
          </w:p>
        </w:tc>
        <w:tc>
          <w:tcPr>
            <w:tcW w:type="dxa" w:w="4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Propuesta rechazada · error crítico · eliminación</w:t>
            </w:r>
          </w:p>
        </w:tc>
      </w:tr>
      <w:tr>
        <w:tc>
          <w:tcPr>
            <w:tcW w:type="dxa" w:w="156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1122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Activo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Azul Eléctrico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#00E5FF</w:t>
            </w:r>
          </w:p>
        </w:tc>
        <w:tc>
          <w:tcPr>
            <w:tcW w:type="dxa" w:w="4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Sesión activa · elemento seleccionado · online</w:t>
            </w:r>
          </w:p>
        </w:tc>
      </w:tr>
      <w:tr>
        <w:tc>
          <w:tcPr>
            <w:tcW w:type="dxa" w:w="156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Inactivo</w:t>
            </w:r>
          </w:p>
        </w:tc>
        <w:tc>
          <w:tcPr>
            <w:tcW w:type="dxa" w:w="18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Gris</w:t>
            </w:r>
          </w:p>
        </w:tc>
        <w:tc>
          <w:tcPr>
            <w:tcW w:type="dxa" w:w="2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1A1A2E"/>
                <w:sz w:val="15"/>
                <w:szCs w:val="15"/>
              </w:rPr>
              <w:t xml:space="preserve">#9AA8B8</w:t>
            </w:r>
          </w:p>
        </w:tc>
        <w:tc>
          <w:tcPr>
            <w:tcW w:type="dxa" w:w="400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Cuenta desactivada · elemento no disponible</w:t>
            </w:r>
          </w:p>
        </w:tc>
      </w:tr>
    </w:tbl>
    <w:p>
      <w:pPr>
        <w:spacing w:after="200"/>
      </w:pPr>
    </w:p>
    <w:p>
      <w:pPr>
        <w:spacing w:after="120" w:before="200"/>
        <w:jc w:val="left"/>
      </w:pPr>
      <w:r>
        <w:rPr>
          <w:rFonts w:ascii="Rajdhani" w:cs="Rajdhani" w:eastAsia="Rajdhani" w:hAnsi="Rajdhani"/>
          <w:b/>
          <w:bCs/>
          <w:i w:val="false"/>
          <w:iCs w:val="false"/>
          <w:color w:val="0D1B2A"/>
          <w:sz w:val="22"/>
          <w:szCs w:val="22"/>
        </w:rPr>
        <w:t xml:space="preserve">COMPONENTES DE TARJETA POKÉMON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Fondo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#1A2E42 — superficie oscura media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Borde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1px solid rgba(0,229,255,0.12) — neón muy sutil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Radio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12px border-radius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Número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Space Mono · 11px · #00E5FF al 50% opacidad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Nombre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Rajdhani Bold · 17px · #FFFFFF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Badge tipo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Space Mono · 11px · color del tipo · fondo con 20% opacidad del mismo color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border-color: rgba(0,229,255,0.30) — borde neón más visible</w:t>
            </w:r>
          </w:p>
        </w:tc>
      </w:tr>
      <w:tr>
        <w:tc>
          <w:tcPr>
            <w:tcW w:type="dxa" w:w="300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pace Mono" w:cs="Space Mono" w:eastAsia="Space Mono" w:hAnsi="Space Mono"/>
                <w:b/>
                <w:bCs/>
                <w:color w:val="00E5FF"/>
                <w:sz w:val="18"/>
                <w:szCs w:val="18"/>
              </w:rPr>
              <w:t xml:space="preserve">Imagen</w:t>
            </w:r>
          </w:p>
        </w:tc>
        <w:tc>
          <w:tcPr>
            <w:tcW w:type="dxa" w:w="6360"/>
            <w:gridSpan w:val="1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Área con fondo: 15% opacidad del color del tipo primario del Pokémon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Rajdhani" w:cs="Rajdhani" w:eastAsia="Rajdhani" w:hAnsi="Rajdhani"/>
                <w:b/>
                <w:bCs/>
                <w:color w:val="FFAA00"/>
                <w:sz w:val="20"/>
                <w:szCs w:val="20"/>
              </w:rPr>
              <w:t xml:space="preserve">KaliMon — Manual de Identidad Visual v1.0</w:t>
            </w:r>
          </w:p>
        </w:tc>
        <w:tc>
          <w:tcPr>
            <w:tcW w:type="dxa" w:w="4680"/>
            <w:gridSpan w:val="1"/>
            <w:tcBorders>
              <w:top w:val="single" w:color="1A2E42" w:sz="4"/>
              <w:left w:val="single" w:color="1A2E42" w:sz="4"/>
              <w:bottom w:val="single" w:color="1A2E42" w:sz="4"/>
              <w:right w:val="single" w:color="1A2E42" w:sz="4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Space Mono" w:cs="Space Mono" w:eastAsia="Space Mono" w:hAnsi="Space Mono"/>
                <w:b w:val="false"/>
                <w:bCs w:val="false"/>
                <w:color w:val="00E5FF"/>
                <w:sz w:val="16"/>
                <w:szCs w:val="16"/>
              </w:rPr>
              <w:t xml:space="preserve">DOSW · 2026 Intersemestral · Kaliche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2026-07-09T05:10:25.084Z</dcterms:created>
  <dcterms:modified xsi:type="dcterms:W3CDTF">2026-07-09T05:10:25.095Z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