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PLANTILLA REQUISITO NO FUNCIONAL (RNF)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319000518"/>
        <w:tag w:val="goog_rdk_0"/>
      </w:sdtPr>
      <w:sdtContent>
        <w:tbl>
          <w:tblPr>
            <w:tblStyle w:val="Table1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65"/>
            <w:gridCol w:w="5475"/>
            <w:tblGridChange w:id="0">
              <w:tblGrid>
                <w:gridCol w:w="3165"/>
                <w:gridCol w:w="54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RNF-005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Categoría: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Mantenibilidad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código fuente del sistema debe cumplir con estándares de codificación definidos y contar con una documentación de al menos el 80%.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Justificación: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Facilitar la incorporación de futuras mejoras, correcciones de errores y la transferencia de conocimiento entre los miembros del equipo de desarrollo.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br w:type="textWrapping"/>
                  <w:t xml:space="preserve">Métrica: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Porcentaje de código documentado (comentarios en métodos/clases y documentación de API). </w:t>
                </w:r>
              </w:p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Grado de cumplimiento de reglas de linteo/estándares del lenguaje.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Valor esperado: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Mínimo el 80% del código fuente adecuadamente documentado y formateado según la guía de estilos establecida.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Método de validación: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Auditoría técnica de código fuente y ejecución de herramientas de análisis estático (por ejemplo: SonarQube, Javadoc, TypeDoc).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CP-RNF-010: Ejecutar herramienta de análisis estático de código para verificar la cobertura de documentación y estilo.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Prioridad: Media. Facilita el mantenimiento evolutivo del proyecto. </w:t>
                </w:r>
              </w:p>
            </w:tc>
          </w:tr>
        </w:tbl>
      </w:sdtContent>
    </w:sdt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806895583"/>
        <w:tag w:val="goog_rdk_1"/>
      </w:sdtPr>
      <w:sdtContent>
        <w:tbl>
          <w:tblPr>
            <w:tblStyle w:val="Table2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65"/>
            <w:gridCol w:w="5475"/>
            <w:tblGridChange w:id="0">
              <w:tblGrid>
                <w:gridCol w:w="3165"/>
                <w:gridCol w:w="54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RNF-006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Categoría: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Compatibilidad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ser totalmente operativo en al menos 3 navegadores de internet principales y adaptarse correctamente a pantallas de escritorio (responsive design).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Justificación: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Asegurar que los usuarios puedan acceder al sistema desde sus navegadores y monitores habitualmente utilizados sin sufrir deformaciones en la interfaz.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br w:type="textWrapping"/>
                  <w:t xml:space="preserve">Métrica: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widowControl w:val="0"/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Cantidad de navegadores web compatibles. </w:t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Correcta adaptación del diseño visual en distintas resoluciones de pantalla de escritorio.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Valor esperado: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Compatibilidad del 100% de las funciones en 3 exploradores principales (ej. Chrome, Firefox, Edge) y despliegue correcto en pantallas de escritorio.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Método de validación: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funcionales y visuales en múltiples navegadores (cross-browser) y cambio de resoluciones de pantalla.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-CP-RNF-011: Ejecutar flujos principales en Google Chrome, Mozilla Firefox y Microsoft Edge. </w:t>
                </w:r>
              </w:p>
              <w:p w:rsidR="00000000" w:rsidDel="00000000" w:rsidP="00000000" w:rsidRDefault="00000000" w:rsidRPr="00000000" w14:paraId="0000002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-CP-RNF-012: Verificar la correcta visualización e interacción en resoluciones típicas de escritorio (1366x768, 1920x1080).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Alta. Enfocado en compatibilidad multiplataforma y diseño adaptativo. </w:t>
                </w:r>
              </w:p>
            </w:tc>
          </w:tr>
        </w:tbl>
      </w:sdtContent>
    </w:sdt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0jLw/9FAK6qQ9hRwD5nnW5h/cw==">CgMxLjAaHwoBMBIaChgICVIUChJ0YWJsZS5zMWRyNnBka3o0eXMaHwoBMRIaChgICVIUChJ0YWJsZS4zY2tiNGRobHM5YnI4AHIhMWZrS29MWVZ3TFlMTHZkUGJPcEJaRGExZ21NWmlsODhi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