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40" w:lineRule="auto"/>
        <w:rPr>
          <w:b w:val="1"/>
          <w:bCs w:val="1"/>
        </w:rPr>
      </w:pPr>
      <w:r w:rsidDel="00000000" w:rsidR="00000000" w:rsidRPr="00000000">
        <w:rPr>
          <w:color w:val="000000"/>
          <w:rtl w:val="0"/>
        </w:rPr>
        <w:t xml:space="preserve">PLANTILLA REQUISITO NO FUNCIONAL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16464446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75"/>
            <w:tblGridChange w:id="0">
              <w:tblGrid>
                <w:gridCol w:w="3165"/>
                <w:gridCol w:w="54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Rendimiento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cargar cualquier vista (inicio, catálogo de productos, comparación, vehículos, etc.) en un tiempo inferior a 2 segundos bajo condiciones normales de red y carga.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Garantizar una experiencia de usuario fluida, optimizando el tiempo de respuesta en la navegación diaria, reduciendo la tasa de abandono y asegurando la eficiencia en la consulta de catálogos y herramientas avanzadas de comparación.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de respuesta en segundos durante la navegación en la plataforma.</w:t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También puede medirse mediante:</w:t>
                </w:r>
              </w:p>
              <w:p w:rsidR="00000000" w:rsidDel="00000000" w:rsidP="00000000" w:rsidRDefault="00000000" w:rsidRPr="00000000" w14:paraId="0000000E">
                <w:pPr>
                  <w:widowControl w:val="0"/>
                  <w:numPr>
                    <w:ilvl w:val="0"/>
                    <w:numId w:val="5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Tiempo de renderizado completo de la interfaz en el navegador.</w:t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numPr>
                    <w:ilvl w:val="0"/>
                    <w:numId w:val="5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Medición de latencia en peticiones a las APIs del backend.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numPr>
                    <w:ilvl w:val="0"/>
                    <w:numId w:val="5"/>
                  </w:numPr>
                  <w:spacing w:after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Tasa de peticiones procesadas por segundo bajo carga concurrente normal.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100 % de las vistas principales deben responder y cargarse por completo en menos de 2.0 segundos.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Nota: Bajo condiciones de red estándar (3G/4G/Banda ancha) y peticiones concurrentes promedio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Ejecución de herramientas de análisis de rendimiento web (ej. Google Lighthouse, WebPageTest).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carga y tiempo de respuesta automatizadas mediante scripts en JMeter o k6.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 ejemplo:</w:t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numPr>
                    <w:ilvl w:val="0"/>
                    <w:numId w:val="3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Acceder a la vista de catálogo o lista de vehículos.</w:t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numPr>
                    <w:ilvl w:val="0"/>
                    <w:numId w:val="3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Ejecutar la herramienta de medición de tiempos de respuesta/red.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numPr>
                    <w:ilvl w:val="0"/>
                    <w:numId w:val="3"/>
                  </w:numPr>
                  <w:spacing w:after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Verificar que el tiempo total de carga hasta la interactividad sea menor a 2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CP-RNF-001: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Verificar que la vista principal e inicio de sesión carguen en menos de 2 segundos.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CP-RNF-002: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Verificar el tiempo de respuesta al desplegar la lista de productos y aplicar filtros de búsqueda.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CP-RNF-003: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Medir el tiempo de renderizado al seleccionar y comparar características técnicas entre productos.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Prioridad: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Se recomienda la optimización de assets (imágenes en formatos livianos como WebP, minificación de JS/CSS), almacenamiento en caché de consultas frecuentes y paginación en el servidor.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Este requisito impacta directamente: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numPr>
                    <w:ilvl w:val="0"/>
                    <w:numId w:val="1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RF001 Registrar usuario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numPr>
                    <w:ilvl w:val="0"/>
                    <w:numId w:val="1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RF002 Iniciar sesión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numPr>
                    <w:ilvl w:val="0"/>
                    <w:numId w:val="1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RF007 Desplegar lista de vehículos registrados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numPr>
                    <w:ilvl w:val="0"/>
                    <w:numId w:val="1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RF010 Mostrar barra de navegación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numPr>
                    <w:ilvl w:val="0"/>
                    <w:numId w:val="1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RF012 Redirigir a la sesión de comparación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numPr>
                    <w:ilvl w:val="0"/>
                    <w:numId w:val="1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RF015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Visualizar Lista de productos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numPr>
                    <w:ilvl w:val="0"/>
                    <w:numId w:val="1"/>
                  </w:numPr>
                  <w:spacing w:after="24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RF017 Comparar productos seleccionados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57652025"/>
        <w:tag w:val="goog_rdk_1"/>
      </w:sdtPr>
      <w:sdtContent>
        <w:tbl>
          <w:tblPr>
            <w:tblStyle w:val="Table2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75"/>
            <w:tblGridChange w:id="0">
              <w:tblGrid>
                <w:gridCol w:w="3165"/>
                <w:gridCol w:w="54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proporcionar una navegación intuitiva que permita al usuario acceder a cualquier función clave en un máximo de 3 clics, incorporando validaciones en tiempo real con mensajes de error claros en todos los formularios.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Reducir la curva de aprendizaje de los usuarios, minimizar los errores en la introducción de datos y garantizar una navegación ágil en la gestión de cuentas, vehículos, cotizaciones y PQRS.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Cantidad de clics requeridos para realizar una acción o acceder a un módulo.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También puede medirse mediante: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numPr>
                    <w:ilvl w:val="0"/>
                    <w:numId w:val="6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Porcentaje de formularios que incluyen validaciones dinámicas y mensajes explicativos en tiempo real.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numPr>
                    <w:ilvl w:val="0"/>
                    <w:numId w:val="6"/>
                  </w:numPr>
                  <w:spacing w:after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Tasa de éxito en la finalización de formularios sin errores en el primer intento.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100 % de los módulos y opciones principales deben ser accesibles dentro del límite de 3 clics desde cualquier vista clave.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100 % de los formularios interactivos deben mostrar retroalimentación o mensajes de error claros ante datos requeridos u omitidos.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240"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recorrido cognitivo y evaluación heurística de usabilidad.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pacing w:after="240"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funcionales en formularios de la plataforma.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pacing w:after="240"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Por ejemplo: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numPr>
                    <w:ilvl w:val="0"/>
                    <w:numId w:val="4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Navegar desde el inicio de sesión hasta la función de cambiar contraseña o radicar una PQRS.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numPr>
                    <w:ilvl w:val="0"/>
                    <w:numId w:val="4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Contar la cantidad de clics intermedios ejecutados.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numPr>
                    <w:ilvl w:val="0"/>
                    <w:numId w:val="4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Ingresar datos erróneos en el formulario e intentar enviarlo.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numPr>
                    <w:ilvl w:val="0"/>
                    <w:numId w:val="4"/>
                  </w:numPr>
                  <w:spacing w:after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Verificar que el sistema </w:t>
                </w:r>
                <w:r w:rsidDel="00000000" w:rsidR="00000000" w:rsidRPr="00000000">
                  <w:rPr>
                    <w:rtl w:val="0"/>
                  </w:rPr>
                  <w:t xml:space="preserve">señale</w:t>
                </w:r>
                <w:r w:rsidDel="00000000" w:rsidR="00000000" w:rsidRPr="00000000">
                  <w:rPr>
                    <w:rtl w:val="0"/>
                  </w:rPr>
                  <w:t xml:space="preserve"> el campo específico con un mensaje de error legible y en tiempo real.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CP-RNF-004: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Verificar que se pueda acceder a la gestión de vehículos o catálogo en 3 clics o menos desde el menú principal.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CP-RNF-005: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Verificar la validación en tiempo real y el despliegue de mensajes informativos en el formulario de registro y login ante credenciales inválidas.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-006: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Verificar la existencia de alertas visuales en los campos obligatorios al redactar un formulario de PQRS o cotización.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Prioridad: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Alta.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Se recomienda utilizar componentes con validación HTML5/JavaScript estándar, diseño de alertas accesibles y mantener una barra de navegación persistente e intuitiva.</w:t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Este requisito impacta directamente: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numPr>
                    <w:ilvl w:val="0"/>
                    <w:numId w:val="2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RF001 Registrar usuario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numPr>
                    <w:ilvl w:val="0"/>
                    <w:numId w:val="2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RF002 Iniciar sesión</w:t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numPr>
                    <w:ilvl w:val="0"/>
                    <w:numId w:val="2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RF004 Cambiar contraseña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numPr>
                    <w:ilvl w:val="0"/>
                    <w:numId w:val="2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RF008 Editar información del vehículo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numPr>
                    <w:ilvl w:val="0"/>
                    <w:numId w:val="2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RF011 Redirigir a sesión de inicio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numPr>
                    <w:ilvl w:val="0"/>
                    <w:numId w:val="2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RF014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Filtrar productos por criterios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numPr>
                    <w:ilvl w:val="0"/>
                    <w:numId w:val="2"/>
                  </w:numPr>
                  <w:spacing w:after="24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RF024 Completar formulario de PQRS</w:t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AkEp7Y7uwAZx6H6XyxRtRJmYrA==">CgMxLjAaHQoBMBIYChYICVISChB0YWJsZS43MnpvajVpb2ZjGh8KATESGgoYCAlSFAoSdGFibGUueG1ia2QybnJubWQ1OAByITFzeHhGSVJzWUZ6THNtdWc2di1tZ0xxRnA0aUswSGFEaQ==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