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2">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3">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4">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5">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6">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7">
      <w:pPr>
        <w:spacing w:after="60" w:lineRule="auto"/>
        <w:jc w:val="center"/>
        <w:rPr>
          <w:b w:val="1"/>
          <w:bCs w:val="1"/>
          <w:color w:val="1f4e79"/>
          <w:sz w:val="38"/>
          <w:szCs w:val="38"/>
        </w:rPr>
      </w:pPr>
      <w:r w:rsidDel="00000000" w:rsidR="00000000" w:rsidRPr="00000000">
        <w:rPr>
          <w:rtl w:val="0"/>
        </w:rPr>
      </w:r>
    </w:p>
    <w:p w:rsidR="00000000" w:rsidDel="00000000" w:rsidP="00000000" w:rsidRDefault="00000000" w:rsidRPr="00000000" w14:paraId="00000008">
      <w:pPr>
        <w:spacing w:after="60" w:lineRule="auto"/>
        <w:jc w:val="center"/>
        <w:rPr>
          <w:b w:val="1"/>
          <w:bCs w:val="1"/>
          <w:color w:val="1f4e79"/>
          <w:sz w:val="38"/>
          <w:szCs w:val="38"/>
        </w:rPr>
      </w:pPr>
      <w:r w:rsidDel="00000000" w:rsidR="00000000" w:rsidRPr="00000000">
        <w:rPr>
          <w:b w:val="1"/>
          <w:bCs w:val="1"/>
          <w:color w:val="1f4e79"/>
          <w:sz w:val="38"/>
          <w:szCs w:val="38"/>
          <w:rtl w:val="0"/>
        </w:rPr>
        <w:t xml:space="preserve">DILAN MOTOS</w:t>
      </w:r>
    </w:p>
    <w:p w:rsidR="00000000" w:rsidDel="00000000" w:rsidP="00000000" w:rsidRDefault="00000000" w:rsidRPr="00000000" w14:paraId="00000009">
      <w:pPr>
        <w:spacing w:after="60" w:lineRule="auto"/>
        <w:jc w:val="center"/>
        <w:rPr>
          <w:b w:val="1"/>
          <w:bCs w:val="1"/>
          <w:color w:val="1f4e79"/>
          <w:sz w:val="30"/>
          <w:szCs w:val="30"/>
        </w:rPr>
      </w:pPr>
      <w:r w:rsidDel="00000000" w:rsidR="00000000" w:rsidRPr="00000000">
        <w:rPr>
          <w:b w:val="1"/>
          <w:bCs w:val="1"/>
          <w:color w:val="1f4e79"/>
          <w:sz w:val="30"/>
          <w:szCs w:val="30"/>
          <w:rtl w:val="0"/>
        </w:rPr>
        <w:t xml:space="preserve">Mantenimientos y Repuestos</w:t>
      </w:r>
    </w:p>
    <w:p w:rsidR="00000000" w:rsidDel="00000000" w:rsidP="00000000" w:rsidRDefault="00000000" w:rsidRPr="00000000" w14:paraId="0000000A">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B">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C">
      <w:pPr>
        <w:spacing w:after="60" w:lineRule="auto"/>
        <w:jc w:val="center"/>
        <w:rPr>
          <w:b w:val="1"/>
          <w:bCs w:val="1"/>
          <w:color w:val="1f4e79"/>
          <w:sz w:val="88"/>
          <w:szCs w:val="88"/>
        </w:rPr>
      </w:pPr>
      <w:r w:rsidDel="00000000" w:rsidR="00000000" w:rsidRPr="00000000">
        <w:rPr>
          <w:b w:val="1"/>
          <w:bCs w:val="1"/>
          <w:color w:val="1f4e79"/>
          <w:sz w:val="88"/>
          <w:szCs w:val="88"/>
          <w:rtl w:val="0"/>
        </w:rPr>
        <w:t xml:space="preserve">PLAN DE MIGRACIÓN</w:t>
      </w:r>
    </w:p>
    <w:p w:rsidR="00000000" w:rsidDel="00000000" w:rsidP="00000000" w:rsidRDefault="00000000" w:rsidRPr="00000000" w14:paraId="0000000D">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0E">
      <w:pPr>
        <w:spacing w:after="60" w:lineRule="auto"/>
        <w:jc w:val="center"/>
        <w:rPr>
          <w:b w:val="1"/>
          <w:bCs w:val="1"/>
          <w:color w:val="1f4e79"/>
          <w:sz w:val="30"/>
          <w:szCs w:val="30"/>
        </w:rPr>
      </w:pPr>
      <w:r w:rsidDel="00000000" w:rsidR="00000000" w:rsidRPr="00000000">
        <w:rPr>
          <w:b w:val="1"/>
          <w:bCs w:val="1"/>
          <w:color w:val="1f4e79"/>
          <w:sz w:val="30"/>
          <w:szCs w:val="30"/>
          <w:rtl w:val="0"/>
        </w:rPr>
        <w:t xml:space="preserve">Sistema Web de Mantenimiento y Repuestos</w:t>
      </w:r>
    </w:p>
    <w:p w:rsidR="00000000" w:rsidDel="00000000" w:rsidP="00000000" w:rsidRDefault="00000000" w:rsidRPr="00000000" w14:paraId="0000000F">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0">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1">
      <w:pPr>
        <w:spacing w:after="60" w:lineRule="auto"/>
        <w:jc w:val="center"/>
        <w:rPr>
          <w:b w:val="1"/>
          <w:bCs w:val="1"/>
          <w:color w:val="1f4e79"/>
          <w:sz w:val="32"/>
          <w:szCs w:val="32"/>
        </w:rPr>
      </w:pPr>
      <w:r w:rsidDel="00000000" w:rsidR="00000000" w:rsidRPr="00000000">
        <w:rPr>
          <w:b w:val="1"/>
          <w:bCs w:val="1"/>
          <w:color w:val="1f4e79"/>
          <w:sz w:val="32"/>
          <w:szCs w:val="32"/>
          <w:rtl w:val="0"/>
        </w:rPr>
        <w:t xml:space="preserve">VERSIÓN 2.0</w:t>
      </w:r>
    </w:p>
    <w:p w:rsidR="00000000" w:rsidDel="00000000" w:rsidP="00000000" w:rsidRDefault="00000000" w:rsidRPr="00000000" w14:paraId="00000012">
      <w:pPr>
        <w:spacing w:after="60" w:lineRule="auto"/>
        <w:jc w:val="center"/>
        <w:rPr>
          <w:b w:val="1"/>
          <w:bCs w:val="1"/>
          <w:color w:val="1f4e79"/>
          <w:sz w:val="32"/>
          <w:szCs w:val="32"/>
        </w:rPr>
      </w:pPr>
      <w:r w:rsidDel="00000000" w:rsidR="00000000" w:rsidRPr="00000000">
        <w:rPr>
          <w:b w:val="1"/>
          <w:bCs w:val="1"/>
          <w:color w:val="1f4e79"/>
          <w:sz w:val="32"/>
          <w:szCs w:val="32"/>
          <w:rtl w:val="0"/>
        </w:rPr>
        <w:t xml:space="preserve">Agosto de 2026</w:t>
      </w:r>
    </w:p>
    <w:p w:rsidR="00000000" w:rsidDel="00000000" w:rsidP="00000000" w:rsidRDefault="00000000" w:rsidRPr="00000000" w14:paraId="00000013">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4">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5">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6">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7">
      <w:pPr>
        <w:spacing w:after="6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018">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9">
      <w:pPr>
        <w:spacing w:after="60" w:lineRule="auto"/>
        <w:jc w:val="center"/>
        <w:rPr>
          <w:b w:val="1"/>
          <w:bCs w:val="1"/>
          <w:color w:val="1f4e79"/>
          <w:sz w:val="32"/>
          <w:szCs w:val="32"/>
        </w:rPr>
      </w:pPr>
      <w:r w:rsidDel="00000000" w:rsidR="00000000" w:rsidRPr="00000000">
        <w:rPr>
          <w:rtl w:val="0"/>
        </w:rPr>
      </w:r>
    </w:p>
    <w:p w:rsidR="00000000" w:rsidDel="00000000" w:rsidP="00000000" w:rsidRDefault="00000000" w:rsidRPr="00000000" w14:paraId="0000001A">
      <w:pPr>
        <w:spacing w:after="6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01B">
      <w:pPr>
        <w:spacing w:after="6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01C">
      <w:pPr>
        <w:spacing w:after="60" w:lineRule="auto"/>
        <w:jc w:val="left"/>
        <w:rPr>
          <w:b w:val="1"/>
          <w:bCs w:val="1"/>
          <w:color w:val="1f4e79"/>
          <w:sz w:val="32"/>
          <w:szCs w:val="32"/>
        </w:rPr>
      </w:pPr>
      <w:r w:rsidDel="00000000" w:rsidR="00000000" w:rsidRPr="00000000">
        <w:rPr>
          <w:rtl w:val="0"/>
        </w:rPr>
      </w:r>
    </w:p>
    <w:p w:rsidR="00000000" w:rsidDel="00000000" w:rsidP="00000000" w:rsidRDefault="00000000" w:rsidRPr="00000000" w14:paraId="0000001D">
      <w:pPr>
        <w:spacing w:after="60" w:lineRule="auto"/>
        <w:jc w:val="center"/>
        <w:rPr/>
      </w:pPr>
      <w:r w:rsidDel="00000000" w:rsidR="00000000" w:rsidRPr="00000000">
        <w:rPr>
          <w:b w:val="1"/>
          <w:bCs w:val="1"/>
          <w:color w:val="1f4e79"/>
          <w:sz w:val="32"/>
          <w:szCs w:val="32"/>
          <w:rtl w:val="0"/>
        </w:rPr>
        <w:t xml:space="preserve">Plan Estratégico y Técnico de Migración Empresarial – DilanMotos</w:t>
      </w:r>
      <w:r w:rsidDel="00000000" w:rsidR="00000000" w:rsidRPr="00000000">
        <w:rPr>
          <w:rtl w:val="0"/>
        </w:rPr>
      </w:r>
    </w:p>
    <w:p w:rsidR="00000000" w:rsidDel="00000000" w:rsidP="00000000" w:rsidRDefault="00000000" w:rsidRPr="00000000" w14:paraId="0000001E">
      <w:pPr>
        <w:spacing w:after="300" w:lineRule="auto"/>
        <w:jc w:val="center"/>
        <w:rPr/>
      </w:pPr>
      <w:r w:rsidDel="00000000" w:rsidR="00000000" w:rsidRPr="00000000">
        <w:rPr>
          <w:i w:val="1"/>
          <w:iCs w:val="1"/>
          <w:sz w:val="20"/>
          <w:szCs w:val="20"/>
          <w:rtl w:val="0"/>
        </w:rPr>
        <w:t xml:space="preserve">Versión: 2.0  |  Alcance: Migración de Base de Datos y Software de Cotizaciones (MariaDB → PostgreSQL en Amazon RDS)</w:t>
      </w:r>
      <w:r w:rsidDel="00000000" w:rsidR="00000000" w:rsidRPr="00000000">
        <w:rPr>
          <w:rtl w:val="0"/>
        </w:rPr>
      </w:r>
    </w:p>
    <w:p w:rsidR="00000000" w:rsidDel="00000000" w:rsidP="00000000" w:rsidRDefault="00000000" w:rsidRPr="00000000" w14:paraId="0000001F">
      <w:pPr>
        <w:pStyle w:val="Heading1"/>
        <w:spacing w:after="160" w:before="360" w:lineRule="auto"/>
        <w:rPr/>
      </w:pPr>
      <w:r w:rsidDel="00000000" w:rsidR="00000000" w:rsidRPr="00000000">
        <w:rPr>
          <w:rtl w:val="0"/>
        </w:rPr>
        <w:t xml:space="preserve">1. Resumen Ejecutivo y Objetivos</w:t>
      </w:r>
    </w:p>
    <w:p w:rsidR="00000000" w:rsidDel="00000000" w:rsidP="00000000" w:rsidRDefault="00000000" w:rsidRPr="00000000" w14:paraId="00000020">
      <w:pPr>
        <w:spacing w:after="120" w:lineRule="auto"/>
        <w:rPr/>
      </w:pPr>
      <w:r w:rsidDel="00000000" w:rsidR="00000000" w:rsidRPr="00000000">
        <w:rPr>
          <w:rtl w:val="0"/>
        </w:rPr>
        <w:t xml:space="preserve">El presente documento establece la hoja de ruta integral, estratégica y técnica para la migración del sistema de software de Dilan Motos, incluyendo su base de datos. El sistema opera de forma exclusiva bajo un modelo de cotizaciones y presupuestos (sin módulo de ventas ni facturación directa) y cuenta únicamente con dos roles de usuario: Cliente y Administrador.</w:t>
      </w:r>
    </w:p>
    <w:p w:rsidR="00000000" w:rsidDel="00000000" w:rsidP="00000000" w:rsidRDefault="00000000" w:rsidRPr="00000000" w14:paraId="00000021">
      <w:pPr>
        <w:spacing w:after="120" w:lineRule="auto"/>
        <w:rPr/>
      </w:pPr>
      <w:r w:rsidDel="00000000" w:rsidR="00000000" w:rsidRPr="00000000">
        <w:rPr>
          <w:b w:val="1"/>
          <w:bCs w:val="1"/>
          <w:rtl w:val="0"/>
        </w:rPr>
        <w:t xml:space="preserve">Objetivo técnico general: </w:t>
      </w:r>
      <w:r w:rsidDel="00000000" w:rsidR="00000000" w:rsidRPr="00000000">
        <w:rPr>
          <w:rtl w:val="0"/>
        </w:rPr>
        <w:t xml:space="preserve">se migrará la base de datos relacional del sistema, actualmente en MariaDB 10.4.32 (entorno local XAMPP), hacia una instancia de PostgreSQL alojada en Amazon RDS, sin pérdida ni alteración de la información, garantizando la integridad referencial y la continuidad operativa del sistema de cotizaciones.</w:t>
      </w:r>
    </w:p>
    <w:p w:rsidR="00000000" w:rsidDel="00000000" w:rsidP="00000000" w:rsidRDefault="00000000" w:rsidRPr="00000000" w14:paraId="00000022">
      <w:pPr>
        <w:pStyle w:val="Heading3"/>
        <w:spacing w:after="100" w:before="200" w:lineRule="auto"/>
        <w:rPr/>
      </w:pPr>
      <w:r w:rsidDel="00000000" w:rsidR="00000000" w:rsidRPr="00000000">
        <w:rPr>
          <w:rtl w:val="0"/>
        </w:rPr>
        <w:t xml:space="preserve">Objetivos clave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Integridad de Datos y Roles: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garantizar la migración precisa del catálogo de productos/servicios y de los usuarios clasificados estrictamente en los roles Cliente y Administrador.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Cambio de Motor de Base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convertir el esquema y los datos de MariaDB (MySQL) a PostgreSQL sin pérdida de tipos, relaciones ni restricciones (constraints).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Continuidad de Operación: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que las solicitudes y emisión de cotizaciones no sufran interrupciones durante la transición.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Capacitación Focalizada: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ajustar los manuales y pruebas exclusivamente a las interfaces y permisos del Administrador y la experiencia de uso del Cliente.</w:t>
      </w:r>
    </w:p>
    <w:p w:rsidR="00000000" w:rsidDel="00000000" w:rsidP="00000000" w:rsidRDefault="00000000" w:rsidRPr="00000000" w14:paraId="00000027">
      <w:pPr>
        <w:pStyle w:val="Heading1"/>
        <w:spacing w:after="160" w:before="360" w:lineRule="auto"/>
        <w:rPr/>
      </w:pPr>
      <w:r w:rsidDel="00000000" w:rsidR="00000000" w:rsidRPr="00000000">
        <w:rPr>
          <w:rtl w:val="0"/>
        </w:rPr>
        <w:t xml:space="preserve">2. Alcance de la Migración</w:t>
      </w:r>
    </w:p>
    <w:p w:rsidR="00000000" w:rsidDel="00000000" w:rsidP="00000000" w:rsidRDefault="00000000" w:rsidRPr="00000000" w14:paraId="00000028">
      <w:pPr>
        <w:spacing w:after="120" w:lineRule="auto"/>
        <w:rPr/>
      </w:pPr>
      <w:r w:rsidDel="00000000" w:rsidR="00000000" w:rsidRPr="00000000">
        <w:rPr>
          <w:rtl w:val="0"/>
        </w:rPr>
        <w:t xml:space="preserve">El proyecto abarca la migración completa de la base de datos y de las funcionalidades asociadas a los dos roles del sistema.</w:t>
      </w:r>
    </w:p>
    <w:p w:rsidR="00000000" w:rsidDel="00000000" w:rsidP="00000000" w:rsidRDefault="00000000" w:rsidRPr="00000000" w14:paraId="00000029">
      <w:pPr>
        <w:pStyle w:val="Heading3"/>
        <w:spacing w:after="100" w:before="200" w:lineRule="auto"/>
        <w:rPr/>
      </w:pPr>
      <w:r w:rsidDel="00000000" w:rsidR="00000000" w:rsidRPr="00000000">
        <w:rPr>
          <w:rtl w:val="0"/>
        </w:rPr>
        <w:t xml:space="preserve">2.1 Alcance funcional</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150"/>
        <w:gridCol w:w="2000"/>
        <w:tblGridChange w:id="0">
          <w:tblGrid>
            <w:gridCol w:w="3200"/>
            <w:gridCol w:w="4150"/>
            <w:gridCol w:w="20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Área de Aplicación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Componentes y Funcionalidades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Rol Asociado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Gestión de Usuarios y Accesos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sz w:val="20"/>
                <w:szCs w:val="20"/>
                <w:rtl w:val="0"/>
              </w:rPr>
              <w:t xml:space="preserve">Migración de cuentas de clientes, credenciales del administrador y permisos RBAC.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sz w:val="20"/>
                <w:szCs w:val="20"/>
                <w:rtl w:val="0"/>
              </w:rPr>
              <w:t xml:space="preserve">Cliente / Administrador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sz w:val="20"/>
                <w:szCs w:val="20"/>
                <w:rtl w:val="0"/>
              </w:rPr>
              <w:t xml:space="preserve">Catálogo y Lista de Precios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sz w:val="20"/>
                <w:szCs w:val="20"/>
                <w:rtl w:val="0"/>
              </w:rPr>
              <w:t xml:space="preserve">Carga de repuestos, servicios de taller y precios de referencia para cotización.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sz w:val="20"/>
                <w:szCs w:val="20"/>
                <w:rtl w:val="0"/>
              </w:rPr>
              <w:t xml:space="preserve">Administrador (Gestión)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sz w:val="20"/>
                <w:szCs w:val="20"/>
                <w:rtl w:val="0"/>
              </w:rPr>
              <w:t xml:space="preserve">Módulo de Cotizaciones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sz w:val="20"/>
                <w:szCs w:val="20"/>
                <w:rtl w:val="0"/>
              </w:rPr>
              <w:t xml:space="preserve">Solicitudes enviadas por clientes, creación y revisión de cotizaciones, presupuestos emitidos.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sz w:val="20"/>
                <w:szCs w:val="20"/>
                <w:rtl w:val="0"/>
              </w:rPr>
              <w:t xml:space="preserve">Cliente (Solicitud) / Administrador (Emisión)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sz w:val="20"/>
                <w:szCs w:val="20"/>
                <w:rtl w:val="0"/>
              </w:rPr>
              <w:t xml:space="preserve">Historial y Registro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sz w:val="20"/>
                <w:szCs w:val="20"/>
                <w:rtl w:val="0"/>
              </w:rPr>
              <w:t xml:space="preserve">Consultas de cotizaciones previas por usuario o placa del vehículo.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sz w:val="20"/>
                <w:szCs w:val="20"/>
                <w:rtl w:val="0"/>
              </w:rPr>
              <w:t xml:space="preserve">Cliente / Administrador</w:t>
            </w:r>
            <w:r w:rsidDel="00000000" w:rsidR="00000000" w:rsidRPr="00000000">
              <w:rPr>
                <w:rtl w:val="0"/>
              </w:rPr>
            </w:r>
          </w:p>
        </w:tc>
      </w:tr>
    </w:tbl>
    <w:p w:rsidR="00000000" w:rsidDel="00000000" w:rsidP="00000000" w:rsidRDefault="00000000" w:rsidRPr="00000000" w14:paraId="00000039">
      <w:pPr>
        <w:pStyle w:val="Heading3"/>
        <w:spacing w:after="100" w:before="200" w:lineRule="auto"/>
        <w:rPr/>
      </w:pPr>
      <w:r w:rsidDel="00000000" w:rsidR="00000000" w:rsidRPr="00000000">
        <w:rPr>
          <w:rtl w:val="0"/>
        </w:rPr>
        <w:t xml:space="preserve">2.2 Alcance técnico (base de datos)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Esquema origen: dilanmotos (MariaDB 10.4.32, entorno local XAMPP).</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Esquema destino: mismo modelo de datos, recreado en PostgreSQL sobre Amazon RDS (RDS for PostgreSQL).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Tablas incluidas: las 14 tablas del esquema — usuario, marca, referencia_motos, moto, caracteristicas, categoria, marca_producto, productos, mecanico, tiposervicio, servicio, historial, pqrs y cotizacion. No se excluye ninguna tabla.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incluyen datos sensibles de autenticación (contrasena, reset_token, token_expiracion) y el campo rol de usuario, por lo que la migración debe preservarlos con el mismo nivel de protección que en el origen.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Ambientes: Origen = local (XAMPP/MariaDB); Destino = nube (Amazon RDS for PostgreSQL).</w:t>
      </w:r>
    </w:p>
    <w:p w:rsidR="00000000" w:rsidDel="00000000" w:rsidP="00000000" w:rsidRDefault="00000000" w:rsidRPr="00000000" w14:paraId="0000003F">
      <w:pPr>
        <w:pStyle w:val="Heading1"/>
        <w:spacing w:after="160" w:before="360" w:lineRule="auto"/>
        <w:rPr/>
      </w:pPr>
      <w:r w:rsidDel="00000000" w:rsidR="00000000" w:rsidRPr="00000000">
        <w:rPr>
          <w:rtl w:val="0"/>
        </w:rPr>
        <w:t xml:space="preserve">3. Situación Actual — Base de Datos Origen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50"/>
        <w:tblGridChange w:id="0">
          <w:tblGrid>
            <w:gridCol w:w="3500"/>
            <w:gridCol w:w="58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Atributo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sz w:val="20"/>
                <w:szCs w:val="20"/>
                <w:rtl w:val="0"/>
              </w:rPr>
              <w:t xml:space="preserve">Motor de base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MariaDB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Versión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10.4.32-MariaDB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Entorno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Local (XAMPP)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Nombre del esquema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dilanmotos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Tamaño aproximado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0.47 MB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Número de tablas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14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sz w:val="20"/>
                <w:szCs w:val="20"/>
                <w:rtl w:val="0"/>
              </w:rPr>
              <w:t xml:space="preserve">Número de relaciones (FK)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15</w:t>
            </w:r>
            <w:r w:rsidDel="00000000" w:rsidR="00000000" w:rsidRPr="00000000">
              <w:rPr>
                <w:rtl w:val="0"/>
              </w:rPr>
            </w:r>
          </w:p>
        </w:tc>
      </w:tr>
    </w:tbl>
    <w:p w:rsidR="00000000" w:rsidDel="00000000" w:rsidP="00000000" w:rsidRDefault="00000000" w:rsidRPr="00000000" w14:paraId="00000050">
      <w:pPr>
        <w:pStyle w:val="Heading3"/>
        <w:spacing w:after="100" w:before="200" w:lineRule="auto"/>
        <w:rPr/>
      </w:pPr>
      <w:r w:rsidDel="00000000" w:rsidR="00000000" w:rsidRPr="00000000">
        <w:rPr>
          <w:rtl w:val="0"/>
        </w:rPr>
        <w:t xml:space="preserve">3.1 Inventario de tablas y volumen de registros (origen)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Tabla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Registros aprox.</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caracteristicas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categoria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cotizacion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historial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marca_producto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18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mecanico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moto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pqrs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productos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sz w:val="20"/>
                <w:szCs w:val="20"/>
                <w:rtl w:val="0"/>
              </w:rPr>
              <w:t xml:space="preserve">18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referencia_motos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22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tiposervicio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sz w:val="20"/>
                <w:szCs w:val="20"/>
                <w:rtl w:val="0"/>
              </w:rPr>
              <w:t xml:space="preserve">5</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t xml:space="preserve">Nota: el conteo proviene de information_schema.tables (aproximado para tablas InnoDB). Antes de ejecutar la Validación (sección 13) se recomienda recalcular el conteo exacto con COUNT(*) por tabla.</w:t>
      </w:r>
    </w:p>
    <w:p w:rsidR="00000000" w:rsidDel="00000000" w:rsidP="00000000" w:rsidRDefault="00000000" w:rsidRPr="00000000" w14:paraId="00000070">
      <w:pPr>
        <w:pStyle w:val="Heading3"/>
        <w:spacing w:after="100" w:before="200" w:lineRule="auto"/>
        <w:rPr/>
      </w:pPr>
      <w:r w:rsidDel="00000000" w:rsidR="00000000" w:rsidRPr="00000000">
        <w:rPr>
          <w:rtl w:val="0"/>
        </w:rPr>
        <w:t xml:space="preserve">3.2 Relaciones (llaves foráneas) en el origen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600"/>
        <w:gridCol w:w="2350"/>
        <w:tblGridChange w:id="0">
          <w:tblGrid>
            <w:gridCol w:w="2200"/>
            <w:gridCol w:w="2200"/>
            <w:gridCol w:w="2600"/>
            <w:gridCol w:w="23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Tabla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Columna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Tabla Referenciada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Columna Referenciada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caracteristicas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id_moto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moto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id_moto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cotizacion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id_usuario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id_usuario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historial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id_usuario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sz w:val="20"/>
                <w:szCs w:val="20"/>
                <w:rtl w:val="0"/>
              </w:rPr>
              <w:t xml:space="preserve">id_usuario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sz w:val="20"/>
                <w:szCs w:val="20"/>
                <w:rtl w:val="0"/>
              </w:rPr>
              <w:t xml:space="preserve">historial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id_servicio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sz w:val="20"/>
                <w:szCs w:val="20"/>
                <w:rtl w:val="0"/>
              </w:rPr>
              <w:t xml:space="preserve">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sz w:val="20"/>
                <w:szCs w:val="20"/>
                <w:rtl w:val="0"/>
              </w:rPr>
              <w:t xml:space="preserve">id_servicio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marca_producto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id_categoria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categoria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id_categoria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moto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id_usuario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id_usuario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moto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id_marca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id_marca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pqrs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id_usuario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id_usuario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productos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id_categoria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categoria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id_categoria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productos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sz w:val="20"/>
                <w:szCs w:val="20"/>
                <w:rtl w:val="0"/>
              </w:rPr>
              <w:t xml:space="preserve">id_marca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sz w:val="20"/>
                <w:szCs w:val="20"/>
                <w:rtl w:val="0"/>
              </w:rPr>
              <w:t xml:space="preserve">marca_producto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0"/>
                <w:bCs w:val="0"/>
                <w:sz w:val="20"/>
                <w:szCs w:val="20"/>
                <w:rtl w:val="0"/>
              </w:rPr>
              <w:t xml:space="preserve">id_marca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sz w:val="20"/>
                <w:szCs w:val="20"/>
                <w:rtl w:val="0"/>
              </w:rPr>
              <w:t xml:space="preserve">referencia_motos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0"/>
                <w:bCs w:val="0"/>
                <w:sz w:val="20"/>
                <w:szCs w:val="20"/>
                <w:rtl w:val="0"/>
              </w:rPr>
              <w:t xml:space="preserve">id_marca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sz w:val="20"/>
                <w:szCs w:val="20"/>
                <w:rtl w:val="0"/>
              </w:rPr>
              <w:t xml:space="preserve">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sz w:val="20"/>
                <w:szCs w:val="20"/>
                <w:rtl w:val="0"/>
              </w:rPr>
              <w:t xml:space="preserve">id_marca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sz w:val="20"/>
                <w:szCs w:val="20"/>
                <w:rtl w:val="0"/>
              </w:rPr>
              <w:t xml:space="preserve">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sz w:val="20"/>
                <w:szCs w:val="20"/>
                <w:rtl w:val="0"/>
              </w:rPr>
              <w:t xml:space="preserve">id_usuario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sz w:val="20"/>
                <w:szCs w:val="20"/>
                <w:rtl w:val="0"/>
              </w:rPr>
              <w:t xml:space="preserve">id_usuario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sz w:val="20"/>
                <w:szCs w:val="20"/>
                <w:rtl w:val="0"/>
              </w:rPr>
              <w:t xml:space="preserve">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sz w:val="20"/>
                <w:szCs w:val="20"/>
                <w:rtl w:val="0"/>
              </w:rPr>
              <w:t xml:space="preserve">id_mecanico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sz w:val="20"/>
                <w:szCs w:val="20"/>
                <w:rtl w:val="0"/>
              </w:rPr>
              <w:t xml:space="preserve">mecanico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sz w:val="20"/>
                <w:szCs w:val="20"/>
                <w:rtl w:val="0"/>
              </w:rPr>
              <w:t xml:space="preserve">id_mecanico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sz w:val="20"/>
                <w:szCs w:val="20"/>
                <w:rtl w:val="0"/>
              </w:rPr>
              <w:t xml:space="preserve">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sz w:val="20"/>
                <w:szCs w:val="20"/>
                <w:rtl w:val="0"/>
              </w:rPr>
              <w:t xml:space="preserve">id_tipo_servicio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sz w:val="20"/>
                <w:szCs w:val="20"/>
                <w:rtl w:val="0"/>
              </w:rPr>
              <w:t xml:space="preserve">tiposervicio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sz w:val="20"/>
                <w:szCs w:val="20"/>
                <w:rtl w:val="0"/>
              </w:rPr>
              <w:t xml:space="preserve">id_tipo_servicio</w:t>
            </w: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t xml:space="preserve">Punto de atención: productos.id_marca no referencia a marca (marcas de motocicleta, ej. Suzuki, Yamaha) sino a marca_producto (marcas de repuesto, ej. Motul, Pirelli, RK). Este detalle debe respetarse en el mapeo y en la creación de las llaves foráneas en el destino, para no generar una relación incorrecta.</w:t>
      </w:r>
    </w:p>
    <w:p w:rsidR="00000000" w:rsidDel="00000000" w:rsidP="00000000" w:rsidRDefault="00000000" w:rsidRPr="00000000" w14:paraId="000000AE">
      <w:pPr>
        <w:pStyle w:val="Heading1"/>
        <w:spacing w:after="160" w:before="360" w:lineRule="auto"/>
        <w:rPr/>
      </w:pPr>
      <w:r w:rsidDel="00000000" w:rsidR="00000000" w:rsidRPr="00000000">
        <w:rPr>
          <w:rtl w:val="0"/>
        </w:rPr>
        <w:t xml:space="preserve">4. Situación Destino — Base de Datos Destino</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50"/>
        <w:tblGridChange w:id="0">
          <w:tblGrid>
            <w:gridCol w:w="3500"/>
            <w:gridCol w:w="58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1"/>
                <w:bCs w:val="1"/>
                <w:color w:val="ffffff"/>
                <w:sz w:val="20"/>
                <w:szCs w:val="20"/>
                <w:rtl w:val="0"/>
              </w:rPr>
              <w:t xml:space="preserve">Atributo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sz w:val="20"/>
                <w:szCs w:val="20"/>
                <w:rtl w:val="0"/>
              </w:rPr>
              <w:t xml:space="preserve">Motor de base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sz w:val="20"/>
                <w:szCs w:val="20"/>
                <w:rtl w:val="0"/>
              </w:rPr>
              <w:t xml:space="preserve">PostgreSQL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sz w:val="20"/>
                <w:szCs w:val="20"/>
                <w:rtl w:val="0"/>
              </w:rPr>
              <w:t xml:space="preserve">Plataforma / alojamiento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sz w:val="20"/>
                <w:szCs w:val="20"/>
                <w:rtl w:val="0"/>
              </w:rPr>
              <w:t xml:space="preserve">Amazon RDS for PostgreSQL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sz w:val="20"/>
                <w:szCs w:val="20"/>
                <w:rtl w:val="0"/>
              </w:rPr>
              <w:t xml:space="preserve">Versión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sz w:val="20"/>
                <w:szCs w:val="20"/>
                <w:rtl w:val="0"/>
              </w:rPr>
              <w:t xml:space="preserve">Por confirmar: se recomienda usar la versión estable más reciente disponible en RDS al momento del aprovisionamiento (verificar en la consola de Amazon RDS antes del despliegue)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sz w:val="20"/>
                <w:szCs w:val="20"/>
                <w:rtl w:val="0"/>
              </w:rPr>
              <w:t xml:space="preserve">Nombre del esquema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sz w:val="20"/>
                <w:szCs w:val="20"/>
                <w:rtl w:val="0"/>
              </w:rPr>
              <w:t xml:space="preserve">dilanmotos (mismo nombre lógico; en PostgreSQL los identificadores en minúscula sin comillas se preservan igual)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0"/>
                <w:bCs w:val="0"/>
                <w:sz w:val="20"/>
                <w:szCs w:val="20"/>
                <w:rtl w:val="0"/>
              </w:rPr>
              <w:t xml:space="preserve">Estructura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0"/>
                <w:bCs w:val="0"/>
                <w:sz w:val="20"/>
                <w:szCs w:val="20"/>
                <w:rtl w:val="0"/>
              </w:rPr>
              <w:t xml:space="preserve">Misma estructura relacional del origen, con los ajustes de esquema ya aplicados (columna stock en productos, marca de producto vía marca_producto, reset_token, token_expiracion y rol en usuario)</w:t>
            </w: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rtl w:val="0"/>
        </w:rPr>
        <w:t xml:space="preserve">Al tratarse de un cambio de motor (MariaDB/MySQL → PostgreSQL) y no solo de servidor, la migración es heterogénea: no basta con exportar e importar el mismo .sql, porque la sintaxis DDL, los tipos de datos y el comportamiento de algunas funciones difieren entre motores (ver sección 6 y 8).</w:t>
      </w:r>
    </w:p>
    <w:p w:rsidR="00000000" w:rsidDel="00000000" w:rsidP="00000000" w:rsidRDefault="00000000" w:rsidRPr="00000000" w14:paraId="000000BC">
      <w:pPr>
        <w:pStyle w:val="Heading1"/>
        <w:spacing w:after="160" w:before="360" w:lineRule="auto"/>
        <w:rPr/>
      </w:pPr>
      <w:r w:rsidDel="00000000" w:rsidR="00000000" w:rsidRPr="00000000">
        <w:rPr>
          <w:rtl w:val="0"/>
        </w:rPr>
        <w:t xml:space="preserve">5. Inventario de Datos</w:t>
      </w:r>
    </w:p>
    <w:p w:rsidR="00000000" w:rsidDel="00000000" w:rsidP="00000000" w:rsidRDefault="00000000" w:rsidRPr="00000000" w14:paraId="000000BD">
      <w:pPr>
        <w:spacing w:after="120" w:lineRule="auto"/>
        <w:rPr/>
      </w:pPr>
      <w:r w:rsidDel="00000000" w:rsidR="00000000" w:rsidRPr="00000000">
        <w:rPr>
          <w:rtl w:val="0"/>
        </w:rPr>
        <w:t xml:space="preserve">Entidades de negocio que se migran, agrupadas por dominio: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(clientes y administrador, diferenciados por el campo rol). Incluye datos de autenticación (contrasena) y recuperación de acceso (reset_token, token_expiracion).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Vehículos: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 (motos registradas por cliente), referencia_motos (catálogo de referencias por marca), caracteristicas (descripción asociada a cada moto), marca (marcas de motocicleta).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Catálogo de productos y servicios: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categoria, marca_producto (marca del repuesto), productos (repuestos con precio, stock, imagen), tiposervicio (tipos de servicio de taller), mecanico (personal técnico).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Operación de taller y cotizaciones: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(servicios agendados/realizados), historial (bitácora de acciones sobre servicios), pqrs (peticiones, quejas, reclamos y sugerencias), cotizacion (cotizaciones emitidas a clientes).</w:t>
      </w:r>
    </w:p>
    <w:p w:rsidR="00000000" w:rsidDel="00000000" w:rsidP="00000000" w:rsidRDefault="00000000" w:rsidRPr="00000000" w14:paraId="000000C2">
      <w:pPr>
        <w:spacing w:after="120" w:lineRule="auto"/>
        <w:rPr/>
      </w:pPr>
      <w:r w:rsidDel="00000000" w:rsidR="00000000" w:rsidRPr="00000000">
        <w:rPr>
          <w:rtl w:val="0"/>
        </w:rPr>
        <w:t xml:space="preserve">Se migran datos sensibles de autenticación (contrasena, reset_token) — deben transferirse cifrados/hasheados tal como están en origen, nunca en texto plano adicional, y el destino debe tener los mismos controles de acceso que el origen.</w:t>
      </w:r>
    </w:p>
    <w:p w:rsidR="00000000" w:rsidDel="00000000" w:rsidP="00000000" w:rsidRDefault="00000000" w:rsidRPr="00000000" w14:paraId="000000C3">
      <w:pPr>
        <w:pStyle w:val="Heading1"/>
        <w:spacing w:after="160" w:before="360" w:lineRule="auto"/>
        <w:rPr/>
      </w:pPr>
      <w:r w:rsidDel="00000000" w:rsidR="00000000" w:rsidRPr="00000000">
        <w:rPr>
          <w:rtl w:val="0"/>
        </w:rPr>
        <w:t xml:space="preserve">6. Estrategia de Migración</w:t>
      </w:r>
    </w:p>
    <w:p w:rsidR="00000000" w:rsidDel="00000000" w:rsidP="00000000" w:rsidRDefault="00000000" w:rsidRPr="00000000" w14:paraId="000000C4">
      <w:pPr>
        <w:spacing w:after="120" w:lineRule="auto"/>
        <w:rPr/>
      </w:pPr>
      <w:r w:rsidDel="00000000" w:rsidR="00000000" w:rsidRPr="00000000">
        <w:rPr>
          <w:rtl w:val="0"/>
        </w:rPr>
        <w:t xml:space="preserve">La estrategia inicial planteada (mysqldump / restore directo) aplica quando origen y destino usan el mismo motor. Como el destino es PostgreSQL y el origen es MariaDB, se requiere una migración heterogénea de motor, para la cual mysqldump no es suficiente por sí solo: genera DDL y datos en sintaxis MySQL que PostgreSQL no interpreta de forma nativa (tipos, autoincrementos, comillas de identificadores, etc.).</w:t>
      </w:r>
    </w:p>
    <w:p w:rsidR="00000000" w:rsidDel="00000000" w:rsidP="00000000" w:rsidRDefault="00000000" w:rsidRPr="00000000" w14:paraId="000000C5">
      <w:pPr>
        <w:pStyle w:val="Heading3"/>
        <w:spacing w:after="100" w:before="200" w:lineRule="auto"/>
        <w:rPr/>
      </w:pPr>
      <w:r w:rsidDel="00000000" w:rsidR="00000000" w:rsidRPr="00000000">
        <w:rPr>
          <w:rtl w:val="0"/>
        </w:rPr>
        <w:t xml:space="preserve">6.1 Enfoque recomendado</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Conversión de esquema: usar AWS Schema Conversion Tool (AWS SCT) o pgloader para convertir el DDL de MariaDB a PostgreSQL (tipos de datos, llaves primarias/foráneas, índices y valores por defecto).</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Aprovisionamiento del destino: crear la instancia de Amazon RDS for PostgreSQL y, sobre ella, el esquema ya convertido (tablas vacías con sus constraints).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Migración de datos: usar AWS Database Migration Service (AWS DMS) en modo "full load" (carga completa única, sin réplica continua, dado el tamaño reducido de la base de 0.47 MB) para mover los datos de MariaDB a PostgreSQL; alternativamente, para un proyecto de este tamaño, pgloader puede ejecutar conversión de esquema y carga de datos en un solo paso.</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Alternativa manual (respaldo del plan): exportar cada tabla con SELECT ... INTO OUTFILE o mysqldump --compatible=postgresql --no-create-info, transformar manualmente el archivo resultante (tipos y sintaxis) e importarlo con COPY o INSERT en PostgreSQL, siguiendo el orden de la sección 9.</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Reconstrucción de índices, secuencias (SERIAL/IDENTITY) y llaves foráneas una vez cargados los datos, para evitar fallos por validación de FK durante la carga.</w:t>
      </w:r>
    </w:p>
    <w:p w:rsidR="00000000" w:rsidDel="00000000" w:rsidP="00000000" w:rsidRDefault="00000000" w:rsidRPr="00000000" w14:paraId="000000CB">
      <w:pPr>
        <w:spacing w:after="120" w:lineRule="auto"/>
        <w:rPr/>
      </w:pPr>
      <w:r w:rsidDel="00000000" w:rsidR="00000000" w:rsidRPr="00000000">
        <w:rPr>
          <w:rtl w:val="0"/>
        </w:rPr>
        <w:t xml:space="preserve">Se conserva mysqldump como mecanismo para generar el respaldo del origen (ver sección 12, Plan de contingencia), pero no como único mecanismo de carga en el destino, dado el cambio de motor.</w:t>
      </w:r>
    </w:p>
    <w:p w:rsidR="00000000" w:rsidDel="00000000" w:rsidP="00000000" w:rsidRDefault="00000000" w:rsidRPr="00000000" w14:paraId="000000CC">
      <w:pPr>
        <w:pStyle w:val="Heading1"/>
        <w:spacing w:after="160" w:before="360" w:lineRule="auto"/>
        <w:rPr/>
      </w:pPr>
      <w:r w:rsidDel="00000000" w:rsidR="00000000" w:rsidRPr="00000000">
        <w:rPr>
          <w:rtl w:val="0"/>
        </w:rPr>
        <w:t xml:space="preserve">7. Mapeo de Datos (Origen → Destino)</w:t>
      </w:r>
    </w:p>
    <w:p w:rsidR="00000000" w:rsidDel="00000000" w:rsidP="00000000" w:rsidRDefault="00000000" w:rsidRPr="00000000" w14:paraId="000000CD">
      <w:pPr>
        <w:spacing w:after="120" w:lineRule="auto"/>
        <w:rPr/>
      </w:pPr>
      <w:r w:rsidDel="00000000" w:rsidR="00000000" w:rsidRPr="00000000">
        <w:rPr>
          <w:rtl w:val="0"/>
        </w:rPr>
        <w:t xml:space="preserve">Al mantenerse el mismo modelo relacional, el mapeo es tabla a tabla y columna a columna, con ajuste de tipos de dato al equivalente en PostgreSQL. Resumen de los tipos con conversión relevante:</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2100"/>
        <w:gridCol w:w="2150"/>
        <w:tblGridChange w:id="0">
          <w:tblGrid>
            <w:gridCol w:w="2600"/>
            <w:gridCol w:w="2500"/>
            <w:gridCol w:w="2100"/>
            <w:gridCol w:w="21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Tabla (origen = destino)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Columna con conversión de tipo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1"/>
                <w:bCs w:val="1"/>
                <w:color w:val="ffffff"/>
                <w:sz w:val="20"/>
                <w:szCs w:val="20"/>
                <w:rtl w:val="0"/>
              </w:rPr>
              <w:t xml:space="preserve">Tipo en MariaDB</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1"/>
                <w:bCs w:val="1"/>
                <w:color w:val="ffffff"/>
                <w:sz w:val="20"/>
                <w:szCs w:val="20"/>
                <w:rtl w:val="0"/>
              </w:rPr>
              <w:t xml:space="preserve">Tipo equivalente en PostgreSQL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sz w:val="20"/>
                <w:szCs w:val="20"/>
                <w:rtl w:val="0"/>
              </w:rPr>
              <w:t xml:space="preserve">id_usuario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sz w:val="20"/>
                <w:szCs w:val="20"/>
                <w:rtl w:val="0"/>
              </w:rPr>
              <w:t xml:space="preserve">INT AUTO_INCREMENT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0"/>
                <w:bCs w:val="0"/>
                <w:sz w:val="20"/>
                <w:szCs w:val="20"/>
                <w:rtl w:val="0"/>
              </w:rPr>
              <w:t xml:space="preserve">INTEGER GENERATED ALWAYS AS IDENTITY / SERIAL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0"/>
                <w:bCs w:val="0"/>
                <w:sz w:val="20"/>
                <w:szCs w:val="20"/>
                <w:rtl w:val="0"/>
              </w:rPr>
              <w:t xml:space="preserve">contrasena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0"/>
                <w:bCs w:val="0"/>
                <w:sz w:val="20"/>
                <w:szCs w:val="20"/>
                <w:rtl w:val="0"/>
              </w:rPr>
              <w:t xml:space="preserve">VARCHAR(255)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sz w:val="20"/>
                <w:szCs w:val="20"/>
                <w:rtl w:val="0"/>
              </w:rPr>
              <w:t xml:space="preserve">VARCHAR(255)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sz w:val="20"/>
                <w:szCs w:val="20"/>
                <w:rtl w:val="0"/>
              </w:rPr>
              <w:t xml:space="preserve">reset_token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sz w:val="20"/>
                <w:szCs w:val="20"/>
                <w:rtl w:val="0"/>
              </w:rPr>
              <w:t xml:space="preserve">VARCHAR(100)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sz w:val="20"/>
                <w:szCs w:val="20"/>
                <w:rtl w:val="0"/>
              </w:rPr>
              <w:t xml:space="preserve">VARCHAR(100)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sz w:val="20"/>
                <w:szCs w:val="20"/>
                <w:rtl w:val="0"/>
              </w:rPr>
              <w:t xml:space="preserve">token_expiracion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sz w:val="20"/>
                <w:szCs w:val="20"/>
                <w:rtl w:val="0"/>
              </w:rPr>
              <w:t xml:space="preserve">TIMESTAMP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0"/>
                <w:bCs w:val="0"/>
                <w:sz w:val="20"/>
                <w:szCs w:val="20"/>
                <w:rtl w:val="0"/>
              </w:rPr>
              <w:t xml:space="preserve">TIMESTAMP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sz w:val="20"/>
                <w:szCs w:val="20"/>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0"/>
                <w:bCs w:val="0"/>
                <w:sz w:val="20"/>
                <w:szCs w:val="20"/>
                <w:rtl w:val="0"/>
              </w:rPr>
              <w:t xml:space="preserve">rol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0"/>
                <w:bCs w:val="0"/>
                <w:sz w:val="20"/>
                <w:szCs w:val="20"/>
                <w:rtl w:val="0"/>
              </w:rPr>
              <w:t xml:space="preserve">VARCHAR(20) DEFAULT 'USER'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0"/>
                <w:bCs w:val="0"/>
                <w:sz w:val="20"/>
                <w:szCs w:val="20"/>
                <w:rtl w:val="0"/>
              </w:rPr>
              <w:t xml:space="preserve">VARCHAR(20) DEFAULT 'USER'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b w:val="0"/>
                <w:bCs w:val="0"/>
                <w:sz w:val="20"/>
                <w:szCs w:val="20"/>
                <w:rtl w:val="0"/>
              </w:rPr>
              <w:t xml:space="preserve">productos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b w:val="0"/>
                <w:bCs w:val="0"/>
                <w:sz w:val="20"/>
                <w:szCs w:val="20"/>
                <w:rtl w:val="0"/>
              </w:rPr>
              <w:t xml:space="preserve">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0"/>
                <w:bCs w:val="0"/>
                <w:sz w:val="20"/>
                <w:szCs w:val="20"/>
                <w:rtl w:val="0"/>
              </w:rPr>
              <w:t xml:space="preserve">TINYINT(1)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b w:val="0"/>
                <w:bCs w:val="0"/>
                <w:sz w:val="20"/>
                <w:szCs w:val="20"/>
                <w:rtl w:val="0"/>
              </w:rPr>
              <w:t xml:space="preserve">BOOLEAN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0"/>
                <w:bCs w:val="0"/>
                <w:sz w:val="20"/>
                <w:szCs w:val="20"/>
                <w:rtl w:val="0"/>
              </w:rPr>
              <w:t xml:space="preserve">productos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0"/>
                <w:bCs w:val="0"/>
                <w:sz w:val="20"/>
                <w:szCs w:val="20"/>
                <w:rtl w:val="0"/>
              </w:rPr>
              <w:t xml:space="preserve">precio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sz w:val="20"/>
                <w:szCs w:val="20"/>
                <w:rtl w:val="0"/>
              </w:rPr>
              <w:t xml:space="preserve">INT / DECIMAL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0"/>
                <w:bCs w:val="0"/>
                <w:sz w:val="20"/>
                <w:szCs w:val="20"/>
                <w:rtl w:val="0"/>
              </w:rPr>
              <w:t xml:space="preserve">NUMERIC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sz w:val="20"/>
                <w:szCs w:val="20"/>
                <w:rtl w:val="0"/>
              </w:rPr>
              <w:t xml:space="preserve">productos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0"/>
                <w:bCs w:val="0"/>
                <w:sz w:val="20"/>
                <w:szCs w:val="20"/>
                <w:rtl w:val="0"/>
              </w:rPr>
              <w:t xml:space="preserve">stock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sz w:val="20"/>
                <w:szCs w:val="20"/>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0"/>
                <w:bCs w:val="0"/>
                <w:sz w:val="20"/>
                <w:szCs w:val="20"/>
                <w:rtl w:val="0"/>
              </w:rPr>
              <w:t xml:space="preserve">INTEGER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sz w:val="20"/>
                <w:szCs w:val="20"/>
                <w:rtl w:val="0"/>
              </w:rPr>
              <w:t xml:space="preserve">servicio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0"/>
                <w:bCs w:val="0"/>
                <w:sz w:val="20"/>
                <w:szCs w:val="20"/>
                <w:rtl w:val="0"/>
              </w:rPr>
              <w:t xml:space="preserve">visible_en_historial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0"/>
                <w:bCs w:val="0"/>
                <w:sz w:val="20"/>
                <w:szCs w:val="20"/>
                <w:rtl w:val="0"/>
              </w:rPr>
              <w:t xml:space="preserve">TINYINT(1) / BOOLEAN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0"/>
                <w:bCs w:val="0"/>
                <w:sz w:val="20"/>
                <w:szCs w:val="20"/>
                <w:rtl w:val="0"/>
              </w:rPr>
              <w:t xml:space="preserve">BOOLEAN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0"/>
                <w:bCs w:val="0"/>
                <w:sz w:val="20"/>
                <w:szCs w:val="20"/>
                <w:rtl w:val="0"/>
              </w:rPr>
              <w:t xml:space="preserve">servicio, cotizacion, pqrs, historial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0"/>
                <w:bCs w:val="0"/>
                <w:sz w:val="20"/>
                <w:szCs w:val="20"/>
                <w:rtl w:val="0"/>
              </w:rPr>
              <w:t xml:space="preserve">fecha_servicio / fecha / fecha_envio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sz w:val="20"/>
                <w:szCs w:val="20"/>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0"/>
                <w:bCs w:val="0"/>
                <w:sz w:val="20"/>
                <w:szCs w:val="20"/>
                <w:rtl w:val="0"/>
              </w:rPr>
              <w:t xml:space="preserve">DATE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0"/>
                <w:bCs w:val="0"/>
                <w:sz w:val="20"/>
                <w:szCs w:val="20"/>
                <w:rtl w:val="0"/>
              </w:rPr>
              <w:t xml:space="preserve">Todas las tablas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0"/>
                <w:bCs w:val="0"/>
                <w:sz w:val="20"/>
                <w:szCs w:val="20"/>
                <w:rtl w:val="0"/>
              </w:rPr>
              <w:t xml:space="preserve">id_* (llaves primarias)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sz w:val="20"/>
                <w:szCs w:val="20"/>
                <w:rtl w:val="0"/>
              </w:rPr>
              <w:t xml:space="preserve">INT AUTO_INCREMENT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0"/>
                <w:bCs w:val="0"/>
                <w:sz w:val="20"/>
                <w:szCs w:val="20"/>
                <w:rtl w:val="0"/>
              </w:rPr>
              <w:t xml:space="preserve">INTEGER GENERATED ALWAYS AS IDENTITY / SERIAL</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t xml:space="preserve">Adicionalmente, el mapeo debe respetar dos particularidades del modelo:</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productos.id_marca → marca_producto.id_marca (no hacia la tabla marca). Ver nota en sección 3.2.</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moto.id_marca → marca.id_marca (motocicleta), distinto del punto anterior.</w:t>
      </w:r>
    </w:p>
    <w:p w:rsidR="00000000" w:rsidDel="00000000" w:rsidP="00000000" w:rsidRDefault="00000000" w:rsidRPr="00000000" w14:paraId="00000101">
      <w:pPr>
        <w:pStyle w:val="Heading1"/>
        <w:spacing w:after="160" w:before="360" w:lineRule="auto"/>
        <w:rPr/>
      </w:pPr>
      <w:r w:rsidDel="00000000" w:rsidR="00000000" w:rsidRPr="00000000">
        <w:rPr>
          <w:rtl w:val="0"/>
        </w:rPr>
        <w:t xml:space="preserve">8. Transformaciones de Datos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Codificación de caracteres: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estandarizar a UTF-8 (utf8mb4 en origen) en toda la base destino para evitar errores con tildes y símbolos (ñ, acentos) presentes en nombres de productos, mecánicos y descripciones.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Booleanos: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convertir TINYINT(1) (0/1) a BOOLEAN nativo de PostgreSQL (TRUE/FALSE) en disponible y visible_en_historial.</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Autoincrementales: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reemplazar AUTO_INCREMENT por SERIAL / GENERATED ALWAYS AS IDENTITY, y tras la carga de datos, sincronizar las secuencias de PostgreSQL con setval() al valor máximo de cada id_* migrado, para que las siguientes inserciones no colisionen con los IDs ya migrados.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Identificadores entre comillas: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a diferencia de MySQL, es sensible a mayúsculas/minúsculas cuando el identificador va entre comillas dobles; se recomienda mantener todos los nombres de tabla y columna en minúsculas sin comillas, tal como ya están en el esquema origen, para evitar este problema.</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Valores nulos: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columnas opcionales (ej. comentario, descripcion en pqrs/servicio) para que un NULL en origen se preserve como NULL y no como cadena vacía.</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formato ISO (YYYY-MM-DD) en las columnas de tipo fecha; PostgreSQL lo interpreta de forma nativa sin transformación adicional si el origen ya usa este formato, como se observa en los datos de ejemplo (2025-10-01, etc.).</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Escapes en llaves foráneas de destinos cruzados: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antes de la carga que productos.id_marca corresponda a un id_marca existente en marca_producto (y no en marca), para no romper la restricción de integridad referencial en PostgreSQL.</w:t>
      </w:r>
    </w:p>
    <w:p w:rsidR="00000000" w:rsidDel="00000000" w:rsidP="00000000" w:rsidRDefault="00000000" w:rsidRPr="00000000" w14:paraId="00000109">
      <w:pPr>
        <w:pStyle w:val="Heading1"/>
        <w:spacing w:after="160" w:before="360" w:lineRule="auto"/>
        <w:rPr/>
      </w:pPr>
      <w:r w:rsidDel="00000000" w:rsidR="00000000" w:rsidRPr="00000000">
        <w:rPr>
          <w:rtl w:val="0"/>
        </w:rPr>
        <w:t xml:space="preserve">9. Orden de Migración</w:t>
      </w:r>
    </w:p>
    <w:p w:rsidR="00000000" w:rsidDel="00000000" w:rsidP="00000000" w:rsidRDefault="00000000" w:rsidRPr="00000000" w14:paraId="0000010A">
      <w:pPr>
        <w:spacing w:after="120" w:lineRule="auto"/>
        <w:rPr/>
      </w:pPr>
      <w:r w:rsidDel="00000000" w:rsidR="00000000" w:rsidRPr="00000000">
        <w:rPr>
          <w:rtl w:val="0"/>
        </w:rPr>
        <w:t xml:space="preserve">El orden respeta las dependencias de llave foránea: primero las tablas maestras/sin dependencias, luego las que dependen de ellas.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Tablas maestras sin dependencias: categoria, marca, tiposervicio.</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(no depende de otras tablas).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mecanico (no depende de otras tablas).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marca_producto (depende de categoria).</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referencia_motos (depende de marca).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 (depende de usuario y marca).</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productos (depende de categoria y marca_producto).</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caracteristicas (depende de moto).</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(depende de usuario, mecanico y tiposervicio).</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(depende de usuario y servicio).</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pqrs (depende de usuario).</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cotizacion (depende de usuario).</w:t>
      </w:r>
    </w:p>
    <w:p w:rsidR="00000000" w:rsidDel="00000000" w:rsidP="00000000" w:rsidRDefault="00000000" w:rsidRPr="00000000" w14:paraId="00000117">
      <w:pPr>
        <w:pStyle w:val="Heading1"/>
        <w:spacing w:after="160" w:before="360" w:lineRule="auto"/>
        <w:rPr/>
      </w:pPr>
      <w:r w:rsidDel="00000000" w:rsidR="00000000" w:rsidRPr="00000000">
        <w:rPr>
          <w:rtl w:val="0"/>
        </w:rPr>
        <w:t xml:space="preserve">10. Fases Detalladas del Plan de Migración</w:t>
      </w:r>
    </w:p>
    <w:p w:rsidR="00000000" w:rsidDel="00000000" w:rsidP="00000000" w:rsidRDefault="00000000" w:rsidRPr="00000000" w14:paraId="00000118">
      <w:pPr>
        <w:pStyle w:val="Heading3"/>
        <w:spacing w:after="100" w:before="200" w:lineRule="auto"/>
        <w:rPr/>
      </w:pPr>
      <w:r w:rsidDel="00000000" w:rsidR="00000000" w:rsidRPr="00000000">
        <w:rPr>
          <w:rtl w:val="0"/>
        </w:rPr>
        <w:t xml:space="preserve">Fase 1: Diagnóstico, Inventario y Planificación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Levantamiento de Datos: mapear las bases de datos actuales de usuarios (Clientes y Administradores) y el historial de cotizaciones.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Requerimientos de Software: configurar el modelo de permisos en el sistema destino basándose únicamente en los dos roles definidos.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 Calidad de Datos: depurar correos, datos personales de clientes y catálogo de repuestos/servicios preexistentes.</w:t>
      </w:r>
    </w:p>
    <w:p w:rsidR="00000000" w:rsidDel="00000000" w:rsidP="00000000" w:rsidRDefault="00000000" w:rsidRPr="00000000" w14:paraId="0000011C">
      <w:pPr>
        <w:pStyle w:val="Heading3"/>
        <w:spacing w:after="100" w:before="200" w:lineRule="auto"/>
        <w:rPr/>
      </w:pPr>
      <w:r w:rsidDel="00000000" w:rsidR="00000000" w:rsidRPr="00000000">
        <w:rPr>
          <w:rtl w:val="0"/>
        </w:rPr>
        <w:t xml:space="preserve">Fase 2: Limpieza, Mapeo y Preparación</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Depuración de Datos (Data Cleansing): eliminar usuarios duplicados y estandarizar la codificación del catálogo.</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Matriz de Mapeo de Roles y Permisos: validar que el rol Cliente solo tenga acceso a solicitar/consultar sus cotizaciones y el rol Administrador a la gestión total del sistema.</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Conversión de Esquema: generar el DDL equivalente en PostgreSQL con AWS SCT / pgloader (ver sección 6).</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Estrategia de Respaldos (Backups): generar copia de seguridad de la base de datos MariaDB previa a la migración.</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Entorno de Pruebas (Staging): realizar pruebas de carga y login simulando accesos con usuarios tipo Cliente y Administrador contra la base PostgreSQL de prueba.</w:t>
      </w:r>
    </w:p>
    <w:p w:rsidR="00000000" w:rsidDel="00000000" w:rsidP="00000000" w:rsidRDefault="00000000" w:rsidRPr="00000000" w14:paraId="00000122">
      <w:pPr>
        <w:pStyle w:val="Heading3"/>
        <w:spacing w:after="100" w:before="200" w:lineRule="auto"/>
        <w:rPr/>
      </w:pPr>
      <w:r w:rsidDel="00000000" w:rsidR="00000000" w:rsidRPr="00000000">
        <w:rPr>
          <w:rtl w:val="0"/>
        </w:rPr>
        <w:t xml:space="preserve">Fase 3: Ejecución y Migración de Datos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 de Datos Estáticos: migrar tablas maestras, catálogo de repuestos/servicios y cuentas de usuario (Administrador y Clientes), siguiendo el orden de la sección 9.</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Ventana de Mantenimiento (Cutover): pausa temporal en el módulo de solicitudes de cotización para realizar el cambio de entorno (ver sección 14).</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Migración de Datos Dinámicos: cargar cotizaciones activas, solicitudes pendientes, servicios e historial.</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Cruzada: verificar la integridad del historial de cotizaciones por cliente y la correcta asignación de roles (ver sección 13).</w:t>
      </w:r>
    </w:p>
    <w:p w:rsidR="00000000" w:rsidDel="00000000" w:rsidP="00000000" w:rsidRDefault="00000000" w:rsidRPr="00000000" w14:paraId="00000127">
      <w:pPr>
        <w:pStyle w:val="Heading3"/>
        <w:spacing w:after="100" w:before="200" w:lineRule="auto"/>
        <w:rPr/>
      </w:pPr>
      <w:r w:rsidDel="00000000" w:rsidR="00000000" w:rsidRPr="00000000">
        <w:rPr>
          <w:rtl w:val="0"/>
        </w:rPr>
        <w:t xml:space="preserve">Fase 4: Salida a Producción y Soporte</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Aceptación: validación de creación de cotizaciones por parte del Administrador y recepción/visualización por el Cliente.</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Go-Live (Salida en Vivo): despliegue oficial del sistema apuntando a Amazon RDS for PostgreSQL.</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Soporte Post-Migración: acompañamiento intensivo durante las primeras 72 horas para atender eventualidades con el acceso de usuarios o emisión de presupuestos.</w:t>
      </w:r>
    </w:p>
    <w:p w:rsidR="00000000" w:rsidDel="00000000" w:rsidP="00000000" w:rsidRDefault="00000000" w:rsidRPr="00000000" w14:paraId="0000012B">
      <w:pPr>
        <w:pStyle w:val="Heading1"/>
        <w:spacing w:after="160" w:before="360" w:lineRule="auto"/>
        <w:rPr/>
      </w:pPr>
      <w:r w:rsidDel="00000000" w:rsidR="00000000" w:rsidRPr="00000000">
        <w:rPr>
          <w:rtl w:val="0"/>
        </w:rPr>
        <w:t xml:space="preserve">11. Pruebas</w:t>
      </w:r>
    </w:p>
    <w:p w:rsidR="00000000" w:rsidDel="00000000" w:rsidP="00000000" w:rsidRDefault="00000000" w:rsidRPr="00000000" w14:paraId="0000012C">
      <w:pPr>
        <w:pStyle w:val="Heading3"/>
        <w:spacing w:after="100" w:before="200" w:lineRule="auto"/>
        <w:rPr/>
      </w:pPr>
      <w:r w:rsidDel="00000000" w:rsidR="00000000" w:rsidRPr="00000000">
        <w:rPr>
          <w:rtl w:val="0"/>
        </w:rPr>
        <w:t xml:space="preserve">11.1 Pruebas antes de migrar (sobre el origen)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el backup (mysqldump) del esquema dilanmotos se generó sin errores y su tamaño es coherente con los 0.47 MB reportados.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el conteo de registros por tabla antes de iniciar la migración (COUNT(*) exacto, ver nota de la sección 3.1).</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en un entorno de staging PostgreSQL que el esquema convertido crea correctamente las 14 tablas, sus llaves primarias y foráneas, sin errores de sintaxis.</w:t>
      </w:r>
    </w:p>
    <w:p w:rsidR="00000000" w:rsidDel="00000000" w:rsidP="00000000" w:rsidRDefault="00000000" w:rsidRPr="00000000" w14:paraId="00000130">
      <w:pPr>
        <w:pStyle w:val="Heading3"/>
        <w:spacing w:after="100" w:before="200" w:lineRule="auto"/>
        <w:rPr/>
      </w:pPr>
      <w:r w:rsidDel="00000000" w:rsidR="00000000" w:rsidRPr="00000000">
        <w:rPr>
          <w:rtl w:val="0"/>
        </w:rPr>
        <w:t xml:space="preserve">11.2 Pruebas después de migrar (sobre el destino)</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consultas de conteo por tabla en PostgreSQL y compararlas contra el origen (ver sección 13).</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Probar login con un usuario Cliente y un usuario Administrador contra la base ya migrada.</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una cotización de prueba y verificar que quede registrada en cotizacion e historial correctamente.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las imágenes de productos (imagen_url) sigan siendo accesibles y estén correctamente asociadas tras la migración.</w:t>
      </w:r>
    </w:p>
    <w:p w:rsidR="00000000" w:rsidDel="00000000" w:rsidP="00000000" w:rsidRDefault="00000000" w:rsidRPr="00000000" w14:paraId="00000135">
      <w:pPr>
        <w:pStyle w:val="Heading1"/>
        <w:spacing w:after="160" w:before="360" w:lineRule="auto"/>
        <w:rPr/>
      </w:pPr>
      <w:r w:rsidDel="00000000" w:rsidR="00000000" w:rsidRPr="00000000">
        <w:rPr>
          <w:rtl w:val="0"/>
        </w:rPr>
        <w:t xml:space="preserve">12. Validación</w:t>
      </w:r>
    </w:p>
    <w:p w:rsidR="00000000" w:rsidDel="00000000" w:rsidP="00000000" w:rsidRDefault="00000000" w:rsidRPr="00000000" w14:paraId="00000136">
      <w:pPr>
        <w:spacing w:after="120" w:lineRule="auto"/>
        <w:rPr/>
      </w:pPr>
      <w:r w:rsidDel="00000000" w:rsidR="00000000" w:rsidRPr="00000000">
        <w:rPr>
          <w:rtl w:val="0"/>
        </w:rPr>
        <w:t xml:space="preserve">La validación combina la verificación técnica de datos (heredada de la sección "Validación Cruzada" original) con un checklist explícito de integridad: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Comparar COUNT(*) origen vs. destino, tabla por tabla, para las 14 tablas del esquema.</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todas las llaves foráneas listadas en la sección 3.2 existan y estén activas en PostgreSQL (incluyendo el caso particular productos.id_marca → marca_producto.id_marca).</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que las secuencias (SERIAL/IDENTITY) de PostgreSQL quedaron sincronizadas con el máximo id_* migrado en cada tabla.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Probar consultas críticas del sistema (listado de catálogo, historial de cotizaciones por cliente, login) contra la base destino.</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la integridad del historial de cotizaciones por cliente y la correcta asignación de roles (Cliente/Administrador).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el 100% de los datos del catálogo y de usuarios migrados antes de dar por cerrada la migración (criterio de cierre, ver sección 18).</w:t>
      </w:r>
    </w:p>
    <w:p w:rsidR="00000000" w:rsidDel="00000000" w:rsidP="00000000" w:rsidRDefault="00000000" w:rsidRPr="00000000" w14:paraId="0000013D">
      <w:pPr>
        <w:pStyle w:val="Heading1"/>
        <w:spacing w:after="160" w:before="360" w:lineRule="auto"/>
        <w:rPr/>
      </w:pPr>
      <w:r w:rsidDel="00000000" w:rsidR="00000000" w:rsidRPr="00000000">
        <w:rPr>
          <w:rtl w:val="0"/>
        </w:rPr>
        <w:t xml:space="preserve">13. Ventana de Migración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0"/>
                <w:bCs w:val="0"/>
                <w:sz w:val="20"/>
                <w:szCs w:val="20"/>
                <w:rtl w:val="0"/>
              </w:rPr>
              <w:t xml:space="preserve">Fecha propuesta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b w:val="0"/>
                <w:bCs w:val="0"/>
                <w:sz w:val="20"/>
                <w:szCs w:val="20"/>
                <w:rtl w:val="0"/>
              </w:rPr>
              <w:t xml:space="preserve">Por definir — pendiente de confirmación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b w:val="0"/>
                <w:bCs w:val="0"/>
                <w:sz w:val="20"/>
                <w:szCs w:val="20"/>
                <w:rtl w:val="0"/>
              </w:rPr>
              <w:t xml:space="preserve">Hora de inicio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0"/>
                <w:bCs w:val="0"/>
                <w:sz w:val="20"/>
                <w:szCs w:val="20"/>
                <w:rtl w:val="0"/>
              </w:rPr>
              <w:t xml:space="preserve">Por definir — se recomienda horario de mínima actividad de clientes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b w:val="0"/>
                <w:bCs w:val="0"/>
                <w:sz w:val="20"/>
                <w:szCs w:val="20"/>
                <w:rtl w:val="0"/>
              </w:rPr>
              <w:t xml:space="preserve">Duración estimada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b w:val="0"/>
                <w:bCs w:val="0"/>
                <w:sz w:val="20"/>
                <w:szCs w:val="20"/>
                <w:rtl w:val="0"/>
              </w:rPr>
              <w:t xml:space="preserve">Aproximadamente 2 horas (dado el volumen reducido de datos: 0.47 MB / 14 tablas)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b w:val="0"/>
                <w:bCs w:val="0"/>
                <w:sz w:val="20"/>
                <w:szCs w:val="20"/>
                <w:rtl w:val="0"/>
              </w:rPr>
              <w:t xml:space="preserve">Responsable de ejecución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0"/>
                <w:bCs w:val="0"/>
                <w:sz w:val="20"/>
                <w:szCs w:val="20"/>
                <w:rtl w:val="0"/>
              </w:rPr>
              <w:t xml:space="preserve">Ver sección 15 (Responsables)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b w:val="0"/>
                <w:bCs w:val="0"/>
                <w:sz w:val="20"/>
                <w:szCs w:val="20"/>
                <w:rtl w:val="0"/>
              </w:rPr>
              <w:t xml:space="preserve">Módulo afectado durante la 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0"/>
                <w:bCs w:val="0"/>
                <w:sz w:val="20"/>
                <w:szCs w:val="20"/>
                <w:rtl w:val="0"/>
              </w:rPr>
              <w:t xml:space="preserve">Módulo de solicitudes de cotización (pausa temporal, ver Fase 3)</w:t>
            </w:r>
            <w:r w:rsidDel="00000000" w:rsidR="00000000" w:rsidRPr="00000000">
              <w:rPr>
                <w:rtl w:val="0"/>
              </w:rPr>
            </w:r>
          </w:p>
        </w:tc>
      </w:tr>
    </w:tbl>
    <w:p w:rsidR="00000000" w:rsidDel="00000000" w:rsidP="00000000" w:rsidRDefault="00000000" w:rsidRPr="00000000" w14:paraId="0000014A">
      <w:pPr>
        <w:pStyle w:val="Heading1"/>
        <w:spacing w:after="160" w:before="360" w:lineRule="auto"/>
        <w:rPr/>
      </w:pPr>
      <w:r w:rsidDel="00000000" w:rsidR="00000000" w:rsidRPr="00000000">
        <w:rPr>
          <w:rtl w:val="0"/>
        </w:rPr>
        <w:t xml:space="preserve">14. Plan de Contingencia / Rollback</w:t>
      </w:r>
    </w:p>
    <w:p w:rsidR="00000000" w:rsidDel="00000000" w:rsidP="00000000" w:rsidRDefault="00000000" w:rsidRPr="00000000" w14:paraId="0000014B">
      <w:pPr>
        <w:spacing w:after="120" w:lineRule="auto"/>
        <w:rPr/>
      </w:pPr>
      <w:r w:rsidDel="00000000" w:rsidR="00000000" w:rsidRPr="00000000">
        <w:rPr>
          <w:rtl w:val="0"/>
        </w:rPr>
        <w:t xml:space="preserve">Ante cualquier falla durante la migración de esquema o de datos, se seguirá el siguiente procedimiento de reversión:</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de decisión: si al finalizar la carga de datos el conteo de registros no coincide en alguna tabla, o alguna llave foránea no puede crearse por inconsistencia de datos, se declara la migración fallida y se activa el rollback.</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Congelar el sistema: mantener el módulo de cotizaciones apuntando al origen (MariaDB local) hasta resolver la contingencia.</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Restauración del origen: si se llegó a modificar la base MariaDB durante el proceso, restaurarla desde el backup (mysqldump) tomado antes de iniciar la migración (Fase 2, paso 4).</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Descartar el destino fallido: eliminar o vaciar las tablas de la instancia PostgreSQL en RDS que quedaron incompletas o inconsistentes, en lugar de intentar corregirlas parcialmente.</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Reintento: corregir el motivo de la falla (ajuste de tipo de dato, orden de carga o mapeo) y repetir la migración desde la sección 9, en un nuevo intento planificado.</w:t>
      </w:r>
    </w:p>
    <w:p w:rsidR="00000000" w:rsidDel="00000000" w:rsidP="00000000" w:rsidRDefault="00000000" w:rsidRPr="00000000" w14:paraId="00000151">
      <w:pPr>
        <w:spacing w:after="120" w:lineRule="auto"/>
        <w:rPr/>
      </w:pPr>
      <w:r w:rsidDel="00000000" w:rsidR="00000000" w:rsidRPr="00000000">
        <w:rPr>
          <w:rtl w:val="0"/>
        </w:rPr>
        <w:t xml:space="preserve">Tiempo máximo tolerable de rollback: dado el tamaño reducido de la base (0.47 MB), se estima un máximo de 30 minutos para restaurar el origen y regresar el sistema a su estado operativo previo.</w:t>
      </w:r>
    </w:p>
    <w:p w:rsidR="00000000" w:rsidDel="00000000" w:rsidP="00000000" w:rsidRDefault="00000000" w:rsidRPr="00000000" w14:paraId="00000152">
      <w:pPr>
        <w:pStyle w:val="Heading1"/>
        <w:spacing w:after="160" w:before="360" w:lineRule="auto"/>
        <w:rPr/>
      </w:pPr>
      <w:r w:rsidDel="00000000" w:rsidR="00000000" w:rsidRPr="00000000">
        <w:rPr>
          <w:rtl w:val="0"/>
        </w:rPr>
        <w:t xml:space="preserve">15. Responsables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100"/>
        <w:gridCol w:w="3150"/>
        <w:tblGridChange w:id="0">
          <w:tblGrid>
            <w:gridCol w:w="2100"/>
            <w:gridCol w:w="4100"/>
            <w:gridCol w:w="31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Rol</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Responsable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Función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b w:val="0"/>
                <w:bCs w:val="0"/>
                <w:sz w:val="20"/>
                <w:szCs w:val="20"/>
                <w:rtl w:val="0"/>
              </w:rPr>
              <w:t xml:space="preserve">Ejecutor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b w:val="0"/>
                <w:bCs w:val="0"/>
                <w:sz w:val="20"/>
                <w:szCs w:val="20"/>
                <w:rtl w:val="0"/>
              </w:rPr>
              <w:t xml:space="preserve">Por asignar (equipo/estudiante a cargo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b w:val="0"/>
                <w:bCs w:val="0"/>
                <w:sz w:val="20"/>
                <w:szCs w:val="20"/>
                <w:rtl w:val="0"/>
              </w:rPr>
              <w:t xml:space="preserve">Ejecuta los pasos técnicos de conversión de esquema, carga de datos y configuración de Amazon RDS.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0"/>
                <w:bCs w:val="0"/>
                <w:sz w:val="20"/>
                <w:szCs w:val="20"/>
                <w:rtl w:val="0"/>
              </w:rPr>
              <w:t xml:space="preserve">Verificador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0"/>
                <w:bCs w:val="0"/>
                <w:sz w:val="20"/>
                <w:szCs w:val="20"/>
                <w:rtl w:val="0"/>
              </w:rPr>
              <w:t xml:space="preserve">Por asignar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0"/>
                <w:bCs w:val="0"/>
                <w:sz w:val="20"/>
                <w:szCs w:val="20"/>
                <w:rtl w:val="0"/>
              </w:rPr>
              <w:t xml:space="preserve">Corre las pruebas y la validación de la sección 12 antes de autorizar el cierre.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sz w:val="20"/>
                <w:szCs w:val="20"/>
                <w:rtl w:val="0"/>
              </w:rPr>
              <w:t xml:space="preserve">Autoriza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sz w:val="20"/>
                <w:szCs w:val="20"/>
                <w:rtl w:val="0"/>
              </w:rPr>
              <w:t xml:space="preserve">Por asignar (tutor/cliente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sz w:val="20"/>
                <w:szCs w:val="20"/>
                <w:rtl w:val="0"/>
              </w:rPr>
              <w:t xml:space="preserve">Aprueba formalmente el Go-Live y el cierre de la migración.</w:t>
            </w: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t xml:space="preserve">Nota: al ser un proyecto individual/académico, una misma persona puede asumir varios roles; se recomienda formalizarlos igualmente en el documento final para dejar trazabilidad de quién ejecutó y quién verificó cada paso.</w:t>
      </w:r>
    </w:p>
    <w:p w:rsidR="00000000" w:rsidDel="00000000" w:rsidP="00000000" w:rsidRDefault="00000000" w:rsidRPr="00000000" w14:paraId="00000160">
      <w:pPr>
        <w:pStyle w:val="Heading1"/>
        <w:spacing w:after="160" w:before="360" w:lineRule="auto"/>
        <w:rPr/>
      </w:pPr>
      <w:r w:rsidDel="00000000" w:rsidR="00000000" w:rsidRPr="00000000">
        <w:rPr>
          <w:rtl w:val="0"/>
        </w:rPr>
        <w:t xml:space="preserve">16. Evidencias</w:t>
      </w:r>
    </w:p>
    <w:p w:rsidR="00000000" w:rsidDel="00000000" w:rsidP="00000000" w:rsidRDefault="00000000" w:rsidRPr="00000000" w14:paraId="00000161">
      <w:pPr>
        <w:spacing w:after="120" w:lineRule="auto"/>
        <w:rPr/>
      </w:pPr>
      <w:r w:rsidDel="00000000" w:rsidR="00000000" w:rsidRPr="00000000">
        <w:rPr>
          <w:rtl w:val="0"/>
        </w:rPr>
        <w:t xml:space="preserve">Evidencias que se recolectarán como respaldo de la migración: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Captura o archivo del backup (mysqldump) del origen, con fecha y hora de generación.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 DDL generado por AWS SCT / pgloader para la creación del esquema en PostgreSQL.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de ejecución de AWS DMS (o de pgloader) durante la carga de datos.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de los COUNT(*) origen vs. destino, tabla por tabla.</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Capturas de pantalla del login exitoso con usuario Cliente y usuario Administrador sobre la base migrada.</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Captura de una cotización de prueba generada y visible en el historial post-migración.</w:t>
      </w:r>
    </w:p>
    <w:p w:rsidR="00000000" w:rsidDel="00000000" w:rsidP="00000000" w:rsidRDefault="00000000" w:rsidRPr="00000000" w14:paraId="00000168">
      <w:pPr>
        <w:pStyle w:val="Heading1"/>
        <w:spacing w:after="160" w:before="360" w:lineRule="auto"/>
        <w:rPr/>
      </w:pPr>
      <w:r w:rsidDel="00000000" w:rsidR="00000000" w:rsidRPr="00000000">
        <w:rPr>
          <w:rtl w:val="0"/>
        </w:rPr>
        <w:t xml:space="preserve">17. Matriz de Gestión de Riesgos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500"/>
        <w:gridCol w:w="4500"/>
        <w:tblGridChange w:id="0">
          <w:tblGrid>
            <w:gridCol w:w="3350"/>
            <w:gridCol w:w="1500"/>
            <w:gridCol w:w="45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1"/>
                <w:bCs w:val="1"/>
                <w:color w:val="ffffff"/>
                <w:sz w:val="20"/>
                <w:szCs w:val="20"/>
                <w:rtl w:val="0"/>
              </w:rPr>
              <w:t xml:space="preserve">Riesgo Identificado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1"/>
                <w:bCs w:val="1"/>
                <w:color w:val="ffffff"/>
                <w:sz w:val="20"/>
                <w:szCs w:val="20"/>
                <w:rtl w:val="0"/>
              </w:rPr>
              <w:t xml:space="preserve">Impacto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1"/>
                <w:bCs w:val="1"/>
                <w:color w:val="ffffff"/>
                <w:sz w:val="20"/>
                <w:szCs w:val="20"/>
                <w:rtl w:val="0"/>
              </w:rPr>
              <w:t xml:space="preserve">Medida Preventiva / Mitigación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sz w:val="20"/>
                <w:szCs w:val="20"/>
                <w:rtl w:val="0"/>
              </w:rPr>
              <w:t xml:space="preserve">Fallas en la asignación de permisos (RBAC)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sz w:val="20"/>
                <w:szCs w:val="20"/>
                <w:rtl w:val="0"/>
              </w:rPr>
              <w:t xml:space="preserve">Alto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sz w:val="20"/>
                <w:szCs w:val="20"/>
                <w:rtl w:val="0"/>
              </w:rPr>
              <w:t xml:space="preserve">Validación estricta en el entorno de pruebas para asegurar la restricción de vistas entre Cliente y Administrador.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sz w:val="20"/>
                <w:szCs w:val="20"/>
                <w:rtl w:val="0"/>
              </w:rPr>
              <w:t xml:space="preserve">Inconsistencia en los precios de catálogo durante la cotización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sz w:val="20"/>
                <w:szCs w:val="20"/>
                <w:rtl w:val="0"/>
              </w:rPr>
              <w:t xml:space="preserve">Alto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sz w:val="20"/>
                <w:szCs w:val="20"/>
                <w:rtl w:val="0"/>
              </w:rPr>
              <w:t xml:space="preserve">Auditoría previa de la base de datos de precios por parte del Administrador antes de habilitar el sistema.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sz w:val="20"/>
                <w:szCs w:val="20"/>
                <w:rtl w:val="0"/>
              </w:rPr>
              <w:t xml:space="preserve">Dificultades de acceso por parte de clientes registrados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sz w:val="20"/>
                <w:szCs w:val="20"/>
                <w:rtl w:val="0"/>
              </w:rPr>
              <w:t xml:space="preserve">Medio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0"/>
                <w:bCs w:val="0"/>
                <w:sz w:val="20"/>
                <w:szCs w:val="20"/>
                <w:rtl w:val="0"/>
              </w:rPr>
              <w:t xml:space="preserve">Verificación de migración de credenciales/datos de contacto para recuperación de contraseña.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b w:val="0"/>
                <w:bCs w:val="0"/>
                <w:sz w:val="20"/>
                <w:szCs w:val="20"/>
                <w:rtl w:val="0"/>
              </w:rPr>
              <w:t xml:space="preserve">Pérdida o alteración de datos por incompatibilidad de tipos entre MariaDB y PostgreSQL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0"/>
                <w:bCs w:val="0"/>
                <w:sz w:val="20"/>
                <w:szCs w:val="20"/>
                <w:rtl w:val="0"/>
              </w:rPr>
              <w:t xml:space="preserve">Alto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b w:val="0"/>
                <w:bCs w:val="0"/>
                <w:sz w:val="20"/>
                <w:szCs w:val="20"/>
                <w:rtl w:val="0"/>
              </w:rPr>
              <w:t xml:space="preserve">Uso de herramientas de conversión de esquema (AWS SCT/pgloader) y pruebas de carga en staging antes del Go-Live.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0"/>
                <w:bCs w:val="0"/>
                <w:sz w:val="20"/>
                <w:szCs w:val="20"/>
                <w:rtl w:val="0"/>
              </w:rPr>
              <w:t xml:space="preserve">Llave foránea productos.id_marca mal interpretada (confundida con la tabla marca)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0"/>
                <w:bCs w:val="0"/>
                <w:sz w:val="20"/>
                <w:szCs w:val="20"/>
                <w:rtl w:val="0"/>
              </w:rPr>
              <w:t xml:space="preserve">Medio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b w:val="0"/>
                <w:bCs w:val="0"/>
                <w:sz w:val="20"/>
                <w:szCs w:val="20"/>
                <w:rtl w:val="0"/>
              </w:rPr>
              <w:t xml:space="preserve">Documentar explícitamente en el mapeo (sección 7) que dicha columna referencia a marca_producto, y validar la restricción en el destino antes de la carga.</w:t>
            </w:r>
            <w:r w:rsidDel="00000000" w:rsidR="00000000" w:rsidRPr="00000000">
              <w:rPr>
                <w:rtl w:val="0"/>
              </w:rPr>
            </w:r>
          </w:p>
        </w:tc>
      </w:tr>
    </w:tbl>
    <w:p w:rsidR="00000000" w:rsidDel="00000000" w:rsidP="00000000" w:rsidRDefault="00000000" w:rsidRPr="00000000" w14:paraId="0000017B">
      <w:pPr>
        <w:pStyle w:val="Heading1"/>
        <w:spacing w:after="160" w:before="360" w:lineRule="auto"/>
        <w:rPr/>
      </w:pPr>
      <w:r w:rsidDel="00000000" w:rsidR="00000000" w:rsidRPr="00000000">
        <w:rPr>
          <w:rtl w:val="0"/>
        </w:rPr>
        <w:t xml:space="preserve">18. Criterios de Aceptación y Cierre</w:t>
      </w:r>
    </w:p>
    <w:p w:rsidR="00000000" w:rsidDel="00000000" w:rsidP="00000000" w:rsidRDefault="00000000" w:rsidRPr="00000000" w14:paraId="0000017C">
      <w:pPr>
        <w:spacing w:after="120" w:lineRule="auto"/>
        <w:rPr/>
      </w:pPr>
      <w:r w:rsidDel="00000000" w:rsidR="00000000" w:rsidRPr="00000000">
        <w:rPr>
          <w:rtl w:val="0"/>
        </w:rPr>
        <w:t xml:space="preserve">El proceso de migración se dará por finalizado exitosamente cuando se cumplan los siguientes hitos: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correcto y seguro al sistema bajo los roles de Cliente y Administrador, ya conectado a Amazon RDS for PostgreSQL.</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Generación y consulta de cotizaciones funcionando de manera fluida y sin errores.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del 100% de los datos del catálogo y de usuarios migrados, conforme al checklist de la sección 12.</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15 relaciones de llave foránea (sección 3.2) recreadas y activas en el destino, sin errores de integridad referencial.</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de la sección 16 recolectadas y archivadas como respaldo del cierre del proyecto.</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e79"/>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