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792.0" w:type="dxa"/>
        <w:jc w:val="center"/>
        <w:tblBorders>
          <w:top w:color="d3d3d3" w:space="0" w:sz="4" w:val="single"/>
          <w:left w:color="d3d3d3" w:space="0" w:sz="4" w:val="single"/>
          <w:bottom w:color="d3d3d3" w:space="0" w:sz="4" w:val="single"/>
          <w:right w:color="d3d3d3" w:space="0" w:sz="4" w:val="single"/>
          <w:insideH w:color="d3d3d3" w:space="0" w:sz="4" w:val="single"/>
          <w:insideV w:color="d3d3d3" w:space="0" w:sz="4" w:val="single"/>
        </w:tblBorders>
        <w:tblLayout w:type="fixed"/>
        <w:tblLook w:val="0400"/>
      </w:tblPr>
      <w:tblGrid>
        <w:gridCol w:w="3024"/>
        <w:gridCol w:w="6768"/>
        <w:tblGridChange w:id="0">
          <w:tblGrid>
            <w:gridCol w:w="3024"/>
            <w:gridCol w:w="67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2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CU-012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 del Caso de Uso: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Comparar características técnicas y generar recomendación por 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Cliente /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Secundario: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Agente / Servicio de 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Procesa la comparación entre la ficha técnica de la motocicleta del cliente y el catálogo de repuestos comercializados (aceites, llantas, kits de arrastre) para retornar la opción idónea con su grado de compatibilidad.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Petición de generación de recomendación al hacer clic en el botón "Generar Recomendación".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El usuario debe contar con una sesión activa en la plataforma (RNF08).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Debe tener registradas las especificaciones técnicas de su motocicleta en su perfil.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Despliegue en pantalla de la tarjeta del repuesto recomendado con el desglose de compatibilidad técnica.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 Principal (Paso a paso):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 El usuario navega a la sección de recomendaciones de su perfil (en menos de 3 clics, RNF02).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 El usuario presiona la acción "Generar Recomendación".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 El sistema extrae la ficha técnica del vehículo asociado al perfil del usuario.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 El sistema envía las características al motor/servicio de Inteligencia Artificial.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5. El Agente de IA evalúa las especificaciones contra el catálogo de repuestos activos siguiendo las reglas de compatibilidad (RN12).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6. El sistema determina el repuesto óptimo e idóneo con mayor porcentaje de ajuste.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7. El sistema presenta la tarjeta del producto recomendado y la justificación técnica en pantalla en un tiempo menor a 2 segundos (RNF01).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Flujos Alternativos / Excepciones: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3.1 / 4.1 Error de procesamiento o fallo de conexión con el servicio de 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El sistema detecta un tiempo de espera agotado (timeout) o una falla en el microservicio.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emite un mensaje de error claro en pantalla: "No fue posible conectar con el asistente de IA en este momento. Por favor intente más tarde." (RNF02).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c. El evento de falla se registra en la bitácora de auditoría / logs de errores (RNF04).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Tarjeta interactiva con la información detallada del repuesto recomendado, imágenes, justificación técnica y opción directa de cotizar.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producto devuelto debe ser estrictamente compatible con la marca, cilindraje y modelo de la motocicleta guardada en el perfil del cliente.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RN12 - Reglas de compatibilidad mecánica por cilindraje, modelo y marca.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Requerimientos No Funcionales (RNF):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RNF01 (Rendimiento &lt; 2s), RNF02 (Usabilidad &lt; 3 clics), RNF04 (Fiabilidad y Logs de errores), RNF06 (Multi-navegador / Responsive).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CP-RF012-01 (Generación exitosa de recomendación).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Requerimiento Funcional: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RF012</w:t>
            </w:r>
          </w:p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Historia de Usuario: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HU-012</w:t>
            </w:r>
          </w:p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Épica: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EP-003 (Recomendaciones e IA)</w:t>
            </w:r>
          </w:p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Módulo: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Motor de Recomendación IA</w:t>
            </w:r>
          </w:p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Pruebas: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CP-RF012-01</w:t>
            </w:r>
          </w:p>
        </w:tc>
      </w:tr>
    </w:tbl>
    <w:p w:rsidR="00000000" w:rsidDel="00000000" w:rsidP="00000000" w:rsidRDefault="00000000" w:rsidRPr="00000000" w14:paraId="00000032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7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6768"/>
        <w:tblGridChange w:id="0">
          <w:tblGrid>
            <w:gridCol w:w="3024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CU-013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 del Caso de Uso: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Visualizar catálogo por categoría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Cliente / Invitado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Secundario: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Ninguno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Muestra los productos y repuestos comercializados organizados en cuadrículas dinámicas y estructuradas según la categoría técnica seleccionada.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Selección de la categoría deseada (Aceites, Llantas, Kits de Arrastre, etc.).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La plataforma debe encontrarse disponible (disponibilidad del 95%, RNF04).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Despliegue en pantalla de la lista o cuadrícula de productos asociados a la categoría.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 Principal (Paso a paso):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 El usuario accede al módulo principal del catálogo de la plataforma.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 El usuario selecciona una categoría técnica específica de la lista visualizada (en menos de 3 clics, RNF02).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 El sistema consulta en la base de datos el catálogo de inventario público bajo la categoría elegida (RN13).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 El sistema procesa los registros y renderiza la vista en una cuadrícula adaptable (responsive).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5. El catálogo se presenta al usuario en un tiempo inferior a 2 segundos (RNF01).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Flujos Alternativos / Excepciones: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3.1 Categoria sin repuestos registrados o activos: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El sistema verifica que no existen elementos para la categoría seleccionada.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muestra la vista de cuadrícula con la leyenda explicativa: "No hay ítems registrados en esta categoría" (RNF02).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Cuadrícula responsive con los productos filtrados (imagen, nombre, categoría y precio).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Filtrar estrictamente las entidades pertenecientes a la categoría seleccionada.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RN13 - Categorización estricta del inventario público.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Requerimientos No Funcionales (RNF):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RNF01 (Rendimiento &lt; 2s), RNF02 (Usabilidad y navegación intuitiva), RNF05 (Documentación/Calidad), RNF06 (Compatibilidad en 3 navegadores y responsive).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CP-RF013-01 (Filtrado correcto por categoría Aceites).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Trazabilidad</w:t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Requerimiento Funcional: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RF013</w:t>
            </w:r>
          </w:p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Historia de Usuario: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HU-013</w:t>
            </w:r>
          </w:p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Épica: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EP-002 (Catálogo e Inventario)</w:t>
            </w:r>
          </w:p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Módulo: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Catálogo Público</w:t>
            </w:r>
          </w:p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Pruebas: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CP-RF013-01</w:t>
            </w:r>
          </w:p>
        </w:tc>
      </w:tr>
    </w:tbl>
    <w:p w:rsidR="00000000" w:rsidDel="00000000" w:rsidP="00000000" w:rsidRDefault="00000000" w:rsidRPr="00000000" w14:paraId="0000005F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7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6768"/>
        <w:tblGridChange w:id="0">
          <w:tblGrid>
            <w:gridCol w:w="3024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CU-014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 del Caso de Uso: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Visualizar ficha técnica del repuesto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Cliente /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Secundario: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Ninguno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Presenta una vista detallada con las especificaciones técnicas completas de un repuesto específico (grado de aceite, medidas de llanta, paso de cadena, fabricante y opciones de interacción).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Clic sobre un producto dentro del catálogo o desde el módulo de recomendaciones.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El repuesto debe encontrarse registrado en la base de datos de la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Despliegue completo del modal o pantalla con la ficha técnica detallada del producto.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 Principal (Paso a paso):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 El usuario visualiza un producto en el catálogo o recomendador y hace clic sobre él (acceso directo &lt; 3 clics, RNF02).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 El sistema envía la solicitud de consulta con el identificador del producto.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 El sistema recupera los atributos del repuesto (ficha técnica, fabricante, compatibilidades, imagen).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 El sistema renderiza la información detallada en pantalla en menos de 2 segundos (RNF01).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Flujos Alternativos / Excepciones: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3.1 Producto no encontrado o marcado como deshabilitado: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El sistema detecta que el identificador del producto no está disponible o fue retirado.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despliega una alerta clara notificando: "No hay productos disponibles o la información solicitada no existe" (RNF02).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Vista de Ficha Técnica con especificaciones detalladas, foto, compatibilidad y botón para cotizar.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Exposición completa de la información técnica del repuesto seleccionado.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RN14 - Exposición técnica pública de repuestos.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Requerimientos No Funcionales (RNF):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RNF01 (Rendimiento &lt; 2s), RNF02 (Usabilidad), RNF05 (Documentación), RNF06 (Compatibilidad multi-navegador y responsive).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CP-RF014-01 (Visualización de ficha de aceite).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Trazabilidad</w:t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Requerimiento Funcional: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RF014</w:t>
            </w:r>
          </w:p>
          <w:p w:rsidR="00000000" w:rsidDel="00000000" w:rsidP="00000000" w:rsidRDefault="00000000" w:rsidRPr="00000000" w14:paraId="00000087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Historia de Usuario: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HU-014</w:t>
            </w:r>
          </w:p>
          <w:p w:rsidR="00000000" w:rsidDel="00000000" w:rsidP="00000000" w:rsidRDefault="00000000" w:rsidRPr="00000000" w14:paraId="00000088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Épica: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EP-002 (Catálogo e Inventario)</w:t>
            </w:r>
          </w:p>
          <w:p w:rsidR="00000000" w:rsidDel="00000000" w:rsidP="00000000" w:rsidRDefault="00000000" w:rsidRPr="00000000" w14:paraId="00000089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Módulo: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Detalle de Productos</w:t>
            </w:r>
          </w:p>
          <w:p w:rsidR="00000000" w:rsidDel="00000000" w:rsidP="00000000" w:rsidRDefault="00000000" w:rsidRPr="00000000" w14:paraId="0000008A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Pruebas: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CP-RF014-01</w:t>
            </w:r>
          </w:p>
        </w:tc>
      </w:tr>
    </w:tbl>
    <w:p w:rsidR="00000000" w:rsidDel="00000000" w:rsidP="00000000" w:rsidRDefault="00000000" w:rsidRPr="00000000" w14:paraId="0000008B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7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6768"/>
        <w:tblGridChange w:id="0">
          <w:tblGrid>
            <w:gridCol w:w="3024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CU-015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 del Caso de Uso: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Solicitar cotización de producto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Secundario: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Servidor de Correo Electrónico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Permite a un cliente autenticado acumular productos y radicar una solicitud formal de cotización, registrando la transacción en estado 'Pendiente' y enviando una confirmación por correo electrónico.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Selección de producto(s), ingreso de cantidad deseada y clic en "Generar Cotización".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El cliente debe haber iniciado sesión previamente (RNF08).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Los productos deben encontrarse activos en la oferta.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La cotización queda almacenada en la BD con estado "Pendiente".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Se envía un correo electrónico de confirmación al usuario.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Se registra el evento en la auditoría del sistema (CU-016).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 Principal (Paso a paso):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 El cliente con sesión activa navega a la ficha técnica del repuesto o carrito de cotización.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 Ingresa la cantidad deseada y presiona la acción "Generar Cotización".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 El sistema valida la sesión activa del usuario y los datos ingresados.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 El sistema crea el registro de cotización asignándole el estado inicial "Pendiente" (RN15).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5. El sistema invoca al microservicio de Auditoría (CU-016) para registrar la transacción de forma transparente.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6. El sistema envía una notificación vía correo electrónico con el resumen del comprobante al correo registrado por el cliente.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7. El sistema confirma en pantalla la radicación exitosa en un tiempo menor a 2 segundos (RNF01).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Flujos Alternativos / Excepciones: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3.1 Intento de solicitud con sesión expirada o no iniciada: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El sistema detecta inactividad o ausencia de token de autenticación (RNF08).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redirige al formulario de inicio de sesión informando: "Su sesión ha expirado. Por favor inicie sesión nuevamente."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3.2 Cantidad o datos inválidos en el formulario: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El cliente ingresa valores nulos, negativos o no numéricos en la cantidad.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muestra mensajes de validación contextual en tiempo real e impide el envío (RNF02).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6.1 Falla en la entrega del correo electrónico: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El servidor de correo no responde o genera un error de conexión.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garantiza la persistencia de la cotización en BD y notifica en pantalla: "Cotización radicada exitosamente. Hubo un inconveniente al enviar el correo de confirmación."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c. Se genera un log del error en la bitácora (RNF04).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Mensaje de confirmación en pantalla con el número de radicado y correo enviado a la bandeja del cliente.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Toda cotización recién generada debe quedar registrada en estado estrictamente "Pendiente".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RN15 - El estado inicial de las cotizaciones es siempre "Pendiente".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Requerimientos No Funcionales (RNF):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RNF01 (Rendimiento &lt; 2s), RNF02 (Usabilidad), RNF04 (Fiabilidad/Logs), RNF05 (Estandarización), RNF08 (Gestión y expiración de sesiones).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CP-RF015-01 (Radicación exitosa de cotización).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Trazabilidad</w:t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Requerimiento Funcional: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RF015</w:t>
            </w:r>
          </w:p>
          <w:p w:rsidR="00000000" w:rsidDel="00000000" w:rsidP="00000000" w:rsidRDefault="00000000" w:rsidRPr="00000000" w14:paraId="000000C2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Historia de Usuario: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HU-015</w:t>
            </w:r>
          </w:p>
          <w:p w:rsidR="00000000" w:rsidDel="00000000" w:rsidP="00000000" w:rsidRDefault="00000000" w:rsidRPr="00000000" w14:paraId="000000C3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Épica: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EP-004 (Ventas y Cotizaciones)</w:t>
            </w:r>
          </w:p>
          <w:p w:rsidR="00000000" w:rsidDel="00000000" w:rsidP="00000000" w:rsidRDefault="00000000" w:rsidRPr="00000000" w14:paraId="000000C4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Módulo: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Gestión de Cotizaciones</w:t>
            </w:r>
          </w:p>
          <w:p w:rsidR="00000000" w:rsidDel="00000000" w:rsidP="00000000" w:rsidRDefault="00000000" w:rsidRPr="00000000" w14:paraId="000000C5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Pruebas: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CP-RF015-01</w:t>
            </w:r>
          </w:p>
        </w:tc>
      </w:tr>
    </w:tbl>
    <w:p w:rsidR="00000000" w:rsidDel="00000000" w:rsidP="00000000" w:rsidRDefault="00000000" w:rsidRPr="00000000" w14:paraId="000000C6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6768"/>
        <w:tblGridChange w:id="0">
          <w:tblGrid>
            <w:gridCol w:w="3024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CU-016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 del Caso de Uso: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Registrar actividad del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Sistema (Proceso Automático)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Secundario: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Ninguno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Proceso automático ejecutado en segundo plano que captura y almacena de forma inmutable cada transacción relevante ejecutada por los usuarios para mantener la trazabilidad y la seguridad.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Ejecución de una transacción o evento crítico (ej: cotización radicada, consulta, inicio de sesión).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La transacción del usuario ha sido iniciada en la aplicación.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Se crea un nuevo registro inmutable en la tabla de auditoría con ID de usuario, tipo de acción, fecha y hora exacta.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 Principal (Paso a paso):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 El usuario final o actor ejecuta una operación en la plataforma (por ejemplo, solicitar una cotización CU-015).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 El backend del sistema intercepta la transacción e invoca de forma asíncrona el servicio de auditoría.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 El sistema extrae automáticamente el ID del usuario autenticado, el tipo de evento y el timestamp oficial del servidor.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 El sistema inserta la entrada en la tabla de registros de auditoría.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5. El proceso finaliza de forma transparente sin afectar el tiempo de respuesta total (&lt; 2 segundos, RNF01).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Flujos Alternativos / Excepciones: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4.1 Excepción en la base de datos de auditoría o fallo del log: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Ocurre una falla de conectividad con la BD de trazabilidad.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captura la excepción en el manejador de errores global y la escribe en el archivo local de logs de errores del servidor (RNF04).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c. La operación principal del usuario no se interrumpe y continúa su flujo normal.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Registro inmutable almacenado en la bitácora de auditoría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Garantizar la inmutabilidad de los datos de auditoría y evitar que el registro en segundo plano ralentice la experiencia de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RN16 - Inmutabilidad de registros de auditoría por usuarios estándar.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Requerimientos No Funcionales (RNF):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RNF01 (Rendimiento &lt; 2s), RNF03 (Seguridad / Cifrado / Trazabilidad), RNF04 (Fiabilidad y registros de logs), RNF05 (Documentación).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CP-RF016-01 (Registro automático tras cotizar).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spacing w:after="0" w:lineRule="auto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Trazabilidad</w:t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Requerimiento Funcional: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RF016</w:t>
            </w:r>
          </w:p>
          <w:p w:rsidR="00000000" w:rsidDel="00000000" w:rsidP="00000000" w:rsidRDefault="00000000" w:rsidRPr="00000000" w14:paraId="000000F0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Historia de Usuario: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HU-016</w:t>
            </w:r>
          </w:p>
          <w:p w:rsidR="00000000" w:rsidDel="00000000" w:rsidP="00000000" w:rsidRDefault="00000000" w:rsidRPr="00000000" w14:paraId="000000F1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Épica: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EP-005 (Seguridad y Auditoría)</w:t>
            </w:r>
          </w:p>
          <w:p w:rsidR="00000000" w:rsidDel="00000000" w:rsidP="00000000" w:rsidRDefault="00000000" w:rsidRPr="00000000" w14:paraId="000000F2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Módulo: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Motor de Auditoría / Bitácoras</w:t>
            </w:r>
          </w:p>
          <w:p w:rsidR="00000000" w:rsidDel="00000000" w:rsidP="00000000" w:rsidRDefault="00000000" w:rsidRPr="00000000" w14:paraId="000000F3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Pruebas: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CP-RF016-01</w:t>
            </w:r>
          </w:p>
        </w:tc>
      </w:tr>
    </w:tbl>
    <w:p w:rsidR="00000000" w:rsidDel="00000000" w:rsidP="00000000" w:rsidRDefault="00000000" w:rsidRPr="00000000" w14:paraId="000000F4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6768"/>
        <w:tblGridChange w:id="0">
          <w:tblGrid>
            <w:gridCol w:w="3024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CU-017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 del Caso de Uso: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Visualizar historial de actividad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Cliente /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Actor Secundario: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Ninguno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Despliega una interfaz con el historial de eventos y movimientos realizados por el usuario autenticado de forma cronológica, garantizando la privacidad de los datos entre diferentes usuarios.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Clic en "Mi Historial" dentro del menú de perfil y selección de categoría de eventos.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El usuario debe contar con una sesión activa y autenticada en el sistema (RNF08).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Postcondiciones: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Muestra en pantalla el listado de actividades y transacciones del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 Principal (Paso a paso):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 El usuario navega al menú de perfil y hace clic en la opción "Mi Historial" (en menos de 3 clics, RNF02).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 El usuario selecciona una de las 3 categorías disponibles de historial.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 El sistema consulta la tabla de auditoría filtrando estrictamente por el ID del usuario autenticado (RN17).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 El sistema recupera los eventos asociados y los ordena cronológicamente (de más reciente a más antiguo).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5. El sistema presenta la información en una tabla o cuadrícula interactiva en menos de 2 segundos (RNF01).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Flujos Alternativos / Excepciones: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1.1 Control de acceso por sesión inactiva o expirada: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El sistema valida que el periodo de inactividad ha sobrepasado el límite permitido (RNF08).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inhabilita la sesión actual y solicita al usuario autenticarse nuevamente.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after="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3.1 Sin registros de eventos encontrados para la categoría: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a. El sistema verifica que el usuario no registra movimientos previos en la categoría seleccionada.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after="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b. El sistema despliega la vista con el mensaje informativo: "No se encontraron los datos solicitados" (RNF02).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Salidas: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Tabla o cuadrícula interactiva con la lista cronológica de actividades del usuario autenticado.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sistema únicamente presentará los datos del propio usuario con sesión activa (privacidad estricta).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Reglas de Negocio Asociadas: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RN17 - Privacidad de datos entre usuarios (restricción estricta de visibilidad de bitácoras).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Requerimientos No Funcionales (RNF):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RNF01 (Rendimiento &lt; 2s), RNF02 (Usabilidad), RNF05 (Estandarización), RNF06 (Multi-navegador / Responsive), RNF08 (Invalidación automática por inactividad).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rPr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Casos de Prueba Asociados: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CP-RF017-01 (Consulta exitosa de historial).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497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spacing w:after="0" w:lineRule="auto"/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Trazabilidad</w:t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Requerimiento Funcional: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RF017</w:t>
            </w:r>
          </w:p>
          <w:p w:rsidR="00000000" w:rsidDel="00000000" w:rsidP="00000000" w:rsidRDefault="00000000" w:rsidRPr="00000000" w14:paraId="00000121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Historia de Usuario: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HU-017</w:t>
            </w:r>
          </w:p>
          <w:p w:rsidR="00000000" w:rsidDel="00000000" w:rsidP="00000000" w:rsidRDefault="00000000" w:rsidRPr="00000000" w14:paraId="00000122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Épica: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EP-005 (Seguridad y Auditoría)</w:t>
            </w:r>
          </w:p>
          <w:p w:rsidR="00000000" w:rsidDel="00000000" w:rsidP="00000000" w:rsidRDefault="00000000" w:rsidRPr="00000000" w14:paraId="00000123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Módulo: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Perfil de Usuario / Historial</w:t>
            </w:r>
          </w:p>
          <w:p w:rsidR="00000000" w:rsidDel="00000000" w:rsidP="00000000" w:rsidRDefault="00000000" w:rsidRPr="00000000" w14:paraId="00000124">
            <w:pPr>
              <w:spacing w:after="240" w:befor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Pruebas: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CP-RF017-01</w:t>
            </w:r>
          </w:p>
        </w:tc>
      </w:tr>
    </w:tbl>
    <w:p w:rsidR="00000000" w:rsidDel="00000000" w:rsidP="00000000" w:rsidRDefault="00000000" w:rsidRPr="00000000" w14:paraId="00000125">
      <w:pPr>
        <w:spacing w:after="240" w:before="12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CNG3axbJxBnMrAb2NXERNbjLIw==">CgMxLjA4AHIhMWhxbFFoUWtCZnFXYjFqVUcwTDk3WVBWcTk4Q3Q3bUtQ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