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Matriz de Casos de Prueba - Proyecto DilanMotos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Documento de Casos de Prueba de Software (QA)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Proyecto:</w:t>
      </w:r>
      <w:r w:rsidDel="00000000" w:rsidR="00000000" w:rsidRPr="00000000">
        <w:rPr>
          <w:rtl w:val="0"/>
        </w:rPr>
        <w:t xml:space="preserve"> DilanMotos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Cobertura:</w:t>
      </w:r>
      <w:r w:rsidDel="00000000" w:rsidR="00000000" w:rsidRPr="00000000">
        <w:rPr>
          <w:rtl w:val="0"/>
        </w:rPr>
        <w:t xml:space="preserve"> Requerimientos Funcionales RF001 a RF027 e Historias de Usuario HU001 a HU027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Introducción y Estructura Técnica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El presente documento contiene la matriz integral de Casos de Prueba diseñados para el sistema de información orientado a la web </w:t>
      </w:r>
      <w:r w:rsidDel="00000000" w:rsidR="00000000" w:rsidRPr="00000000">
        <w:rPr>
          <w:b w:val="1"/>
          <w:bCs w:val="1"/>
          <w:rtl w:val="0"/>
        </w:rPr>
        <w:t xml:space="preserve">DilanMotos</w:t>
      </w:r>
      <w:r w:rsidDel="00000000" w:rsidR="00000000" w:rsidRPr="00000000">
        <w:rPr>
          <w:rtl w:val="0"/>
        </w:rPr>
        <w:t xml:space="preserve">. Los casos de prueba abarcan flujos principales (camino feliz), flujos alternativos (errores y excepciones) y validaciones de reglas de negocio/seguridad para asegurar una cobertura completa del software.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Cada caso de prueba está compuesto por los siguientes campos: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ID Caso de Prueba:</w:t>
      </w:r>
      <w:r w:rsidDel="00000000" w:rsidR="00000000" w:rsidRPr="00000000">
        <w:rPr>
          <w:rtl w:val="0"/>
        </w:rPr>
        <w:t xml:space="preserve"> Identificador único del caso.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Requerimiento / HU Asociado:</w:t>
      </w:r>
      <w:r w:rsidDel="00000000" w:rsidR="00000000" w:rsidRPr="00000000">
        <w:rPr>
          <w:rtl w:val="0"/>
        </w:rPr>
        <w:t xml:space="preserve"> Trazabilidad con la documentación funcional.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Tipo:</w:t>
      </w:r>
      <w:r w:rsidDel="00000000" w:rsidR="00000000" w:rsidRPr="00000000">
        <w:rPr>
          <w:rtl w:val="0"/>
        </w:rPr>
        <w:t xml:space="preserve"> Positivo (camino feliz), Negativo (excepción/error) o Regla de Negocio/Seguridad.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Nombre del Caso:</w:t>
      </w:r>
      <w:r w:rsidDel="00000000" w:rsidR="00000000" w:rsidRPr="00000000">
        <w:rPr>
          <w:rtl w:val="0"/>
        </w:rPr>
        <w:t xml:space="preserve"> Descripción breve de la prueba.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Precondiciones:</w:t>
      </w:r>
      <w:r w:rsidDel="00000000" w:rsidR="00000000" w:rsidRPr="00000000">
        <w:rPr>
          <w:rtl w:val="0"/>
        </w:rPr>
        <w:t xml:space="preserve"> Estado o requisitos previos del sistema antes de ejecutar la prueba.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Pasos de Ejecución:</w:t>
      </w:r>
      <w:r w:rsidDel="00000000" w:rsidR="00000000" w:rsidRPr="00000000">
        <w:rPr>
          <w:rtl w:val="0"/>
        </w:rPr>
        <w:t xml:space="preserve"> Secuencia paso a paso de las acciones del tester.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Datos / Entradas:</w:t>
      </w:r>
      <w:r w:rsidDel="00000000" w:rsidR="00000000" w:rsidRPr="00000000">
        <w:rPr>
          <w:rtl w:val="0"/>
        </w:rPr>
        <w:t xml:space="preserve"> Valores de entrada requeridos para la prueba.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Resultado Esperado:</w:t>
      </w:r>
      <w:r w:rsidDel="00000000" w:rsidR="00000000" w:rsidRPr="00000000">
        <w:rPr>
          <w:rtl w:val="0"/>
        </w:rPr>
        <w:t xml:space="preserve"> Comportamiento o respuesta correcta esperada por parte del sistema.</w:t>
      </w:r>
    </w:p>
    <w:p w:rsidR="00000000" w:rsidDel="00000000" w:rsidP="00000000" w:rsidRDefault="00000000" w:rsidRPr="00000000" w14:paraId="0000001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Módulo 1: Gestión de Usuarios, Autenticación y Seguridad (RF001 - RF005)</w:t>
      </w:r>
    </w:p>
    <w:tbl>
      <w:tblPr>
        <w:tblStyle w:val="Table1"/>
        <w:tblW w:w="10980.0" w:type="dxa"/>
        <w:jc w:val="left"/>
        <w:tblInd w:w="-69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60"/>
        <w:gridCol w:w="1170"/>
        <w:gridCol w:w="1080"/>
        <w:gridCol w:w="1260"/>
        <w:gridCol w:w="1170"/>
        <w:gridCol w:w="1170"/>
        <w:gridCol w:w="1170"/>
        <w:gridCol w:w="2100"/>
        <w:tblGridChange w:id="0">
          <w:tblGrid>
            <w:gridCol w:w="1860"/>
            <w:gridCol w:w="1170"/>
            <w:gridCol w:w="1080"/>
            <w:gridCol w:w="1260"/>
            <w:gridCol w:w="1170"/>
            <w:gridCol w:w="1170"/>
            <w:gridCol w:w="1170"/>
            <w:gridCol w:w="2100"/>
          </w:tblGrid>
        </w:tblGridChange>
      </w:tblGrid>
      <w:tr>
        <w:trPr>
          <w:cantSplit w:val="0"/>
          <w:tblHeader w:val="1"/>
        </w:trPr>
        <w:tc>
          <w:tcPr>
            <w:shd w:fill="1c4587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color w:val="ffffff"/>
                <w:shd w:fill="auto" w:val="clear"/>
              </w:rPr>
            </w:pPr>
            <w:r w:rsidDel="00000000" w:rsidR="00000000" w:rsidRPr="00000000">
              <w:rPr>
                <w:color w:val="ffffff"/>
                <w:shd w:fill="auto" w:val="clear"/>
                <w:rtl w:val="0"/>
              </w:rPr>
              <w:t xml:space="preserve">ID Caso</w:t>
            </w:r>
          </w:p>
        </w:tc>
        <w:tc>
          <w:tcPr>
            <w:shd w:fill="1c4587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color w:val="ffffff"/>
                <w:shd w:fill="auto" w:val="clear"/>
              </w:rPr>
            </w:pPr>
            <w:r w:rsidDel="00000000" w:rsidR="00000000" w:rsidRPr="00000000">
              <w:rPr>
                <w:color w:val="ffffff"/>
                <w:shd w:fill="auto" w:val="clear"/>
                <w:rtl w:val="0"/>
              </w:rPr>
              <w:t xml:space="preserve">RF / HU</w:t>
            </w:r>
          </w:p>
        </w:tc>
        <w:tc>
          <w:tcPr>
            <w:shd w:fill="1c4587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color w:val="ffffff"/>
                <w:shd w:fill="auto" w:val="clear"/>
              </w:rPr>
            </w:pPr>
            <w:r w:rsidDel="00000000" w:rsidR="00000000" w:rsidRPr="00000000">
              <w:rPr>
                <w:color w:val="ffffff"/>
                <w:shd w:fill="auto" w:val="clear"/>
                <w:rtl w:val="0"/>
              </w:rPr>
              <w:t xml:space="preserve">Tipo</w:t>
            </w:r>
          </w:p>
        </w:tc>
        <w:tc>
          <w:tcPr>
            <w:shd w:fill="1c4587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color w:val="ffffff"/>
                <w:shd w:fill="auto" w:val="clear"/>
              </w:rPr>
            </w:pPr>
            <w:r w:rsidDel="00000000" w:rsidR="00000000" w:rsidRPr="00000000">
              <w:rPr>
                <w:color w:val="ffffff"/>
                <w:shd w:fill="auto" w:val="clear"/>
                <w:rtl w:val="0"/>
              </w:rPr>
              <w:t xml:space="preserve">Nombre del Caso de Prueba</w:t>
            </w:r>
          </w:p>
        </w:tc>
        <w:tc>
          <w:tcPr>
            <w:shd w:fill="1c4587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color w:val="ffffff"/>
                <w:shd w:fill="auto" w:val="clear"/>
              </w:rPr>
            </w:pPr>
            <w:r w:rsidDel="00000000" w:rsidR="00000000" w:rsidRPr="00000000">
              <w:rPr>
                <w:color w:val="ffffff"/>
                <w:shd w:fill="auto" w:val="clear"/>
                <w:rtl w:val="0"/>
              </w:rPr>
              <w:t xml:space="preserve">Precondición</w:t>
            </w:r>
          </w:p>
        </w:tc>
        <w:tc>
          <w:tcPr>
            <w:shd w:fill="1c4587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color w:val="ffffff"/>
                <w:shd w:fill="auto" w:val="clear"/>
              </w:rPr>
            </w:pPr>
            <w:r w:rsidDel="00000000" w:rsidR="00000000" w:rsidRPr="00000000">
              <w:rPr>
                <w:color w:val="ffffff"/>
                <w:shd w:fill="auto" w:val="clear"/>
                <w:rtl w:val="0"/>
              </w:rPr>
              <w:t xml:space="preserve">Pasos de Ejecución</w:t>
            </w:r>
          </w:p>
        </w:tc>
        <w:tc>
          <w:tcPr>
            <w:shd w:fill="1c4587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color w:val="ffffff"/>
                <w:shd w:fill="auto" w:val="clear"/>
              </w:rPr>
            </w:pPr>
            <w:r w:rsidDel="00000000" w:rsidR="00000000" w:rsidRPr="00000000">
              <w:rPr>
                <w:color w:val="ffffff"/>
                <w:shd w:fill="auto" w:val="clear"/>
                <w:rtl w:val="0"/>
              </w:rPr>
              <w:t xml:space="preserve">Datos / Entradas</w:t>
            </w:r>
          </w:p>
        </w:tc>
        <w:tc>
          <w:tcPr>
            <w:shd w:fill="1c4587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color w:val="ffffff"/>
                <w:shd w:fill="auto" w:val="clear"/>
              </w:rPr>
            </w:pPr>
            <w:r w:rsidDel="00000000" w:rsidR="00000000" w:rsidRPr="00000000">
              <w:rPr>
                <w:color w:val="ffffff"/>
                <w:shd w:fill="auto" w:val="clear"/>
                <w:rtl w:val="0"/>
              </w:rPr>
              <w:t xml:space="preserve">Resultado Esperado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CP-RF001-01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RF001 / HU001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Positivo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Registro exitoso de usuario y motocicleta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El usuario no está registrado en el sistema.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1. Ingresar al formulario de registro.</w:t>
            </w:r>
          </w:p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2. Llenar todos los datos personales y de la moto.</w:t>
            </w:r>
          </w:p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3. Hacer clic en "Completar el registro".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Nombre, Correo nuevo, Contraseña segura, Marca/Modelo moto, Tipo de servicio.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El sistema crea la cuenta, encripta la contraseña (RNF03) y muestra un mensaje de confirmación en menos de 2 segundos (RNF01).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CP-RF001-02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RF001 / HU001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Negativo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Intento de registro con correo duplicado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El correo cliente@test.com ya existe en la BD.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1. Ingresar al registro.</w:t>
            </w:r>
          </w:p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2. Digitar un correo previamente existente.</w:t>
            </w:r>
          </w:p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3. Enviar formulario.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Correo duplicado (cliente@test.com).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El sistema bloquea el registro y muestra un aviso: "El correo ya se encuentra registrado" (RN-001).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CP-RF001-03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RF001 / HU001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Negativo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Registro con campos obligatorios vacíos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Estar en la pantalla de registro.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1. Dejar campos obligatorios en blanco.</w:t>
            </w:r>
          </w:p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2. Hacer clic en "Completar el registro".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Campos vacíos.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El sistema resalta en rojo los campos requeridos y detiene el envío del formulario.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CP-RF002-01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RF002 / HU002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Positivo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Iniciar sesión exitoso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Usuario registrado previamente en el sistema.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1. Ingresar correo y contraseña válidos.</w:t>
            </w:r>
          </w:p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2. Presionar "Iniciar Sesión".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Credenciales válidas.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Asigna token de sesión y redirige al panel principal del rol correspondiente.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CP-RF002-02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RF002 / HU002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Negativo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Autenticación con credenciales incorrectas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Usuario registrado.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1. Ingresar correo o contraseña errónea.</w:t>
            </w:r>
          </w:p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2. Presionar "Iniciar Sesión".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Contraseña errónea.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Muestra el mensaje neutro "Usuario o contraseña incorrectos" sin especificar cuál campo falló.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CP-RF002-03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RF002 / HU002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Seguridad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Bloqueo por 5 intentos fallidos consecutivamente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Usuario registrado.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1. Ingresar contraseña incorrecta 5 veces seguidas.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Contraseña errónea × 5.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El sistema bloquea temporalmente la cuenta según la regla de negocio RN-003.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CP-RF003-01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RF003 / HU003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Positivo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Cierre de sesión efectivo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Tener sesión activa en el sistema.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1. Hacer clic en "Cerrar Sesión".</w:t>
            </w:r>
          </w:p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2. Intentar regresar mediante el botón "Atrás" del navegador.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Petición de logout.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Invalida el token en frontend/backend, redirige al Login y bloquea el retroceso por historial.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CP-RF004-01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RF004 / HU004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Positivo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Cambio exitoso de contraseña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Sesión activa de usuario.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1. Ir a "Cambiar Contraseña".</w:t>
            </w:r>
          </w:p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2. Ingresar clave actual y la nueva clave con confirmación.</w:t>
            </w:r>
          </w:p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3. Guardar.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Clave actual, Clave nueva cumpliendo políticas.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Actualiza la contraseña encriptada en la BD y muestra notificación de éxito.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CP-RF004-02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RF004 / HU004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Negativo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Cambio de clave con clave actual errónea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Sesión activa.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1. Ingresar una clave actual que no coincide con la almacenada.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Clave actual errónea.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Muestra mensaje de error y no actualiza los datos.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CP-RF005-01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RF005 / HU005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Positivo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Recuperación exitosa por código enviado al correo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Usuario registrado.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1. Presionar "¿Olvidaste tu contraseña?".</w:t>
            </w:r>
          </w:p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2. Ingresar correo registrado.</w:t>
            </w:r>
          </w:p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3. Digitar el código recibido y la nueva clave.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Correo válido, Código correcto.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Restablece la contraseña y permite el acceso con la nueva credencial.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CP-RF005-02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RF005 / HU005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Negativo / RNF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Intento de uso de código de recuperación expirado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Haber solicitado código previamente.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1. Ingresar el código cuando ya ha vencido el tiempo límite (RN-004).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Código caducado.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Rechaza el código y solicita generar uno nuevo.</w:t>
            </w:r>
          </w:p>
        </w:tc>
      </w:tr>
    </w:tbl>
    <w:p w:rsidR="00000000" w:rsidDel="00000000" w:rsidP="00000000" w:rsidRDefault="00000000" w:rsidRPr="00000000" w14:paraId="0000007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Módulo 2: Gestión de Vehículos y Navegación del Sistema (RF006 - RF011)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  <w:tblGridChange w:id="0">
          <w:tblGrid>
            <w:gridCol w:w="1170"/>
            <w:gridCol w:w="1170"/>
            <w:gridCol w:w="1170"/>
            <w:gridCol w:w="1170"/>
            <w:gridCol w:w="1170"/>
            <w:gridCol w:w="1170"/>
            <w:gridCol w:w="1170"/>
            <w:gridCol w:w="1170"/>
          </w:tblGrid>
        </w:tblGridChange>
      </w:tblGrid>
      <w:tr>
        <w:trPr>
          <w:cantSplit w:val="0"/>
          <w:tblHeader w:val="1"/>
        </w:trPr>
        <w:tc>
          <w:tcPr>
            <w:shd w:fill="1c4587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ID Caso</w:t>
            </w:r>
          </w:p>
        </w:tc>
        <w:tc>
          <w:tcPr>
            <w:shd w:fill="1c4587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RF / HU</w:t>
            </w:r>
          </w:p>
        </w:tc>
        <w:tc>
          <w:tcPr>
            <w:shd w:fill="1c4587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Tipo</w:t>
            </w:r>
          </w:p>
        </w:tc>
        <w:tc>
          <w:tcPr>
            <w:shd w:fill="1c4587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Nombre del Caso de Prueba</w:t>
            </w:r>
          </w:p>
        </w:tc>
        <w:tc>
          <w:tcPr>
            <w:shd w:fill="1c4587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Precondición</w:t>
            </w:r>
          </w:p>
        </w:tc>
        <w:tc>
          <w:tcPr>
            <w:shd w:fill="1c4587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Pasos de Ejecución</w:t>
            </w:r>
          </w:p>
        </w:tc>
        <w:tc>
          <w:tcPr>
            <w:shd w:fill="1c4587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Datos / Entradas</w:t>
            </w:r>
          </w:p>
        </w:tc>
        <w:tc>
          <w:tcPr>
            <w:shd w:fill="1c4587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Resultado Esperado</w:t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CP-RF006-01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RF006 / HU006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Positivo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Registrar nueva motocicleta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Sesión activa como Administrador o Cliente.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1. Ir a "Registrar Motocicleta".</w:t>
            </w:r>
          </w:p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2. Ingresar marca, modelo, cilindraje y ficha técnica.</w:t>
            </w:r>
          </w:p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3. Guardar.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Datos completos del vehículo.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El vehículo se guarda correctamente y queda vinculado al cliente/catálogo.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CP-RF007-01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RF007 / HU007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Positivo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Desplegar listado general de vehículos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Rol Administrador con sesión activa.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1. Navegar al módulo de gestión de vehículos.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Despliega la tabla completa de motocicletas con opciones de edición y eliminación.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CP-RF008-01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RF008 / HU008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Positivo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Edición de ficha técnica de vehículo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Administrador en el listado de vehículos.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1. Seleccionar un vehículo.</w:t>
            </w:r>
          </w:p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2. Modificar datos (ej. año/cilindraje).</w:t>
            </w:r>
          </w:p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3. Guardar cambios.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Nuevos valores técnicos.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Guarda los datos actualizados y refresca la vista.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CP-RF009-01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RF009 / HU009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Positivo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Eliminar o desactivar vehículo registrado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Administrador con vehículo seleccionado.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1. Presionar el botón "Eliminar".</w:t>
            </w:r>
          </w:p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2. Confirmar la ventana de advertencia.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Confirmación de borrado.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Remueve el registro del listado activo.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CP-RF010-01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RF010 / HU010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Positivo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Retorno al menú de inicio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Usuario navegando en cualquier vista secundaria.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1. Hacer clic en el logo o enlace "Inicio".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Clic en navegación.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Redirige inmediatamente al panel inicial correspondiente.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CP-RF011-01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RF011 / HU011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Positivo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Acceso al módulo de recomendación e IA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Usuario autenticado en la plataforma.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1. Seleccionar la opción "Recomendador IA" en el menú.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Clic en módulo IA.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Carga la interfaz interactiva para comparar repuestos con IA.</w:t>
            </w:r>
          </w:p>
        </w:tc>
      </w:tr>
    </w:tbl>
    <w:p w:rsidR="00000000" w:rsidDel="00000000" w:rsidP="00000000" w:rsidRDefault="00000000" w:rsidRPr="00000000" w14:paraId="000000B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Módulo 3: Catálogo, Repuestos e Inteligencia Artificial (RF012 - RF015)</w:t>
      </w:r>
    </w:p>
    <w:tbl>
      <w:tblPr>
        <w:tblStyle w:val="Table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  <w:tblGridChange w:id="0">
          <w:tblGrid>
            <w:gridCol w:w="1170"/>
            <w:gridCol w:w="1170"/>
            <w:gridCol w:w="1170"/>
            <w:gridCol w:w="1170"/>
            <w:gridCol w:w="1170"/>
            <w:gridCol w:w="1170"/>
            <w:gridCol w:w="1170"/>
            <w:gridCol w:w="1170"/>
          </w:tblGrid>
        </w:tblGridChange>
      </w:tblGrid>
      <w:tr>
        <w:trPr>
          <w:cantSplit w:val="0"/>
          <w:tblHeader w:val="1"/>
        </w:trPr>
        <w:tc>
          <w:tcPr>
            <w:shd w:fill="1c4587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color w:val="ffffff"/>
                <w:shd w:fill="auto" w:val="clear"/>
              </w:rPr>
            </w:pPr>
            <w:r w:rsidDel="00000000" w:rsidR="00000000" w:rsidRPr="00000000">
              <w:rPr>
                <w:color w:val="ffffff"/>
                <w:shd w:fill="auto" w:val="clear"/>
                <w:rtl w:val="0"/>
              </w:rPr>
              <w:t xml:space="preserve">ID Caso</w:t>
            </w:r>
          </w:p>
        </w:tc>
        <w:tc>
          <w:tcPr>
            <w:shd w:fill="1c4587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color w:val="ffffff"/>
                <w:shd w:fill="auto" w:val="clear"/>
              </w:rPr>
            </w:pPr>
            <w:r w:rsidDel="00000000" w:rsidR="00000000" w:rsidRPr="00000000">
              <w:rPr>
                <w:color w:val="ffffff"/>
                <w:shd w:fill="auto" w:val="clear"/>
                <w:rtl w:val="0"/>
              </w:rPr>
              <w:t xml:space="preserve">RF / HU</w:t>
            </w:r>
          </w:p>
        </w:tc>
        <w:tc>
          <w:tcPr>
            <w:shd w:fill="1c4587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color w:val="ffffff"/>
                <w:shd w:fill="auto" w:val="clear"/>
              </w:rPr>
            </w:pPr>
            <w:r w:rsidDel="00000000" w:rsidR="00000000" w:rsidRPr="00000000">
              <w:rPr>
                <w:color w:val="ffffff"/>
                <w:shd w:fill="auto" w:val="clear"/>
                <w:rtl w:val="0"/>
              </w:rPr>
              <w:t xml:space="preserve">Tipo</w:t>
            </w:r>
          </w:p>
        </w:tc>
        <w:tc>
          <w:tcPr>
            <w:shd w:fill="1c4587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color w:val="ffffff"/>
                <w:shd w:fill="auto" w:val="clear"/>
              </w:rPr>
            </w:pPr>
            <w:r w:rsidDel="00000000" w:rsidR="00000000" w:rsidRPr="00000000">
              <w:rPr>
                <w:color w:val="ffffff"/>
                <w:shd w:fill="auto" w:val="clear"/>
                <w:rtl w:val="0"/>
              </w:rPr>
              <w:t xml:space="preserve">Nombre del Caso de Prueba</w:t>
            </w:r>
          </w:p>
        </w:tc>
        <w:tc>
          <w:tcPr>
            <w:shd w:fill="1c4587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color w:val="ffffff"/>
                <w:shd w:fill="auto" w:val="clear"/>
              </w:rPr>
            </w:pPr>
            <w:r w:rsidDel="00000000" w:rsidR="00000000" w:rsidRPr="00000000">
              <w:rPr>
                <w:color w:val="ffffff"/>
                <w:shd w:fill="auto" w:val="clear"/>
                <w:rtl w:val="0"/>
              </w:rPr>
              <w:t xml:space="preserve">Precondición</w:t>
            </w:r>
          </w:p>
        </w:tc>
        <w:tc>
          <w:tcPr>
            <w:shd w:fill="1c4587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color w:val="ffffff"/>
                <w:shd w:fill="auto" w:val="clear"/>
              </w:rPr>
            </w:pPr>
            <w:r w:rsidDel="00000000" w:rsidR="00000000" w:rsidRPr="00000000">
              <w:rPr>
                <w:color w:val="ffffff"/>
                <w:shd w:fill="auto" w:val="clear"/>
                <w:rtl w:val="0"/>
              </w:rPr>
              <w:t xml:space="preserve">Pasos de Ejecución</w:t>
            </w:r>
          </w:p>
        </w:tc>
        <w:tc>
          <w:tcPr>
            <w:shd w:fill="1c4587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color w:val="ffffff"/>
                <w:shd w:fill="auto" w:val="clear"/>
              </w:rPr>
            </w:pPr>
            <w:r w:rsidDel="00000000" w:rsidR="00000000" w:rsidRPr="00000000">
              <w:rPr>
                <w:color w:val="ffffff"/>
                <w:shd w:fill="auto" w:val="clear"/>
                <w:rtl w:val="0"/>
              </w:rPr>
              <w:t xml:space="preserve">Datos / Entradas</w:t>
            </w:r>
          </w:p>
        </w:tc>
        <w:tc>
          <w:tcPr>
            <w:shd w:fill="1c4587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color w:val="ffffff"/>
                <w:shd w:fill="auto" w:val="clear"/>
              </w:rPr>
            </w:pPr>
            <w:r w:rsidDel="00000000" w:rsidR="00000000" w:rsidRPr="00000000">
              <w:rPr>
                <w:color w:val="ffffff"/>
                <w:shd w:fill="auto" w:val="clear"/>
                <w:rtl w:val="0"/>
              </w:rPr>
              <w:t xml:space="preserve">Resultado Esperado</w:t>
            </w:r>
          </w:p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CP-RF012-01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RF012 / HU012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Positivo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Comparación y recomendación por IA exitosa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Estar en el módulo de recomendación.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1. Cargar ficha técnica de moto o seleccionar modelo.</w:t>
            </w:r>
          </w:p>
          <w:p w:rsidR="00000000" w:rsidDel="00000000" w:rsidP="00000000" w:rsidRDefault="00000000" w:rsidRPr="00000000" w14:paraId="000000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2. Ejecutar "Generar recomendación".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Datos técnicos de moto + categoría repuesto.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La IA procesa y muestra el repuesto compatible idóneo con su porcentaje de compatibilidad.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CP-RF012-02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RF012 / HU012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Negativo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Comparación sin seleccionar vehículo/ficha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Módulo IA activo.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1. Intentar comparar sin seleccionar vehículo ni especificaciones.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Campos sin seleccionar.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El sistema solicita la selección de un vehículo previa ejecución.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CP-RF013-01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RF013 / HU013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Positivo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Visualización de catálogo filtrado por categoría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Usuario navegando en la tienda/catálogo.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1. Seleccionar una categoría (ej. "Aceites" o "Kits de Arrastre").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Clic en categoría.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Carga la cuadrícula dinámica mostrando solo repuestos de dicha categoría.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CP-RF014-01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RF014 / HU014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Positivo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Consulta de ficha técnica detallada de repuesto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Estar en el catálogo.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1. Hacer clic sobre un repuesto específico.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Selección de repuesto.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Abre la vista detallada con especificaciones técnicas completas, marcas compatibles y precio.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CP-RF015-01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RF015 / HU015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Positivo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Solicitar cotización de productos seleccionados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Cliente autenticado con productos elegidos.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1. Seleccionar repuestos y cantidad.</w:t>
            </w:r>
          </w:p>
          <w:p w:rsidR="00000000" w:rsidDel="00000000" w:rsidP="00000000" w:rsidRDefault="00000000" w:rsidRPr="00000000" w14:paraId="000000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2. Presionar "Enviar Cotización".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Productos + Cantidades.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Guarda la solicitud en estado 'Pendiente' y envía correo de confirmación al cliente.</w:t>
            </w:r>
          </w:p>
        </w:tc>
      </w:tr>
    </w:tbl>
    <w:p w:rsidR="00000000" w:rsidDel="00000000" w:rsidP="00000000" w:rsidRDefault="00000000" w:rsidRPr="00000000" w14:paraId="000000F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 Módulo 4: Auditoría, Historiales y Seguridad (RF016 - RF018)</w:t>
      </w:r>
    </w:p>
    <w:tbl>
      <w:tblPr>
        <w:tblStyle w:val="Table4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  <w:tblGridChange w:id="0">
          <w:tblGrid>
            <w:gridCol w:w="1170"/>
            <w:gridCol w:w="1170"/>
            <w:gridCol w:w="1170"/>
            <w:gridCol w:w="1170"/>
            <w:gridCol w:w="1170"/>
            <w:gridCol w:w="1170"/>
            <w:gridCol w:w="1170"/>
            <w:gridCol w:w="117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ID Caso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RF / HU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Tipo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Nombre del Caso de Prueba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Precondición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Pasos de Ejecución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Datos / Entradas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Resultado Esperado</w:t>
            </w:r>
          </w:p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CP-RF016-01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RF016 / HU016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Sistema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Registro automático de actividad del usuario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El usuario realiza transacciones clave (ej. login, solicitud).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1. Ejecutar una transacción en la plataforma.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Acción del usuario.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El sistema captura automáticamente el evento, usuario, fecha y hora en la bitácora inmutable.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CP-RF017-01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RF017 / HU017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Positivo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Consultar historial de actividad propio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Usuario con sesión activa.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1. Acceder al menú "Mi Historial de Actividad".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Petición de consulta.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Muestra cronológicamente los movimientos propios garantizando la privacidad (RN17).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CP-RF018-01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RF018 / HU018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Positivo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Purga de registros de actividad por el Administrador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Rol Administrador con logs antiguos.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1. Seleccionar rango de fechas obsoletas.</w:t>
            </w:r>
          </w:p>
          <w:p w:rsidR="00000000" w:rsidDel="00000000" w:rsidP="00000000" w:rsidRDefault="00000000" w:rsidRPr="00000000" w14:paraId="000001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2. Ejecutar "Eliminar registros de auditoría".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Rango de fechas.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Elimina de la base de datos los registros antiguos seleccionados.</w:t>
            </w:r>
          </w:p>
        </w:tc>
      </w:tr>
    </w:tbl>
    <w:p w:rsidR="00000000" w:rsidDel="00000000" w:rsidP="00000000" w:rsidRDefault="00000000" w:rsidRPr="00000000" w14:paraId="0000011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6. Módulo 5: Gestión de PQRS y Atención al Cliente (RF019 - RF027)</w:t>
      </w:r>
    </w:p>
    <w:tbl>
      <w:tblPr>
        <w:tblStyle w:val="Table5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  <w:tblGridChange w:id="0">
          <w:tblGrid>
            <w:gridCol w:w="1170"/>
            <w:gridCol w:w="1170"/>
            <w:gridCol w:w="1170"/>
            <w:gridCol w:w="1170"/>
            <w:gridCol w:w="1170"/>
            <w:gridCol w:w="1170"/>
            <w:gridCol w:w="1170"/>
            <w:gridCol w:w="117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ID Caso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RF / HU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Tipo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Nombre del Caso de Prueba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Precondición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Pasos de Ejecución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Datos / Entradas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Resultado Esperado</w:t>
            </w:r>
          </w:p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CP-RF019-01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RF019 / HU019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Positivo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Acceso al panel principal de PQRS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Usuario autenticado.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1. Hacer clic en "PQRS" en el menú.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Clic en módulo.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Carga la interfaz con opciones de radicar y consultar solicitudes.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CP-RF020-01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RF020 / HU020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Positivo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Radicación exitosa de una PQRS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Cliente en el formulario PQRS.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1. Seleccionar tipo (Petición/Queja/Reclamo).</w:t>
            </w:r>
          </w:p>
          <w:p w:rsidR="00000000" w:rsidDel="00000000" w:rsidP="00000000" w:rsidRDefault="00000000" w:rsidRPr="00000000" w14:paraId="000001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2. Redactar asunto y detalle.</w:t>
            </w:r>
          </w:p>
          <w:p w:rsidR="00000000" w:rsidDel="00000000" w:rsidP="00000000" w:rsidRDefault="00000000" w:rsidRPr="00000000" w14:paraId="000001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3. Presionar "Enviar".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Categoría, Asunto, Mensaje.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Almacena la PQRS en estado 'Pendiente' y asigna un número de radicado.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CP-RF020-02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RF020 / HU020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Negativo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Envío de PQRS sin descripción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Cliente en el formulario.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1. Seleccionar tipo pero dejar el mensaje vacío.</w:t>
            </w:r>
          </w:p>
          <w:p w:rsidR="00000000" w:rsidDel="00000000" w:rsidP="00000000" w:rsidRDefault="00000000" w:rsidRPr="00000000" w14:paraId="000001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2. Enviar.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Campo de texto vacío.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Muestra alerta solicitando completar la descripción.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CP-RF021-01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RF021 / HU021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Positivo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Consultar historial de PQRS personales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Cliente autenticado.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1. Navegar a "Mis PQRS".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Clic en consulta.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Muestra la lista de PQRS radicadas con sus fechas y estados ('Pendiente'/'Cerrada').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CP-RF022-01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RF022 / HU022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Positivo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Ver detalle de PQRS y respuesta recibida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Cliente o Administrador.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1. Seleccionar un radicado de la lista.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Clic en la PQRS.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Despliega la información redactada y la respuesta formal dada por el taller.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CP-RF023-01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RF023 / HU023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Positivo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Responder y cerrar PQRS por el Administrador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Administrador sobre PQRS en estado 'Pendiente'.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1. Redactar la solución oficial.</w:t>
            </w:r>
          </w:p>
          <w:p w:rsidR="00000000" w:rsidDel="00000000" w:rsidP="00000000" w:rsidRDefault="00000000" w:rsidRPr="00000000" w14:paraId="000001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2. Hacer clic en "Cerrar solicitud".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Texto de respuesta.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Guarda la respuesta, actualiza el estado a 'Cerrada' y notifica al cliente.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CP-RF023-02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RF023 / HU023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Negativo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Intentar cerrar PQRS sin ingresar respuesta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Administrador en PQRS 'Pendiente'.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1. Dejar la casilla de respuesta vacía.</w:t>
            </w:r>
          </w:p>
          <w:p w:rsidR="00000000" w:rsidDel="00000000" w:rsidP="00000000" w:rsidRDefault="00000000" w:rsidRPr="00000000" w14:paraId="000001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2. Presionar "Cerrar solicitud".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Texto vacío.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Detiene la acción solicitando completar la respuesta.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CP-RF024-01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RF024 / HU024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Positivo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Filtrar PQRS por estado y fecha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Administrador en el panel general de PQRS.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1. Aplicar filtro "Estado: Pendiente".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Filtro de búsqueda.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Refresca la tabla mostrando únicamente las PQRS no resueltas.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CP-RF025-01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RF025 / HU025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Positivo / RN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Inmutabilidad de PQRS cerrada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PQRS en estado 'Cerrada'.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1. Intentar editar la respuesta de una PQRS ya cerrada.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Intento de edición.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Deshabilita los campos de edición mostrando advertencia de inmutabilidad.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CP-RF026-01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RF026 / HU026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Positivo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Registrar calificación y reseña del servicio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Cliente con PQRS atendida.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1. Seleccionar puntuación (1 a 5 estrellas).</w:t>
            </w:r>
          </w:p>
          <w:p w:rsidR="00000000" w:rsidDel="00000000" w:rsidP="00000000" w:rsidRDefault="00000000" w:rsidRPr="00000000" w14:paraId="000001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2. Escribir opinión.</w:t>
            </w:r>
          </w:p>
          <w:p w:rsidR="00000000" w:rsidDel="00000000" w:rsidP="00000000" w:rsidRDefault="00000000" w:rsidRPr="00000000" w14:paraId="000001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3. Guardar.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Puntuación + Texto.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Registra la valoración y la asocia al indicador de calidad.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CP-RF027-01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RF027 / HU027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Positivo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Notificación de cierre automático de solicitud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PQRS cerrada por el Administrador.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1. Completar la respuesta y cerrar PQRS.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Cierre de PQRS.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El sistema envía un correo/notificación automática al cliente confirmando el cierre.</w:t>
            </w:r>
          </w:p>
        </w:tc>
      </w:tr>
    </w:tbl>
    <w:p w:rsidR="00000000" w:rsidDel="00000000" w:rsidP="00000000" w:rsidRDefault="00000000" w:rsidRPr="00000000" w14:paraId="0000017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7. Conclusión del Plan de Pruebas</w:t>
      </w:r>
    </w:p>
    <w:p w:rsidR="00000000" w:rsidDel="00000000" w:rsidP="00000000" w:rsidRDefault="00000000" w:rsidRPr="00000000" w14:paraId="000001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 han generado un total de </w:t>
      </w:r>
      <w:r w:rsidDel="00000000" w:rsidR="00000000" w:rsidRPr="00000000">
        <w:rPr>
          <w:b w:val="1"/>
          <w:bCs w:val="1"/>
          <w:rtl w:val="0"/>
        </w:rPr>
        <w:t xml:space="preserve">31 Casos de Prueba</w:t>
      </w:r>
      <w:r w:rsidDel="00000000" w:rsidR="00000000" w:rsidRPr="00000000">
        <w:rPr>
          <w:rtl w:val="0"/>
        </w:rPr>
        <w:t xml:space="preserve"> que cubren en un 100% los 27 Requerimientos Funcionales y las 27 Historias de Usuario definidos para el proyecto DilanMotos, garantizando tanto los flujos de negocio exitosos como el correcto control de errores y seguridad.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