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ANALYTICS AGREEMENT</w:t>
      </w:r>
    </w:p>
    <w:p>
      <w:pPr>
        <w:pStyle w:val="BodyText"/>
      </w:pPr>
      <w:r>
        <w:rPr>
          <w:b/>
        </w:rPr>
        <w:t xml:space="preserve">THIS ANALYTICS AGREEMENT</w:t>
      </w:r>
      <w:r>
        <w:t xml:space="preserve"> </w:t>
      </w:r>
      <w:r>
        <w:t xml:space="preserve">(hereinafter "Agreement"), is made and</w:t>
      </w:r>
      <w:r>
        <w:t xml:space="preserve"> </w:t>
      </w:r>
      <w:r>
        <w:t xml:space="preserve">entered into by and between {FULL_AGENCY_NAME_ALL_CAPS}, a {ENTITY_TYPE} of the State of California, having its principal place of business at {FULL_AGENCY_ADDRESS} (hereinafter "{AGENCY_ACRONYM}") and California Data Collaborative, a fiscally-sponsored project of Social and Environmental Entrepreneurs (SEE), Inc., a Delaware nonprofit corporation, having offices at 23532 Calabasas Road, Suite A</w:t>
      </w:r>
      <w:r>
        <w:t xml:space="preserve"> </w:t>
      </w:r>
      <w:r>
        <w:t xml:space="preserve">Calabasas, CA 91302 (hereinafter "SEE").</w:t>
      </w:r>
    </w:p>
    <w:p>
      <w:pPr>
        <w:pStyle w:val="BodyText"/>
      </w:pPr>
      <w:r>
        <w:rPr>
          <w:b/>
        </w:rPr>
        <w:t xml:space="preserve">WHEREAS</w:t>
      </w:r>
      <w:r>
        <w:t xml:space="preserve">, SEE is a 501(c)(3) nonprofit corporation that enters into</w:t>
      </w:r>
      <w:r>
        <w:t xml:space="preserve"> </w:t>
      </w:r>
      <w:r>
        <w:t xml:space="preserve">agreements with sponsors to provide project staff the opportunity to</w:t>
      </w:r>
      <w:r>
        <w:t xml:space="preserve"> </w:t>
      </w:r>
      <w:r>
        <w:t xml:space="preserve">develop useful analytics for municipal managers as an appropriate public</w:t>
      </w:r>
      <w:r>
        <w:t xml:space="preserve"> </w:t>
      </w:r>
      <w:r>
        <w:t xml:space="preserve">service;</w:t>
      </w:r>
    </w:p>
    <w:p>
      <w:pPr>
        <w:pStyle w:val="BodyText"/>
      </w:pPr>
      <w:r>
        <w:rPr>
          <w:b/>
        </w:rPr>
        <w:t xml:space="preserve">WHEREAS</w:t>
      </w:r>
      <w:r>
        <w:t xml:space="preserve">, Christopher Tull serves as project manager for the</w:t>
      </w:r>
      <w:r>
        <w:t xml:space="preserve"> </w:t>
      </w:r>
      <w:r>
        <w:t xml:space="preserve">California Data Collaborative (“CaDC”) per a decision of the CaDC</w:t>
      </w:r>
      <w:r>
        <w:t xml:space="preserve"> </w:t>
      </w:r>
      <w:r>
        <w:t xml:space="preserve">Steering Committee on April 30, 2019, and {AGENCY_ACRONYM} has an</w:t>
      </w:r>
      <w:r>
        <w:t xml:space="preserve"> </w:t>
      </w:r>
      <w:r>
        <w:t xml:space="preserve">interest in further participation in the CaDC project in anticipation of</w:t>
      </w:r>
      <w:r>
        <w:t xml:space="preserve"> </w:t>
      </w:r>
      <w:r>
        <w:t xml:space="preserve">potential benefit to CaDC members, {AGENCY_ACRONYM} and the people of</w:t>
      </w:r>
      <w:r>
        <w:t xml:space="preserve"> </w:t>
      </w:r>
      <w:r>
        <w:t xml:space="preserve">California from such analytics. In addition to his activities as a</w:t>
      </w:r>
      <w:r>
        <w:t xml:space="preserve"> </w:t>
      </w:r>
      <w:r>
        <w:t xml:space="preserve">project manager to CaDC, the parties desire to have Christopher Tull</w:t>
      </w:r>
      <w:r>
        <w:t xml:space="preserve"> </w:t>
      </w:r>
      <w:r>
        <w:t xml:space="preserve">serve as project manager (“Project Manager”) on behalf of SEE in</w:t>
      </w:r>
      <w:r>
        <w:t xml:space="preserve"> </w:t>
      </w:r>
      <w:r>
        <w:t xml:space="preserve">connection with performance of the analytics under this Agreement for</w:t>
      </w:r>
      <w:r>
        <w:t xml:space="preserve"> </w:t>
      </w:r>
      <w:r>
        <w:t xml:space="preserve">the CaDC; and</w:t>
      </w:r>
    </w:p>
    <w:p>
      <w:pPr>
        <w:pStyle w:val="BodyText"/>
      </w:pPr>
      <w:r>
        <w:rPr>
          <w:b/>
        </w:rPr>
        <w:t xml:space="preserve">WHEREAS</w:t>
      </w:r>
      <w:r>
        <w:t xml:space="preserve">, {AGENCY_ACRONYM} desires to provide some financial</w:t>
      </w:r>
      <w:r>
        <w:t xml:space="preserve"> </w:t>
      </w:r>
      <w:r>
        <w:t xml:space="preserve">support toward the development of such analytics per its role as a</w:t>
      </w:r>
      <w:r>
        <w:t xml:space="preserve"> </w:t>
      </w:r>
      <w:r>
        <w:t xml:space="preserve">member of the CaDC; and, SEE desires to conduct such analytics on the</w:t>
      </w:r>
      <w:r>
        <w:t xml:space="preserve"> </w:t>
      </w:r>
      <w:r>
        <w:t xml:space="preserve">terms and conditions set forth herein.</w:t>
      </w:r>
    </w:p>
    <w:p>
      <w:pPr>
        <w:pStyle w:val="BodyText"/>
      </w:pPr>
      <w:r>
        <w:rPr>
          <w:b/>
        </w:rPr>
        <w:t xml:space="preserve">NOW, THEREFORE</w:t>
      </w:r>
      <w:r>
        <w:t xml:space="preserve">, in consideration of the terms and conditions set</w:t>
      </w:r>
      <w:r>
        <w:t xml:space="preserve"> </w:t>
      </w:r>
      <w:r>
        <w:t xml:space="preserve">forth below, the parties agree as follows:</w:t>
      </w:r>
    </w:p>
    <w:p>
      <w:pPr>
        <w:pStyle w:val="BodyText"/>
      </w:pPr>
      <w:r>
        <w:rPr>
          <w:b/>
        </w:rPr>
        <w:t xml:space="preserve">Section 1</w:t>
      </w:r>
    </w:p>
    <w:p>
      <w:pPr>
        <w:pStyle w:val="BodyText"/>
      </w:pPr>
      <w:r>
        <w:rPr>
          <w:b/>
        </w:rPr>
        <w:t xml:space="preserve">ANALYTICS</w:t>
      </w:r>
    </w:p>
    <w:p>
      <w:pPr>
        <w:pStyle w:val="BodyText"/>
      </w:pPr>
      <w:r>
        <w:t xml:space="preserve">     </w:t>
      </w:r>
      <w:r>
        <w:rPr>
          <w:b/>
        </w:rPr>
        <w:t xml:space="preserve">1.1 Scope of Analytics.</w:t>
      </w:r>
      <w:r>
        <w:t xml:space="preserve"> </w:t>
      </w:r>
      <w:r>
        <w:t xml:space="preserve">Subject to the terms and conditions of</w:t>
      </w:r>
      <w:r>
        <w:t xml:space="preserve"> </w:t>
      </w:r>
      <w:r>
        <w:t xml:space="preserve">this Agreement, SEE will use reasonable efforts to perform analytics in</w:t>
      </w:r>
      <w:r>
        <w:t xml:space="preserve"> </w:t>
      </w:r>
      <w:r>
        <w:t xml:space="preserve">accordance with the “CaDC FY {FY} Scope of Work” (“Analytics”),</w:t>
      </w:r>
      <w:r>
        <w:t xml:space="preserve"> </w:t>
      </w:r>
      <w:r>
        <w:t xml:space="preserve">which is attached as Exhibit A, and incorporated herein solely for the</w:t>
      </w:r>
      <w:r>
        <w:t xml:space="preserve"> </w:t>
      </w:r>
      <w:r>
        <w:t xml:space="preserve">purpose of describing the Analytics.</w:t>
      </w:r>
    </w:p>
    <w:p>
      <w:pPr>
        <w:pStyle w:val="BodyText"/>
      </w:pPr>
      <w:r>
        <w:t xml:space="preserve">     </w:t>
      </w:r>
      <w:r>
        <w:rPr>
          <w:b/>
        </w:rPr>
        <w:t xml:space="preserve">1.2 Implementation of Analytics.</w:t>
      </w:r>
      <w:r>
        <w:t xml:space="preserve"> </w:t>
      </w:r>
      <w:r>
        <w:t xml:space="preserve">SEE's relationship to</w:t>
      </w:r>
      <w:r>
        <w:t xml:space="preserve"> </w:t>
      </w:r>
      <w:r>
        <w:t xml:space="preserve">{AGENCY_ACRONYM} in the performance of Analytics is that of an</w:t>
      </w:r>
      <w:r>
        <w:t xml:space="preserve"> </w:t>
      </w:r>
      <w:r>
        <w:t xml:space="preserve">independent contractor. SEE shall have the right to identify and</w:t>
      </w:r>
      <w:r>
        <w:t xml:space="preserve"> </w:t>
      </w:r>
      <w:r>
        <w:t xml:space="preserve">implement the method, details, and means of performing the Analytics for</w:t>
      </w:r>
      <w:r>
        <w:t xml:space="preserve"> </w:t>
      </w:r>
      <w:r>
        <w:t xml:space="preserve">{AGENCY_ACRONYM}.</w:t>
      </w:r>
    </w:p>
    <w:p>
      <w:pPr>
        <w:pStyle w:val="BodyText"/>
      </w:pPr>
      <w:r>
        <w:t xml:space="preserve">     </w:t>
      </w:r>
      <w:r>
        <w:rPr>
          <w:b/>
        </w:rPr>
        <w:t xml:space="preserve">1.3 Steering Committee.</w:t>
      </w:r>
      <w:r>
        <w:t xml:space="preserve"> </w:t>
      </w:r>
      <w:r>
        <w:t xml:space="preserve">Each CaDC member contributing its full</w:t>
      </w:r>
      <w:r>
        <w:t xml:space="preserve"> </w:t>
      </w:r>
      <w:r>
        <w:t xml:space="preserve">annual assessment to the CaDC will be permitted to have a representative</w:t>
      </w:r>
      <w:r>
        <w:t xml:space="preserve"> </w:t>
      </w:r>
      <w:r>
        <w:t xml:space="preserve">on the Steering Committee for that year. By signing this agreement,</w:t>
      </w:r>
      <w:r>
        <w:t xml:space="preserve"> </w:t>
      </w:r>
      <w:r>
        <w:t xml:space="preserve">{AGENCY_ACRONYM} has the right to participate in the CaDC steering</w:t>
      </w:r>
      <w:r>
        <w:t xml:space="preserve"> </w:t>
      </w:r>
      <w:r>
        <w:t xml:space="preserve">committee for Fiscal Year {FY}. Participating members of the CaDC will not</w:t>
      </w:r>
      <w:r>
        <w:t xml:space="preserve"> </w:t>
      </w:r>
      <w:r>
        <w:t xml:space="preserve">represent the CaDC without being designated to do so by Steering</w:t>
      </w:r>
      <w:r>
        <w:t xml:space="preserve"> </w:t>
      </w:r>
      <w:r>
        <w:t xml:space="preserve">Committee and shall at all times adhere to the CaDC Policy Principles.</w:t>
      </w:r>
      <w:r>
        <w:t xml:space="preserve"> </w:t>
      </w:r>
      <w:r>
        <w:t xml:space="preserve">Final completed work products may be presented to external entities by</w:t>
      </w:r>
      <w:r>
        <w:t xml:space="preserve"> </w:t>
      </w:r>
      <w:r>
        <w:t xml:space="preserve">CaDC staff. Staff will keep the Steering Committee informed of such</w:t>
      </w:r>
      <w:r>
        <w:t xml:space="preserve"> </w:t>
      </w:r>
      <w:r>
        <w:t xml:space="preserve">presentations. Staff and CaDC members will follow the CaDC Policy</w:t>
      </w:r>
      <w:r>
        <w:t xml:space="preserve"> </w:t>
      </w:r>
      <w:r>
        <w:t xml:space="preserve">Principles when presenting projects or information associated with the</w:t>
      </w:r>
      <w:r>
        <w:t xml:space="preserve"> </w:t>
      </w:r>
      <w:r>
        <w:t xml:space="preserve">CaDC.</w:t>
      </w:r>
    </w:p>
    <w:p>
      <w:pPr>
        <w:pStyle w:val="BodyText"/>
      </w:pPr>
      <w:r>
        <w:t xml:space="preserve">The Steering Committee will:</w:t>
      </w:r>
    </w:p>
    <w:p>
      <w:pPr>
        <w:numPr>
          <w:ilvl w:val="0"/>
          <w:numId w:val="1001"/>
        </w:numPr>
        <w:pStyle w:val="BlockText"/>
      </w:pPr>
      <w:r>
        <w:t xml:space="preserve">Approve the final scope of work for individual projects.</w:t>
      </w:r>
    </w:p>
    <w:p>
      <w:pPr>
        <w:numPr>
          <w:ilvl w:val="1"/>
          <w:numId w:val="1002"/>
        </w:numPr>
        <w:pStyle w:val="BlockText"/>
      </w:pPr>
      <w:r>
        <w:t xml:space="preserve">Project will be proposed/refined by the data action teams for</w:t>
      </w:r>
      <w:r>
        <w:t xml:space="preserve"> </w:t>
      </w:r>
      <w:r>
        <w:t xml:space="preserve">approval.</w:t>
      </w:r>
    </w:p>
    <w:p>
      <w:pPr>
        <w:numPr>
          <w:ilvl w:val="1"/>
          <w:numId w:val="1002"/>
        </w:numPr>
        <w:pStyle w:val="BlockText"/>
      </w:pPr>
      <w:r>
        <w:t xml:space="preserve">Scope of work will include, at a minimum: Project purpose</w:t>
      </w:r>
      <w:r>
        <w:t xml:space="preserve"> </w:t>
      </w:r>
      <w:r>
        <w:t xml:space="preserve">statement; initial assumptions; source(s) of data; project</w:t>
      </w:r>
      <w:r>
        <w:t xml:space="preserve"> </w:t>
      </w:r>
      <w:r>
        <w:t xml:space="preserve">partners; timeline; budget; and deliverables.</w:t>
      </w:r>
    </w:p>
    <w:p>
      <w:pPr>
        <w:numPr>
          <w:ilvl w:val="0"/>
          <w:numId w:val="1001"/>
        </w:numPr>
        <w:pStyle w:val="BlockText"/>
      </w:pPr>
      <w:r>
        <w:t xml:space="preserve">Review and approve the annual budget and expenditures for the</w:t>
      </w:r>
      <w:r>
        <w:t xml:space="preserve"> </w:t>
      </w:r>
      <w:r>
        <w:t xml:space="preserve">CaDC.</w:t>
      </w:r>
    </w:p>
    <w:p>
      <w:pPr>
        <w:numPr>
          <w:ilvl w:val="0"/>
          <w:numId w:val="1001"/>
        </w:numPr>
        <w:pStyle w:val="BlockText"/>
      </w:pPr>
      <w:r>
        <w:t xml:space="preserve">Approve any revisions to the scope of work and budget for</w:t>
      </w:r>
      <w:r>
        <w:t xml:space="preserve"> </w:t>
      </w:r>
      <w:r>
        <w:t xml:space="preserve">individual projects.</w:t>
      </w:r>
    </w:p>
    <w:p>
      <w:pPr>
        <w:numPr>
          <w:ilvl w:val="0"/>
          <w:numId w:val="1001"/>
        </w:numPr>
        <w:pStyle w:val="BlockText"/>
      </w:pPr>
      <w:r>
        <w:t xml:space="preserve">Approve grant funding applications and agreements prior to</w:t>
      </w:r>
      <w:r>
        <w:t xml:space="preserve"> </w:t>
      </w:r>
      <w:r>
        <w:t xml:space="preserve">implementation.</w:t>
      </w:r>
    </w:p>
    <w:p>
      <w:pPr>
        <w:numPr>
          <w:ilvl w:val="0"/>
          <w:numId w:val="1001"/>
        </w:numPr>
        <w:pStyle w:val="BlockText"/>
      </w:pPr>
      <w:r>
        <w:t xml:space="preserve">Approve the final completed work product prior to publication or</w:t>
      </w:r>
      <w:r>
        <w:t xml:space="preserve"> </w:t>
      </w:r>
      <w:r>
        <w:t xml:space="preserve">dissemination.</w:t>
      </w:r>
    </w:p>
    <w:p>
      <w:pPr>
        <w:numPr>
          <w:ilvl w:val="1"/>
          <w:numId w:val="1003"/>
        </w:numPr>
        <w:pStyle w:val="BlockText"/>
      </w:pPr>
      <w:r>
        <w:t xml:space="preserve">Director will report progress and present final deliverable to</w:t>
      </w:r>
      <w:r>
        <w:t xml:space="preserve"> </w:t>
      </w:r>
      <w:r>
        <w:t xml:space="preserve">the Steering Committee upon request.</w:t>
      </w:r>
    </w:p>
    <w:p>
      <w:pPr>
        <w:numPr>
          <w:ilvl w:val="1"/>
          <w:numId w:val="1003"/>
        </w:numPr>
        <w:pStyle w:val="BlockText"/>
      </w:pPr>
      <w:r>
        <w:t xml:space="preserve">Draft results will not be distributed outside of the California Data</w:t>
      </w:r>
      <w:r>
        <w:t xml:space="preserve"> </w:t>
      </w:r>
      <w:r>
        <w:t xml:space="preserve">Collaborative.</w:t>
      </w:r>
    </w:p>
    <w:p>
      <w:pPr>
        <w:numPr>
          <w:ilvl w:val="0"/>
          <w:numId w:val="1001"/>
        </w:numPr>
        <w:pStyle w:val="BlockText"/>
      </w:pPr>
      <w:r>
        <w:t xml:space="preserve">Review and approve new members and will have the right to revoke</w:t>
      </w:r>
      <w:r>
        <w:t xml:space="preserve"> </w:t>
      </w:r>
      <w:r>
        <w:t xml:space="preserve">membership if required.</w:t>
      </w:r>
    </w:p>
    <w:p>
      <w:pPr>
        <w:pStyle w:val="FirstParagraph"/>
      </w:pPr>
      <w:r>
        <w:t xml:space="preserve">In addition, the Steering Committee has the power to select the CaDC</w:t>
      </w:r>
      <w:r>
        <w:t xml:space="preserve"> </w:t>
      </w:r>
      <w:r>
        <w:t xml:space="preserve">Director.</w:t>
      </w:r>
    </w:p>
    <w:p>
      <w:pPr>
        <w:pStyle w:val="BodyText"/>
      </w:pPr>
      <w:r>
        <w:t xml:space="preserve">The roles and responsibilities of the steering committee are expected to</w:t>
      </w:r>
      <w:r>
        <w:t xml:space="preserve"> </w:t>
      </w:r>
      <w:r>
        <w:t xml:space="preserve">evolve over time, any revisions adopted by the Steering Committee are</w:t>
      </w:r>
      <w:r>
        <w:t xml:space="preserve"> </w:t>
      </w:r>
      <w:r>
        <w:t xml:space="preserve">applicable to this agreement</w:t>
      </w:r>
    </w:p>
    <w:p>
      <w:pPr>
        <w:pStyle w:val="BodyText"/>
      </w:pPr>
      <w:r>
        <w:t xml:space="preserve">     </w:t>
      </w:r>
      <w:r>
        <w:rPr>
          <w:b/>
        </w:rPr>
        <w:t xml:space="preserve">1.4 CaDC Director.</w:t>
      </w:r>
      <w:r>
        <w:t xml:space="preserve"> </w:t>
      </w:r>
      <w:r>
        <w:t xml:space="preserve">SEE's performance of the Analytics shall be</w:t>
      </w:r>
      <w:r>
        <w:t xml:space="preserve"> </w:t>
      </w:r>
      <w:r>
        <w:t xml:space="preserve">under the direction of the CaDC Director, who shall be responsible for</w:t>
      </w:r>
      <w:r>
        <w:t xml:space="preserve"> </w:t>
      </w:r>
      <w:r>
        <w:t xml:space="preserve">the administration and direction of the Analytics and for providing the</w:t>
      </w:r>
      <w:r>
        <w:t xml:space="preserve"> </w:t>
      </w:r>
      <w:r>
        <w:t xml:space="preserve">content which will be the subject of the Analytics. In the event that</w:t>
      </w:r>
      <w:r>
        <w:t xml:space="preserve"> </w:t>
      </w:r>
      <w:r>
        <w:t xml:space="preserve">the CaDC Director becomes unable or unwilling to continue work under the</w:t>
      </w:r>
      <w:r>
        <w:t xml:space="preserve"> </w:t>
      </w:r>
      <w:r>
        <w:t xml:space="preserve">Analytics, SEE will use reasonable effort to name an alternate CaDC</w:t>
      </w:r>
      <w:r>
        <w:t xml:space="preserve"> </w:t>
      </w:r>
      <w:r>
        <w:t xml:space="preserve">Director to perform the Analytics, subject to the Steering Committee’s</w:t>
      </w:r>
      <w:r>
        <w:t xml:space="preserve"> </w:t>
      </w:r>
      <w:r>
        <w:t xml:space="preserve">consent. If the SEE is unable to identify an alternate CaDC Director or</w:t>
      </w:r>
      <w:r>
        <w:t xml:space="preserve"> </w:t>
      </w:r>
      <w:r>
        <w:t xml:space="preserve">if {AGENCY_ACRONYM} does not provide consent to such named alternate,</w:t>
      </w:r>
      <w:r>
        <w:t xml:space="preserve"> </w:t>
      </w:r>
      <w:r>
        <w:t xml:space="preserve">then {AGENCY_ACRONYM} may terminate this Agreement in accordance with</w:t>
      </w:r>
      <w:r>
        <w:t xml:space="preserve"> </w:t>
      </w:r>
      <w:r>
        <w:t xml:space="preserve">Section 7 below.</w:t>
      </w:r>
    </w:p>
    <w:p>
      <w:pPr>
        <w:pStyle w:val="BodyText"/>
      </w:pPr>
      <w:r>
        <w:t xml:space="preserve">     </w:t>
      </w:r>
      <w:r>
        <w:rPr>
          <w:b/>
        </w:rPr>
        <w:t xml:space="preserve">1.5 Technical Contact of {AGENCY_ACRONYM}.</w:t>
      </w:r>
      <w:r>
        <w:t xml:space="preserve"> </w:t>
      </w:r>
      <w:r>
        <w:t xml:space="preserve">{AGENCY_ACRONYM}</w:t>
      </w:r>
      <w:r>
        <w:t xml:space="preserve"> </w:t>
      </w:r>
      <w:r>
        <w:t xml:space="preserve">shall designate an individual who shall coordinate with the CaDC</w:t>
      </w:r>
      <w:r>
        <w:t xml:space="preserve"> </w:t>
      </w:r>
      <w:r>
        <w:t xml:space="preserve">Director and each shall have the responsibility in respect to the</w:t>
      </w:r>
      <w:r>
        <w:t xml:space="preserve"> </w:t>
      </w:r>
      <w:r>
        <w:t xml:space="preserve">Analytics to: (i) serve as the interface between the parties regarding</w:t>
      </w:r>
      <w:r>
        <w:t xml:space="preserve"> </w:t>
      </w:r>
      <w:r>
        <w:t xml:space="preserve">the conduct of the Analytics; (ii) obtain and provide technical</w:t>
      </w:r>
      <w:r>
        <w:t xml:space="preserve"> </w:t>
      </w:r>
      <w:r>
        <w:t xml:space="preserve">information, data, decisions or approvals; and (iii) resolve deviations</w:t>
      </w:r>
      <w:r>
        <w:t xml:space="preserve"> </w:t>
      </w:r>
      <w:r>
        <w:t xml:space="preserve">in information and data provided for the Analytics, and assist in</w:t>
      </w:r>
      <w:r>
        <w:t xml:space="preserve"> </w:t>
      </w:r>
      <w:r>
        <w:t xml:space="preserve">resolving issues either party may have in connection with the terms of</w:t>
      </w:r>
      <w:r>
        <w:t xml:space="preserve"> </w:t>
      </w:r>
      <w:r>
        <w:t xml:space="preserve">this Agreement and the Analytics.</w:t>
      </w:r>
    </w:p>
    <w:p>
      <w:pPr>
        <w:pStyle w:val="BodyText"/>
      </w:pPr>
      <w:r>
        <w:rPr>
          <w:b/>
        </w:rPr>
        <w:t xml:space="preserve">Section 2</w:t>
      </w:r>
    </w:p>
    <w:p>
      <w:pPr>
        <w:pStyle w:val="BodyText"/>
      </w:pPr>
      <w:r>
        <w:rPr>
          <w:b/>
        </w:rPr>
        <w:t xml:space="preserve">ANALYTICS FUNDS</w:t>
      </w:r>
    </w:p>
    <w:p>
      <w:pPr>
        <w:pStyle w:val="BodyText"/>
      </w:pPr>
      <w:r>
        <w:t xml:space="preserve">     </w:t>
      </w:r>
      <w:r>
        <w:rPr>
          <w:b/>
        </w:rPr>
        <w:t xml:space="preserve">2.1 Analytics Funds.</w:t>
      </w:r>
      <w:r>
        <w:t xml:space="preserve"> </w:t>
      </w:r>
      <w:r>
        <w:t xml:space="preserve">This Agreement is a cost-reimbursement</w:t>
      </w:r>
      <w:r>
        <w:t xml:space="preserve"> </w:t>
      </w:r>
      <w:r>
        <w:t xml:space="preserve">contract with a fixed payment schedule. In accordance with Section 2,</w:t>
      </w:r>
      <w:r>
        <w:t xml:space="preserve"> </w:t>
      </w:r>
      <w:r>
        <w:t xml:space="preserve">Paragraph 2.2 of this Agreement, {AGENCY_ACRONYM} shall pay SEE the</w:t>
      </w:r>
      <w:r>
        <w:t xml:space="preserve"> </w:t>
      </w:r>
      <w:r>
        <w:t xml:space="preserve">applicable funds and expenses for performing the Analytics set forth in</w:t>
      </w:r>
      <w:r>
        <w:t xml:space="preserve"> </w:t>
      </w:r>
      <w:r>
        <w:t xml:space="preserve">Exhibit B "Budget", which funds shall include, without limitation, the</w:t>
      </w:r>
      <w:r>
        <w:t xml:space="preserve"> </w:t>
      </w:r>
      <w:r>
        <w:t xml:space="preserve">direct and indirect costs of the Analytics, supplies, equipment, and a</w:t>
      </w:r>
      <w:r>
        <w:t xml:space="preserve"> </w:t>
      </w:r>
      <w:r>
        <w:t xml:space="preserve">proportionate share of the compensation received by CaDC Director</w:t>
      </w:r>
      <w:r>
        <w:t xml:space="preserve"> </w:t>
      </w:r>
      <w:r>
        <w:t xml:space="preserve">(hereinafter, "Funds"). The CaDC Director shall have the sole discretion</w:t>
      </w:r>
      <w:r>
        <w:t xml:space="preserve"> </w:t>
      </w:r>
      <w:r>
        <w:t xml:space="preserve">to reallocate any portion of the Funds, in furtherance of the Analytics.</w:t>
      </w:r>
      <w:r>
        <w:t xml:space="preserve"> </w:t>
      </w:r>
      <w:r>
        <w:t xml:space="preserve">During the term of the performance of the Analytics, if SEE discovers</w:t>
      </w:r>
      <w:r>
        <w:t xml:space="preserve"> </w:t>
      </w:r>
      <w:r>
        <w:t xml:space="preserve">that the expenditures are expected to exceed the amount of Funds, SEE</w:t>
      </w:r>
      <w:r>
        <w:t xml:space="preserve"> </w:t>
      </w:r>
      <w:r>
        <w:t xml:space="preserve">may request additional Funds from Steering Committee member, each of</w:t>
      </w:r>
      <w:r>
        <w:t xml:space="preserve"> </w:t>
      </w:r>
      <w:r>
        <w:t xml:space="preserve">which will pay its proportional share, and which {AGENCY_ACRONYM} may</w:t>
      </w:r>
      <w:r>
        <w:t xml:space="preserve"> </w:t>
      </w:r>
      <w:r>
        <w:t xml:space="preserve">elect to provide in its reasonable discretion. Should {AGENCY_ACRONYM}</w:t>
      </w:r>
      <w:r>
        <w:t xml:space="preserve"> </w:t>
      </w:r>
      <w:r>
        <w:t xml:space="preserve">elect not to provide such additional Funds, SEE shall not be obligated</w:t>
      </w:r>
      <w:r>
        <w:t xml:space="preserve"> </w:t>
      </w:r>
      <w:r>
        <w:t xml:space="preserve">to continue performance under the Analytics beyond the agreed upon</w:t>
      </w:r>
      <w:r>
        <w:t xml:space="preserve"> </w:t>
      </w:r>
      <w:r>
        <w:t xml:space="preserve">amount of Funds, and SEE shall provide {AGENCY_ACRONYM} with the</w:t>
      </w:r>
      <w:r>
        <w:t xml:space="preserve"> </w:t>
      </w:r>
      <w:r>
        <w:t xml:space="preserve">results of the Analytics performed up to such point in a form reasonably</w:t>
      </w:r>
      <w:r>
        <w:t xml:space="preserve"> </w:t>
      </w:r>
      <w:r>
        <w:t xml:space="preserve">acceptable to {AGENCY_ACRONYM}.</w:t>
      </w:r>
    </w:p>
    <w:p>
      <w:pPr>
        <w:pStyle w:val="BodyText"/>
      </w:pPr>
      <w:r>
        <w:t xml:space="preserve">     </w:t>
      </w:r>
      <w:r>
        <w:rPr>
          <w:b/>
        </w:rPr>
        <w:t xml:space="preserve">2.2 Payment Method.</w:t>
      </w:r>
      <w:r>
        <w:t xml:space="preserve"> </w:t>
      </w:r>
      <w:r>
        <w:t xml:space="preserve">The total estimated cost of this Agreement</w:t>
      </w:r>
      <w:r>
        <w:t xml:space="preserve"> </w:t>
      </w:r>
      <w:r>
        <w:t xml:space="preserve">for {AGENCY_ACRONYM} is ${DOLLAR_AMOUNT_WITH_COMMAS}. {AGENCY_ACRONYM}</w:t>
      </w:r>
      <w:r>
        <w:t xml:space="preserve"> </w:t>
      </w:r>
      <w:r>
        <w:t xml:space="preserve">shall pay SEE in accordance with the following schedule and</w:t>
      </w:r>
      <w:r>
        <w:t xml:space="preserve"> </w:t>
      </w:r>
      <w:r>
        <w:t xml:space="preserve">upon forty-five (45) days’ receipt of SEE’s invoice:</w:t>
      </w:r>
    </w:p>
    <w:p>
      <w:pPr>
        <w:pStyle w:val="BodyText"/>
      </w:pPr>
      <w:r>
        <w:t xml:space="preserve">Upon full execution of this Agreement ${DOLLAR_AMOUNT_WITH_COMMAS} for</w:t>
      </w:r>
      <w:r>
        <w:t xml:space="preserve"> </w:t>
      </w:r>
      <w:r>
        <w:t xml:space="preserve">fiscal year {FY} costs as a Tier {CADC_TIER} CaDC {SUB_TYPE}</w:t>
      </w:r>
      <w:r>
        <w:t xml:space="preserve"> </w:t>
      </w:r>
      <w:r>
        <w:t xml:space="preserve">subscriber.</w:t>
      </w:r>
    </w:p>
    <w:p>
      <w:pPr>
        <w:pStyle w:val="BodyText"/>
      </w:pPr>
      <w:r>
        <w:t xml:space="preserve">Table 1.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CaDC Retailer Subscription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A) &lt;15k meters</w:t>
            </w:r>
          </w:p>
        </w:tc>
        <w:tc>
          <w:p>
            <w:pPr>
              <w:pStyle w:val="Compact"/>
              <w:jc w:val="left"/>
            </w:pPr>
            <w:r>
              <w:t xml:space="preserve">B) 15k - 150k meters</w:t>
            </w:r>
          </w:p>
        </w:tc>
        <w:tc>
          <w:p>
            <w:pPr>
              <w:pStyle w:val="Compact"/>
              <w:jc w:val="left"/>
            </w:pPr>
            <w:r>
              <w:t xml:space="preserve">C) 150k + meters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Tier 1 (Standard Utility)</w:t>
            </w:r>
          </w:p>
        </w:tc>
        <w:tc>
          <w:p>
            <w:pPr>
              <w:pStyle w:val="Compact"/>
              <w:jc w:val="left"/>
            </w:pPr>
            <w:r>
              <w:t xml:space="preserve">$5,000</w:t>
            </w:r>
          </w:p>
        </w:tc>
        <w:tc>
          <w:p>
            <w:pPr>
              <w:pStyle w:val="Compact"/>
              <w:jc w:val="left"/>
            </w:pPr>
            <w:r>
              <w:t xml:space="preserve">$10,000</w:t>
            </w:r>
          </w:p>
        </w:tc>
        <w:tc>
          <w:p>
            <w:pPr>
              <w:pStyle w:val="Compact"/>
              <w:jc w:val="left"/>
            </w:pPr>
            <w:r>
              <w:t xml:space="preserve">$20,000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Tier 2 (Water Budget or AMI)</w:t>
            </w:r>
          </w:p>
        </w:tc>
        <w:tc>
          <w:p>
            <w:pPr>
              <w:pStyle w:val="Compact"/>
              <w:jc w:val="left"/>
            </w:pPr>
            <w:r>
              <w:t xml:space="preserve">$15,000</w:t>
            </w:r>
          </w:p>
        </w:tc>
        <w:tc>
          <w:p>
            <w:pPr>
              <w:pStyle w:val="Compact"/>
              <w:jc w:val="left"/>
            </w:pPr>
            <w:r>
              <w:t xml:space="preserve">$30,000</w:t>
            </w:r>
          </w:p>
        </w:tc>
        <w:tc>
          <w:p>
            <w:pPr>
              <w:pStyle w:val="Compact"/>
              <w:jc w:val="left"/>
            </w:pPr>
            <w:r>
              <w:t xml:space="preserve">$60,000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Tier 3 (Water Budget and AMI)</w:t>
            </w:r>
          </w:p>
        </w:tc>
        <w:tc>
          <w:p>
            <w:pPr>
              <w:pStyle w:val="Compact"/>
              <w:jc w:val="left"/>
            </w:pPr>
            <w:r>
              <w:t xml:space="preserve">$22,500</w:t>
            </w:r>
          </w:p>
        </w:tc>
        <w:tc>
          <w:p>
            <w:pPr>
              <w:pStyle w:val="Compact"/>
              <w:jc w:val="left"/>
            </w:pPr>
            <w:r>
              <w:t xml:space="preserve">$45,000</w:t>
            </w:r>
          </w:p>
        </w:tc>
        <w:tc>
          <w:p>
            <w:pPr>
              <w:pStyle w:val="Compact"/>
              <w:jc w:val="left"/>
            </w:pPr>
            <w:r>
              <w:t xml:space="preserve">$90,000</w:t>
            </w:r>
          </w:p>
        </w:tc>
      </w:tr>
    </w:tbl>
    <w:p>
      <w:pPr>
        <w:pStyle w:val="BodyText"/>
      </w:pPr>
      <w:r>
        <w:t xml:space="preserve">Table 2.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CaDC Wholesaler/Regional Agency Subscription</w:t>
            </w:r>
          </w:p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/>
        </w:tc>
      </w:tr>
      <w:tr>
        <w:tc>
          <w:p/>
        </w:tc>
        <w:tc>
          <w:p>
            <w:pPr>
              <w:pStyle w:val="Compact"/>
              <w:jc w:val="left"/>
            </w:pPr>
            <w:r>
              <w:t xml:space="preserve">A) &lt;1M Service Area Pop.</w:t>
            </w:r>
          </w:p>
        </w:tc>
        <w:tc>
          <w:p>
            <w:pPr>
              <w:pStyle w:val="Compact"/>
              <w:jc w:val="left"/>
            </w:pPr>
            <w:r>
              <w:t xml:space="preserve">B) 1M-2M Service Area Pop.</w:t>
            </w:r>
          </w:p>
        </w:tc>
        <w:tc>
          <w:p>
            <w:pPr>
              <w:pStyle w:val="Compact"/>
              <w:jc w:val="left"/>
            </w:pPr>
            <w:r>
              <w:t xml:space="preserve">C) 3M+ Service Area Pop.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Research Support</w:t>
            </w:r>
          </w:p>
        </w:tc>
        <w:tc>
          <w:p>
            <w:pPr>
              <w:pStyle w:val="Compact"/>
              <w:jc w:val="left"/>
            </w:pPr>
            <w:r>
              <w:t xml:space="preserve">$5,000</w:t>
            </w:r>
          </w:p>
        </w:tc>
        <w:tc>
          <w:p>
            <w:pPr>
              <w:pStyle w:val="Compact"/>
              <w:jc w:val="left"/>
            </w:pPr>
            <w:r>
              <w:t xml:space="preserve">$10,000</w:t>
            </w:r>
          </w:p>
        </w:tc>
        <w:tc>
          <w:p>
            <w:pPr>
              <w:pStyle w:val="Compact"/>
              <w:jc w:val="left"/>
            </w:pPr>
            <w:r>
              <w:t xml:space="preserve">$15,000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CaDC Membership</w:t>
            </w:r>
          </w:p>
        </w:tc>
        <w:tc>
          <w:p>
            <w:pPr>
              <w:pStyle w:val="Compact"/>
              <w:jc w:val="left"/>
            </w:pPr>
            <w:r>
              <w:t xml:space="preserve">$5,000</w:t>
            </w:r>
          </w:p>
        </w:tc>
        <w:tc>
          <w:p>
            <w:pPr>
              <w:pStyle w:val="Compact"/>
              <w:jc w:val="left"/>
            </w:pPr>
            <w:r>
              <w:t xml:space="preserve">$5,000</w:t>
            </w:r>
          </w:p>
        </w:tc>
        <w:tc>
          <w:p>
            <w:pPr>
              <w:pStyle w:val="Compact"/>
              <w:jc w:val="left"/>
            </w:pPr>
            <w:r>
              <w:t xml:space="preserve">$5,000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Total Dues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$10,000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$15,000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$20,000</w:t>
            </w:r>
          </w:p>
        </w:tc>
      </w:tr>
    </w:tbl>
    <w:p>
      <w:pPr>
        <w:pStyle w:val="BodyText"/>
      </w:pPr>
      <w:r>
        <w:t xml:space="preserve">Payment must be made payable to "Social and Environmental Entrepreneurs (SEE), Inc.", reference the name of its project California Data Collaborative, and be sent to:</w:t>
      </w:r>
    </w:p>
    <w:p>
      <w:pPr>
        <w:pStyle w:val="BodyText"/>
      </w:pPr>
      <w:r>
        <w:t xml:space="preserve">Social and Environmental Entrepreneurs</w:t>
      </w:r>
      <w:r>
        <w:br/>
      </w:r>
      <w:r>
        <w:t xml:space="preserve">Attn: Amber Segovia, Office Coordinator</w:t>
      </w:r>
      <w:r>
        <w:br/>
      </w:r>
      <w:r>
        <w:t xml:space="preserve">23532 Calabasas Road, Suite A</w:t>
      </w:r>
      <w:r>
        <w:br/>
      </w:r>
      <w:r>
        <w:t xml:space="preserve">Calabasas, CA 91302</w:t>
      </w:r>
    </w:p>
    <w:p>
      <w:pPr>
        <w:pStyle w:val="BodyText"/>
      </w:pPr>
      <w:r>
        <w:t xml:space="preserve">     </w:t>
      </w:r>
      <w:r>
        <w:rPr>
          <w:b/>
        </w:rPr>
        <w:t xml:space="preserve">2.3 Accounting.</w:t>
      </w:r>
      <w:r>
        <w:t xml:space="preserve"> </w:t>
      </w:r>
      <w:r>
        <w:t xml:space="preserve">Notwithstanding the foregoing, the CaDC</w:t>
      </w:r>
      <w:r>
        <w:t xml:space="preserve"> </w:t>
      </w:r>
      <w:r>
        <w:t xml:space="preserve">Director shall have the right to rebudget expenses and carry forward</w:t>
      </w:r>
      <w:r>
        <w:t xml:space="preserve"> </w:t>
      </w:r>
      <w:r>
        <w:t xml:space="preserve">unexpended Funds to the following year. In addition, upon the expiration</w:t>
      </w:r>
      <w:r>
        <w:t xml:space="preserve"> </w:t>
      </w:r>
      <w:r>
        <w:t xml:space="preserve">or termination of this Agreement, SEE may submit to {AGENCY_ACRONYM}</w:t>
      </w:r>
      <w:r>
        <w:t xml:space="preserve"> </w:t>
      </w:r>
      <w:r>
        <w:t xml:space="preserve">a statement of actual expenditures for any Funds accrued under this</w:t>
      </w:r>
      <w:r>
        <w:t xml:space="preserve"> </w:t>
      </w:r>
      <w:r>
        <w:t xml:space="preserve">Agreement prior to the effective date of termination. {AGENCY_ACRONYM}</w:t>
      </w:r>
      <w:r>
        <w:t xml:space="preserve"> </w:t>
      </w:r>
      <w:r>
        <w:t xml:space="preserve">shall pay any such Funds due within sixty (60) days from receipt of such</w:t>
      </w:r>
      <w:r>
        <w:t xml:space="preserve"> </w:t>
      </w:r>
      <w:r>
        <w:t xml:space="preserve">statement, or if in the case of a balance of Funds, SEE shall refund</w:t>
      </w:r>
      <w:r>
        <w:t xml:space="preserve"> </w:t>
      </w:r>
      <w:r>
        <w:t xml:space="preserve">any such amounts.</w:t>
      </w:r>
    </w:p>
    <w:p>
      <w:pPr>
        <w:pStyle w:val="BodyText"/>
      </w:pPr>
      <w:r>
        <w:t xml:space="preserve">     </w:t>
      </w:r>
      <w:r>
        <w:rPr>
          <w:b/>
        </w:rPr>
        <w:t xml:space="preserve">2.4 Supplies and Equipment.</w:t>
      </w:r>
      <w:r>
        <w:t xml:space="preserve"> </w:t>
      </w:r>
      <w:r>
        <w:t xml:space="preserve">In the event that SEE purchases</w:t>
      </w:r>
      <w:r>
        <w:t xml:space="preserve"> </w:t>
      </w:r>
      <w:r>
        <w:t xml:space="preserve">supplies and equipment under this Agreement, title to such supplies and</w:t>
      </w:r>
      <w:r>
        <w:t xml:space="preserve"> </w:t>
      </w:r>
      <w:r>
        <w:t xml:space="preserve">equipment shall vest in SEE.</w:t>
      </w:r>
    </w:p>
    <w:p>
      <w:pPr>
        <w:pStyle w:val="BodyText"/>
      </w:pPr>
      <w:r>
        <w:rPr>
          <w:b/>
        </w:rPr>
        <w:t xml:space="preserve">Section 3</w:t>
      </w:r>
    </w:p>
    <w:p>
      <w:pPr>
        <w:pStyle w:val="BodyText"/>
      </w:pPr>
      <w:r>
        <w:rPr>
          <w:b/>
        </w:rPr>
        <w:t xml:space="preserve">RIGHTS IN DATA</w:t>
      </w:r>
    </w:p>
    <w:p>
      <w:pPr>
        <w:pStyle w:val="BodyText"/>
      </w:pPr>
      <w:r>
        <w:t xml:space="preserve">     </w:t>
      </w:r>
      <w:r>
        <w:rPr>
          <w:b/>
        </w:rPr>
        <w:t xml:space="preserve">3.1 Data.</w:t>
      </w:r>
      <w:r>
        <w:t xml:space="preserve"> </w:t>
      </w:r>
      <w:r>
        <w:t xml:space="preserve">SEE shall, in accordance with established SEE</w:t>
      </w:r>
      <w:r>
        <w:t xml:space="preserve"> </w:t>
      </w:r>
      <w:r>
        <w:t xml:space="preserve">policies and practice, keep notes and records of data and information</w:t>
      </w:r>
      <w:r>
        <w:t xml:space="preserve"> </w:t>
      </w:r>
      <w:r>
        <w:t xml:space="preserve">shared by {AGENCY_ACRONYM} and generated in the performance of the</w:t>
      </w:r>
      <w:r>
        <w:t xml:space="preserve"> </w:t>
      </w:r>
      <w:r>
        <w:t xml:space="preserve">Analytics under this Agreement (hereinafter "Data").</w:t>
      </w:r>
    </w:p>
    <w:p>
      <w:pPr>
        <w:pStyle w:val="BodyText"/>
      </w:pPr>
      <w:r>
        <w:t xml:space="preserve">     </w:t>
      </w:r>
      <w:r>
        <w:rPr>
          <w:b/>
        </w:rPr>
        <w:t xml:space="preserve">3.2 SEE Rights to Data.</w:t>
      </w:r>
      <w:r>
        <w:t xml:space="preserve"> </w:t>
      </w:r>
      <w:r>
        <w:t xml:space="preserve">SEE shall steward and secure any data</w:t>
      </w:r>
      <w:r>
        <w:t xml:space="preserve"> </w:t>
      </w:r>
      <w:r>
        <w:t xml:space="preserve">provided by {AGENCY_ACRONYM} according to a separate non-disclosure</w:t>
      </w:r>
      <w:r>
        <w:t xml:space="preserve"> </w:t>
      </w:r>
      <w:r>
        <w:t xml:space="preserve">agreement signed by {AGENCY_ACRONYM} and the SEE’s sister nonprofit</w:t>
      </w:r>
      <w:r>
        <w:t xml:space="preserve"> </w:t>
      </w:r>
      <w:r>
        <w:t xml:space="preserve">the Fund for the City of New York (“FCNY”). This non-disclosure</w:t>
      </w:r>
      <w:r>
        <w:t xml:space="preserve"> </w:t>
      </w:r>
      <w:r>
        <w:t xml:space="preserve">agreement will be transferred from FCNY to SEE and be extended in</w:t>
      </w:r>
      <w:r>
        <w:t xml:space="preserve"> </w:t>
      </w:r>
      <w:r>
        <w:t xml:space="preserve">perpetuity.</w:t>
      </w:r>
    </w:p>
    <w:p>
      <w:pPr>
        <w:pStyle w:val="BodyText"/>
      </w:pPr>
      <w:r>
        <w:t xml:space="preserve">     </w:t>
      </w:r>
      <w:r>
        <w:rPr>
          <w:b/>
        </w:rPr>
        <w:t xml:space="preserve">3.3 {AGENCY_ACRONYM} Rights to Data.</w:t>
      </w:r>
      <w:r>
        <w:t xml:space="preserve"> </w:t>
      </w:r>
      <w:r>
        <w:t xml:space="preserve">Subject to the</w:t>
      </w:r>
      <w:r>
        <w:t xml:space="preserve"> </w:t>
      </w:r>
      <w:r>
        <w:t xml:space="preserve">provisions of Sections 4 and 6 below, {AGENCY_ACRONYM} shall have the</w:t>
      </w:r>
      <w:r>
        <w:t xml:space="preserve"> </w:t>
      </w:r>
      <w:r>
        <w:t xml:space="preserve">right to use all written Summary Reports provided to {AGENCY_ACRONYM}</w:t>
      </w:r>
      <w:r>
        <w:t xml:space="preserve"> </w:t>
      </w:r>
      <w:r>
        <w:t xml:space="preserve">and shall have the right to obtain and use any and all scientific</w:t>
      </w:r>
      <w:r>
        <w:t xml:space="preserve"> </w:t>
      </w:r>
      <w:r>
        <w:t xml:space="preserve">publications and communications developed by SEE, as set forth below,</w:t>
      </w:r>
      <w:r>
        <w:t xml:space="preserve"> </w:t>
      </w:r>
      <w:r>
        <w:t xml:space="preserve">at no additional cost.</w:t>
      </w:r>
    </w:p>
    <w:p>
      <w:pPr>
        <w:pStyle w:val="BodyText"/>
      </w:pPr>
      <w:r>
        <w:rPr>
          <w:b/>
        </w:rPr>
        <w:t xml:space="preserve">Section 4</w:t>
      </w:r>
    </w:p>
    <w:p>
      <w:pPr>
        <w:pStyle w:val="BodyText"/>
      </w:pPr>
      <w:r>
        <w:rPr>
          <w:b/>
        </w:rPr>
        <w:t xml:space="preserve">PUBLICATION</w:t>
      </w:r>
    </w:p>
    <w:p>
      <w:pPr>
        <w:pStyle w:val="BodyText"/>
      </w:pPr>
      <w:r>
        <w:t xml:space="preserve">     </w:t>
      </w:r>
      <w:r>
        <w:rPr>
          <w:b/>
        </w:rPr>
        <w:t xml:space="preserve">4.1 SEE Rights to Publish.</w:t>
      </w:r>
      <w:r>
        <w:t xml:space="preserve"> </w:t>
      </w:r>
      <w:r>
        <w:t xml:space="preserve">{AGENCY_ACRONYM} acknowledges and</w:t>
      </w:r>
      <w:r>
        <w:t xml:space="preserve"> </w:t>
      </w:r>
      <w:r>
        <w:t xml:space="preserve">agrees that SEE's fundamental consideration in performing the Analytics</w:t>
      </w:r>
      <w:r>
        <w:t xml:space="preserve"> </w:t>
      </w:r>
      <w:r>
        <w:t xml:space="preserve">under this Agreement shall be SEE's right to first publish the results</w:t>
      </w:r>
      <w:r>
        <w:t xml:space="preserve"> </w:t>
      </w:r>
      <w:r>
        <w:t xml:space="preserve">of such Analytics for academic and scientific purposes. SEE shall</w:t>
      </w:r>
      <w:r>
        <w:t xml:space="preserve"> </w:t>
      </w:r>
      <w:r>
        <w:t xml:space="preserve">submit any proposed manuscript for publication to the Technical Working</w:t>
      </w:r>
      <w:r>
        <w:t xml:space="preserve"> </w:t>
      </w:r>
      <w:r>
        <w:t xml:space="preserve">Group thirty (30) days prior to the submission for publication, and any</w:t>
      </w:r>
      <w:r>
        <w:t xml:space="preserve"> </w:t>
      </w:r>
      <w:r>
        <w:t xml:space="preserve">proposed abstract to the Technical Working Group seven (7) days prior to</w:t>
      </w:r>
      <w:r>
        <w:t xml:space="preserve"> </w:t>
      </w:r>
      <w:r>
        <w:t xml:space="preserve">submission for publication ("Review Period"). In the event the Technical</w:t>
      </w:r>
      <w:r>
        <w:t xml:space="preserve"> </w:t>
      </w:r>
      <w:r>
        <w:t xml:space="preserve">Working Group or {AGENCY_ACRONYM} staff in the Technical Working Group</w:t>
      </w:r>
      <w:r>
        <w:t xml:space="preserve"> </w:t>
      </w:r>
      <w:r>
        <w:t xml:space="preserve">identifies any Confidential Information (as defined in Section 5 below)</w:t>
      </w:r>
      <w:r>
        <w:t xml:space="preserve"> </w:t>
      </w:r>
      <w:r>
        <w:t xml:space="preserve">contained in such proposed publication or abstract, {AGENCY_ACRONYM}</w:t>
      </w:r>
      <w:r>
        <w:t xml:space="preserve"> </w:t>
      </w:r>
      <w:r>
        <w:t xml:space="preserve">shall notify SEE during the applicable Review Period and specifically</w:t>
      </w:r>
      <w:r>
        <w:t xml:space="preserve"> </w:t>
      </w:r>
      <w:r>
        <w:t xml:space="preserve">identify the Confidential Information. SEE shall delete such</w:t>
      </w:r>
      <w:r>
        <w:t xml:space="preserve"> </w:t>
      </w:r>
      <w:r>
        <w:t xml:space="preserve">Confidential Information from the proposed publication or abstract. In</w:t>
      </w:r>
      <w:r>
        <w:t xml:space="preserve"> </w:t>
      </w:r>
      <w:r>
        <w:t xml:space="preserve">the event {AGENCY_ACRONYM} identifies any patentable subject matter</w:t>
      </w:r>
      <w:r>
        <w:t xml:space="preserve"> </w:t>
      </w:r>
      <w:r>
        <w:t xml:space="preserve">contained in the proposed publication, {AGENCY_ACRONYM} shall notify</w:t>
      </w:r>
      <w:r>
        <w:t xml:space="preserve"> </w:t>
      </w:r>
      <w:r>
        <w:t xml:space="preserve">SEE of such matter during the Review Period and SEE shall either (i)</w:t>
      </w:r>
      <w:r>
        <w:t xml:space="preserve"> </w:t>
      </w:r>
      <w:r>
        <w:t xml:space="preserve">delay the proposed publication for a period of up to sixty (60) days</w:t>
      </w:r>
      <w:r>
        <w:t xml:space="preserve"> </w:t>
      </w:r>
      <w:r>
        <w:t xml:space="preserve">from the date of receipt of {AGENCY_ACRONYM}'s notification in order</w:t>
      </w:r>
      <w:r>
        <w:t xml:space="preserve"> </w:t>
      </w:r>
      <w:r>
        <w:t xml:space="preserve">to obtain appropriate patent protection thereon, or (ii) delete the</w:t>
      </w:r>
      <w:r>
        <w:t xml:space="preserve"> </w:t>
      </w:r>
      <w:r>
        <w:t xml:space="preserve">enabling portion from the proposed publication and proceed with</w:t>
      </w:r>
      <w:r>
        <w:t xml:space="preserve"> </w:t>
      </w:r>
      <w:r>
        <w:t xml:space="preserve">publication. SEE shall acknowledge {AGENCY_ACRONYM}'s support of the</w:t>
      </w:r>
      <w:r>
        <w:t xml:space="preserve"> </w:t>
      </w:r>
      <w:r>
        <w:t xml:space="preserve">Analytics performed under this Agreement in scientific publications and</w:t>
      </w:r>
      <w:r>
        <w:t xml:space="preserve"> </w:t>
      </w:r>
      <w:r>
        <w:t xml:space="preserve">other scientific communications.</w:t>
      </w:r>
    </w:p>
    <w:p>
      <w:pPr>
        <w:pStyle w:val="BodyText"/>
      </w:pPr>
      <w:r>
        <w:rPr>
          <w:b/>
        </w:rPr>
        <w:t xml:space="preserve">Section 5</w:t>
      </w:r>
    </w:p>
    <w:p>
      <w:pPr>
        <w:pStyle w:val="BodyText"/>
      </w:pPr>
      <w:r>
        <w:rPr>
          <w:b/>
        </w:rPr>
        <w:t xml:space="preserve">CONFIDENTIAL INFORMATION</w:t>
      </w:r>
    </w:p>
    <w:p>
      <w:pPr>
        <w:pStyle w:val="BodyText"/>
      </w:pPr>
      <w:r>
        <w:t xml:space="preserve">     </w:t>
      </w:r>
      <w:r>
        <w:rPr>
          <w:b/>
        </w:rPr>
        <w:t xml:space="preserve">5.1 Definition of Confidential Information.</w:t>
      </w:r>
      <w:r>
        <w:t xml:space="preserve"> </w:t>
      </w:r>
      <w:r>
        <w:t xml:space="preserve">Any information</w:t>
      </w:r>
      <w:r>
        <w:t xml:space="preserve"> </w:t>
      </w:r>
      <w:r>
        <w:t xml:space="preserve">considered proprietary or confidential by {AGENCY_ACRONYM} or another</w:t>
      </w:r>
      <w:r>
        <w:t xml:space="preserve"> </w:t>
      </w:r>
      <w:r>
        <w:t xml:space="preserve">CaDC participating agency shall be provided to SEE’s CaDC Director in</w:t>
      </w:r>
      <w:r>
        <w:t xml:space="preserve"> </w:t>
      </w:r>
      <w:r>
        <w:t xml:space="preserve">writing and clearly identified as such, or if orally disclosed,</w:t>
      </w:r>
      <w:r>
        <w:t xml:space="preserve"> </w:t>
      </w:r>
      <w:r>
        <w:t xml:space="preserve">identified as proprietary or confidential at the time of disclosure and</w:t>
      </w:r>
      <w:r>
        <w:t xml:space="preserve"> </w:t>
      </w:r>
      <w:r>
        <w:t xml:space="preserve">reduced to writing within thirty (30) days by {AGENCY_ACRONYM}</w:t>
      </w:r>
      <w:r>
        <w:t xml:space="preserve"> </w:t>
      </w:r>
      <w:r>
        <w:t xml:space="preserve">(hereinafter, "Confidential Information").</w:t>
      </w:r>
    </w:p>
    <w:p>
      <w:pPr>
        <w:pStyle w:val="BodyText"/>
      </w:pPr>
      <w:r>
        <w:t xml:space="preserve">     </w:t>
      </w:r>
      <w:r>
        <w:rPr>
          <w:b/>
        </w:rPr>
        <w:t xml:space="preserve">5.2 Exclusions.</w:t>
      </w:r>
      <w:r>
        <w:t xml:space="preserve"> </w:t>
      </w:r>
      <w:r>
        <w:t xml:space="preserve">Notwithstanding the foregoing, Confidential</w:t>
      </w:r>
      <w:r>
        <w:t xml:space="preserve"> </w:t>
      </w:r>
      <w:r>
        <w:t xml:space="preserve">Information shall not include any information which is: a) published or</w:t>
      </w:r>
      <w:r>
        <w:t xml:space="preserve"> </w:t>
      </w:r>
      <w:r>
        <w:t xml:space="preserve">otherwise available to the public other than by breach of this Agreement</w:t>
      </w:r>
      <w:r>
        <w:t xml:space="preserve"> </w:t>
      </w:r>
      <w:r>
        <w:t xml:space="preserve">by SEE; b) rightfully received by SEE from a third party without</w:t>
      </w:r>
      <w:r>
        <w:t xml:space="preserve"> </w:t>
      </w:r>
      <w:r>
        <w:t xml:space="preserve">confidential limitations; c) independently developed by SEE; d) known</w:t>
      </w:r>
      <w:r>
        <w:t xml:space="preserve"> </w:t>
      </w:r>
      <w:r>
        <w:t xml:space="preserve">to SEE prior to its first receipt from {AGENCY_ACRONYM}; e)</w:t>
      </w:r>
      <w:r>
        <w:t xml:space="preserve"> </w:t>
      </w:r>
      <w:r>
        <w:t xml:space="preserve">hereinafter disclosed by {AGENCY_ACRONYM} to a third party without</w:t>
      </w:r>
      <w:r>
        <w:t xml:space="preserve"> </w:t>
      </w:r>
      <w:r>
        <w:t xml:space="preserve">restriction on disclosure; f) approved for release by written</w:t>
      </w:r>
      <w:r>
        <w:t xml:space="preserve"> </w:t>
      </w:r>
      <w:r>
        <w:t xml:space="preserve">authorization of {AGENCY_ACRONYM}; or (g) required to be disclosed to</w:t>
      </w:r>
      <w:r>
        <w:t xml:space="preserve"> </w:t>
      </w:r>
      <w:r>
        <w:t xml:space="preserve">the extent mandated by legal, accounting or regulatory requirements.</w:t>
      </w:r>
    </w:p>
    <w:p>
      <w:pPr>
        <w:pStyle w:val="BodyText"/>
      </w:pPr>
      <w:r>
        <w:t xml:space="preserve">     </w:t>
      </w:r>
      <w:r>
        <w:rPr>
          <w:b/>
        </w:rPr>
        <w:t xml:space="preserve">5.3 Standard of Care.</w:t>
      </w:r>
      <w:r>
        <w:t xml:space="preserve"> </w:t>
      </w:r>
      <w:r>
        <w:t xml:space="preserve">SEE shall use reasonable efforts, in</w:t>
      </w:r>
      <w:r>
        <w:t xml:space="preserve"> </w:t>
      </w:r>
      <w:r>
        <w:t xml:space="preserve">accordance with SEE's treatment of its own confidential information to</w:t>
      </w:r>
      <w:r>
        <w:t xml:space="preserve"> </w:t>
      </w:r>
      <w:r>
        <w:t xml:space="preserve">maintain its confidentiality, to prevent the disclosure of Confidential</w:t>
      </w:r>
      <w:r>
        <w:t xml:space="preserve"> </w:t>
      </w:r>
      <w:r>
        <w:t xml:space="preserve">Information to third parties during the term of this Agreement and for</w:t>
      </w:r>
      <w:r>
        <w:t xml:space="preserve"> </w:t>
      </w:r>
      <w:r>
        <w:t xml:space="preserve">three (3) years thereafter.</w:t>
      </w:r>
    </w:p>
    <w:p>
      <w:pPr>
        <w:pStyle w:val="BodyText"/>
      </w:pPr>
      <w:r>
        <w:rPr>
          <w:b/>
        </w:rPr>
        <w:t xml:space="preserve">Section 6</w:t>
      </w:r>
    </w:p>
    <w:p>
      <w:pPr>
        <w:pStyle w:val="BodyText"/>
      </w:pPr>
      <w:r>
        <w:rPr>
          <w:b/>
        </w:rPr>
        <w:t xml:space="preserve">INTELLECTUAL PROPERTY RIGHTS</w:t>
      </w:r>
    </w:p>
    <w:p>
      <w:pPr>
        <w:pStyle w:val="BodyText"/>
      </w:pPr>
      <w:r>
        <w:t xml:space="preserve">    </w:t>
      </w:r>
      <w:r>
        <w:br/>
      </w:r>
      <w:r>
        <w:t xml:space="preserve">     </w:t>
      </w:r>
      <w:r>
        <w:rPr>
          <w:b/>
        </w:rPr>
        <w:t xml:space="preserve">6.1 No implied licenses.</w:t>
      </w:r>
      <w:r>
        <w:t xml:space="preserve"> </w:t>
      </w:r>
      <w:r>
        <w:t xml:space="preserve">Nothing contained in this Agreement</w:t>
      </w:r>
      <w:r>
        <w:t xml:space="preserve"> </w:t>
      </w:r>
      <w:r>
        <w:t xml:space="preserve">shall be deemed to grant either directly or by implication, estoppel, or</w:t>
      </w:r>
      <w:r>
        <w:t xml:space="preserve"> </w:t>
      </w:r>
      <w:r>
        <w:t xml:space="preserve">otherwise any rights under any patents, patent applications or other</w:t>
      </w:r>
      <w:r>
        <w:t xml:space="preserve"> </w:t>
      </w:r>
      <w:r>
        <w:t xml:space="preserve">proprietary interests, whether dominant or subordinate, of any other</w:t>
      </w:r>
      <w:r>
        <w:t xml:space="preserve"> </w:t>
      </w:r>
      <w:r>
        <w:t xml:space="preserve">invention, discovery or improvement of either party, other than the</w:t>
      </w:r>
      <w:r>
        <w:t xml:space="preserve"> </w:t>
      </w:r>
      <w:r>
        <w:t xml:space="preserve">specific patent rights covering inventions arising under this</w:t>
      </w:r>
      <w:r>
        <w:t xml:space="preserve"> </w:t>
      </w:r>
      <w:r>
        <w:t xml:space="preserve">Agreement.</w:t>
      </w:r>
    </w:p>
    <w:p>
      <w:pPr>
        <w:pStyle w:val="BodyText"/>
      </w:pPr>
      <w:r>
        <w:t xml:space="preserve">     </w:t>
      </w:r>
      <w:r>
        <w:rPr>
          <w:b/>
        </w:rPr>
        <w:t xml:space="preserve">6.2 Publication.</w:t>
      </w:r>
      <w:r>
        <w:t xml:space="preserve"> </w:t>
      </w:r>
      <w:r>
        <w:t xml:space="preserve">Notwithstanding any other provision of this</w:t>
      </w:r>
      <w:r>
        <w:t xml:space="preserve"> </w:t>
      </w:r>
      <w:r>
        <w:t xml:space="preserve">Agreement, the right of publication on the part of SEE personnel shall</w:t>
      </w:r>
      <w:r>
        <w:t xml:space="preserve"> </w:t>
      </w:r>
      <w:r>
        <w:t xml:space="preserve">not be affected by any license to any patentable or non-patentable</w:t>
      </w:r>
      <w:r>
        <w:t xml:space="preserve"> </w:t>
      </w:r>
      <w:r>
        <w:t xml:space="preserve">inventions or discoveries except as provided for in Section 4 above.</w:t>
      </w:r>
    </w:p>
    <w:p>
      <w:pPr>
        <w:pStyle w:val="BodyText"/>
      </w:pPr>
      <w:r>
        <w:rPr>
          <w:b/>
        </w:rPr>
        <w:t xml:space="preserve">Section 7</w:t>
      </w:r>
    </w:p>
    <w:p>
      <w:pPr>
        <w:pStyle w:val="BodyText"/>
      </w:pPr>
      <w:r>
        <w:rPr>
          <w:b/>
        </w:rPr>
        <w:t xml:space="preserve">TERM AND TERMINATION</w:t>
      </w:r>
    </w:p>
    <w:p>
      <w:pPr>
        <w:pStyle w:val="BodyText"/>
      </w:pPr>
      <w:r>
        <w:t xml:space="preserve">     </w:t>
      </w:r>
      <w:r>
        <w:rPr>
          <w:b/>
        </w:rPr>
        <w:t xml:space="preserve">7.1 Term.</w:t>
      </w:r>
      <w:r>
        <w:t xml:space="preserve"> </w:t>
      </w:r>
      <w:r>
        <w:t xml:space="preserve">The term of this Agreement shall commence on {START_DATE} ("Effective Date") and shall continue through {END_DATE}. At the</w:t>
      </w:r>
      <w:r>
        <w:t xml:space="preserve"> </w:t>
      </w:r>
      <w:r>
        <w:t xml:space="preserve">end of such term, this Agreement may be renewed upon mutual written</w:t>
      </w:r>
      <w:r>
        <w:t xml:space="preserve"> </w:t>
      </w:r>
      <w:r>
        <w:t xml:space="preserve">agreement of the parties.</w:t>
      </w:r>
    </w:p>
    <w:p>
      <w:pPr>
        <w:pStyle w:val="BodyText"/>
      </w:pPr>
      <w:r>
        <w:t xml:space="preserve">     </w:t>
      </w:r>
      <w:r>
        <w:rPr>
          <w:b/>
        </w:rPr>
        <w:t xml:space="preserve">7.2 Termination for Cause.</w:t>
      </w:r>
      <w:r>
        <w:t xml:space="preserve"> </w:t>
      </w:r>
      <w:r>
        <w:t xml:space="preserve">This Agreement may be terminated by</w:t>
      </w:r>
      <w:r>
        <w:t xml:space="preserve"> </w:t>
      </w:r>
      <w:r>
        <w:t xml:space="preserve">either party, if the other party breaches any material obligation</w:t>
      </w:r>
      <w:r>
        <w:t xml:space="preserve"> </w:t>
      </w:r>
      <w:r>
        <w:t xml:space="preserve">provided hereunder and the breaching party fails to cure such breach</w:t>
      </w:r>
      <w:r>
        <w:t xml:space="preserve"> </w:t>
      </w:r>
      <w:r>
        <w:t xml:space="preserve">within thirty (30) days from receipt of notice outlining the nature of</w:t>
      </w:r>
      <w:r>
        <w:t xml:space="preserve"> </w:t>
      </w:r>
      <w:r>
        <w:t xml:space="preserve">the breach. In the event such material breach is not cured within the</w:t>
      </w:r>
      <w:r>
        <w:t xml:space="preserve"> </w:t>
      </w:r>
      <w:r>
        <w:t xml:space="preserve">applicable period of time noted above, then the non-breaching party may</w:t>
      </w:r>
      <w:r>
        <w:t xml:space="preserve"> </w:t>
      </w:r>
      <w:r>
        <w:t xml:space="preserve">immediately terminate this Agreement by providing written notice to the</w:t>
      </w:r>
      <w:r>
        <w:t xml:space="preserve"> </w:t>
      </w:r>
      <w:r>
        <w:t xml:space="preserve">other party. Reconciliation of Analytics expenditures and</w:t>
      </w:r>
      <w:r>
        <w:t xml:space="preserve"> </w:t>
      </w:r>
      <w:r>
        <w:t xml:space="preserve">{AGENCY_ACRONYM}'s payments shall be in accordance with Section 2, Paragraph</w:t>
      </w:r>
      <w:r>
        <w:t xml:space="preserve"> </w:t>
      </w:r>
      <w:r>
        <w:t xml:space="preserve">2.3 of this Agreement. SEE shall make good faith efforts to avoid</w:t>
      </w:r>
      <w:r>
        <w:t xml:space="preserve"> </w:t>
      </w:r>
      <w:r>
        <w:t xml:space="preserve">incurring additional costs following either party's notice of</w:t>
      </w:r>
      <w:r>
        <w:t xml:space="preserve"> </w:t>
      </w:r>
      <w:r>
        <w:t xml:space="preserve">termination.</w:t>
      </w:r>
    </w:p>
    <w:p>
      <w:pPr>
        <w:pStyle w:val="BodyText"/>
      </w:pPr>
      <w:r>
        <w:t xml:space="preserve">     </w:t>
      </w:r>
      <w:r>
        <w:rPr>
          <w:b/>
        </w:rPr>
        <w:t xml:space="preserve">7.3 Termination for Convenience.</w:t>
      </w:r>
      <w:r>
        <w:t xml:space="preserve"> </w:t>
      </w:r>
      <w:r>
        <w:t xml:space="preserve">This Agreement may be</w:t>
      </w:r>
      <w:r>
        <w:t xml:space="preserve"> </w:t>
      </w:r>
      <w:r>
        <w:t xml:space="preserve">terminated by either party with sixty (60) days written notice to the</w:t>
      </w:r>
      <w:r>
        <w:t xml:space="preserve"> </w:t>
      </w:r>
      <w:r>
        <w:t xml:space="preserve">other party for any reason. Reconciliation of Analytics expenditures and</w:t>
      </w:r>
      <w:r>
        <w:t xml:space="preserve"> </w:t>
      </w:r>
      <w:r>
        <w:t xml:space="preserve">{AGENCY_ACRONYM}'s payments shall be in accordance with Section 2,</w:t>
      </w:r>
      <w:r>
        <w:t xml:space="preserve"> </w:t>
      </w:r>
      <w:r>
        <w:t xml:space="preserve">Paragraph 2.3 of this Agreement. Such reconciliation shall also take</w:t>
      </w:r>
      <w:r>
        <w:t xml:space="preserve"> </w:t>
      </w:r>
      <w:r>
        <w:t xml:space="preserve">into account SEE's non-cancellable obligations incurred prior to the</w:t>
      </w:r>
      <w:r>
        <w:t xml:space="preserve"> </w:t>
      </w:r>
      <w:r>
        <w:t xml:space="preserve">effective date of termination of the Agreement, including without</w:t>
      </w:r>
      <w:r>
        <w:t xml:space="preserve"> </w:t>
      </w:r>
      <w:r>
        <w:t xml:space="preserve">limitation, any support for any student of SEE for the duration of the</w:t>
      </w:r>
      <w:r>
        <w:t xml:space="preserve"> </w:t>
      </w:r>
      <w:r>
        <w:t xml:space="preserve">then current academic quarter.</w:t>
      </w:r>
    </w:p>
    <w:p>
      <w:pPr>
        <w:pStyle w:val="BodyText"/>
      </w:pPr>
      <w:r>
        <w:t xml:space="preserve">     </w:t>
      </w:r>
      <w:r>
        <w:rPr>
          <w:b/>
        </w:rPr>
        <w:t xml:space="preserve">7.4 Survival.</w:t>
      </w:r>
      <w:r>
        <w:t xml:space="preserve"> </w:t>
      </w:r>
      <w:r>
        <w:t xml:space="preserve">The following provisions shall survive any</w:t>
      </w:r>
      <w:r>
        <w:t xml:space="preserve"> </w:t>
      </w:r>
      <w:r>
        <w:t xml:space="preserve">expiration or termination of this Agreement: Sections 3, 4, 5, 6, 8, 9,</w:t>
      </w:r>
      <w:r>
        <w:t xml:space="preserve"> </w:t>
      </w:r>
      <w:r>
        <w:t xml:space="preserve">10 and 11.</w:t>
      </w:r>
    </w:p>
    <w:p>
      <w:pPr>
        <w:pStyle w:val="BodyText"/>
      </w:pPr>
      <w:r>
        <w:rPr>
          <w:b/>
        </w:rPr>
        <w:t xml:space="preserve">Section 8</w:t>
      </w:r>
    </w:p>
    <w:p>
      <w:pPr>
        <w:pStyle w:val="BodyText"/>
      </w:pPr>
      <w:r>
        <w:rPr>
          <w:b/>
        </w:rPr>
        <w:t xml:space="preserve">NOTICES</w:t>
      </w:r>
    </w:p>
    <w:p>
      <w:pPr>
        <w:pStyle w:val="BodyText"/>
      </w:pPr>
      <w:r>
        <w:t xml:space="preserve">     </w:t>
      </w:r>
      <w:r>
        <w:rPr>
          <w:b/>
        </w:rPr>
        <w:t xml:space="preserve">8.1 Notices.</w:t>
      </w:r>
      <w:r>
        <w:t xml:space="preserve"> </w:t>
      </w:r>
      <w:r>
        <w:t xml:space="preserve">All notices or reports permitted or required under</w:t>
      </w:r>
      <w:r>
        <w:t xml:space="preserve"> </w:t>
      </w:r>
      <w:r>
        <w:t xml:space="preserve">this Agreement shall be in writing and shall be delivered by email or</w:t>
      </w:r>
      <w:r>
        <w:t xml:space="preserve"> </w:t>
      </w:r>
      <w:r>
        <w:t xml:space="preserve">personal delivery or by certified or registered mail, return receipt</w:t>
      </w:r>
      <w:r>
        <w:t xml:space="preserve"> </w:t>
      </w:r>
      <w:r>
        <w:t xml:space="preserve">requested, and shall be deemed given upon actual receipt. Notices shall</w:t>
      </w:r>
      <w:r>
        <w:t xml:space="preserve"> </w:t>
      </w:r>
      <w:r>
        <w:t xml:space="preserve">be sent to the parties at the physical and / or email addresses</w:t>
      </w:r>
      <w:r>
        <w:t xml:space="preserve"> </w:t>
      </w:r>
      <w:r>
        <w:t xml:space="preserve">described below or such other address as either party may designate for</w:t>
      </w:r>
      <w:r>
        <w:t xml:space="preserve"> </w:t>
      </w:r>
      <w:r>
        <w:t xml:space="preserve">itself in writing.</w:t>
      </w:r>
    </w:p>
    <w:p>
      <w:pPr>
        <w:pStyle w:val="BodyText"/>
      </w:pPr>
      <w:r>
        <w:rPr>
          <w:b/>
        </w:rPr>
        <w:t xml:space="preserve">For Scientific/Technical Matters</w:t>
      </w:r>
      <w:r>
        <w:t xml:space="preserve">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Social and Environmental Entrepreneurs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{AGENCY_FULL_NAME}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Name:</w:t>
            </w:r>
          </w:p>
        </w:tc>
        <w:tc>
          <w:p>
            <w:pPr>
              <w:pStyle w:val="Compact"/>
              <w:jc w:val="left"/>
            </w:pPr>
            <w:r>
              <w:t xml:space="preserve">Name: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Title:</w:t>
            </w:r>
          </w:p>
        </w:tc>
        <w:tc>
          <w:p>
            <w:pPr>
              <w:pStyle w:val="Compact"/>
              <w:jc w:val="left"/>
            </w:pPr>
            <w:r>
              <w:t xml:space="preserve">Title: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Email:</w:t>
            </w:r>
          </w:p>
        </w:tc>
        <w:tc>
          <w:p>
            <w:pPr>
              <w:pStyle w:val="Compact"/>
              <w:jc w:val="left"/>
            </w:pPr>
            <w:r>
              <w:t xml:space="preserve">Email: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Phone:</w:t>
            </w:r>
          </w:p>
        </w:tc>
        <w:tc>
          <w:p>
            <w:pPr>
              <w:pStyle w:val="Compact"/>
              <w:jc w:val="left"/>
            </w:pPr>
            <w:r>
              <w:t xml:space="preserve">Phone:</w:t>
            </w:r>
          </w:p>
        </w:tc>
      </w:tr>
    </w:tbl>
    <w:p>
      <w:pPr>
        <w:pStyle w:val="BodyText"/>
      </w:pPr>
      <w:r>
        <w:rPr>
          <w:b/>
        </w:rPr>
        <w:t xml:space="preserve">For Contractual/Agreement Matters</w:t>
      </w:r>
      <w:r>
        <w:t xml:space="preserve">: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Social and Environmental Entrepreneurs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{AGENCY_FULL_NAME}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Name:</w:t>
            </w:r>
          </w:p>
        </w:tc>
        <w:tc>
          <w:p>
            <w:pPr>
              <w:pStyle w:val="Compact"/>
              <w:jc w:val="left"/>
            </w:pPr>
            <w:r>
              <w:t xml:space="preserve">Name: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Title:</w:t>
            </w:r>
          </w:p>
        </w:tc>
        <w:tc>
          <w:p>
            <w:pPr>
              <w:pStyle w:val="Compact"/>
              <w:jc w:val="left"/>
            </w:pPr>
            <w:r>
              <w:t xml:space="preserve">Title: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Email:</w:t>
            </w:r>
          </w:p>
        </w:tc>
        <w:tc>
          <w:p>
            <w:pPr>
              <w:pStyle w:val="Compact"/>
              <w:jc w:val="left"/>
            </w:pPr>
            <w:r>
              <w:t xml:space="preserve">Email: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Phone:</w:t>
            </w:r>
          </w:p>
        </w:tc>
        <w:tc>
          <w:p>
            <w:pPr>
              <w:pStyle w:val="Compact"/>
              <w:jc w:val="left"/>
            </w:pPr>
            <w:r>
              <w:t xml:space="preserve">Phone:</w:t>
            </w:r>
          </w:p>
        </w:tc>
      </w:tr>
    </w:tbl>
    <w:p>
      <w:pPr>
        <w:pStyle w:val="BodyText"/>
      </w:pPr>
      <w:r>
        <w:rPr>
          <w:b/>
        </w:rPr>
        <w:t xml:space="preserve">Section 9</w:t>
      </w:r>
    </w:p>
    <w:p>
      <w:pPr>
        <w:pStyle w:val="BodyText"/>
      </w:pPr>
      <w:r>
        <w:rPr>
          <w:b/>
        </w:rPr>
        <w:t xml:space="preserve">LIMITATION OF LIABILITY</w:t>
      </w:r>
    </w:p>
    <w:p>
      <w:pPr>
        <w:pStyle w:val="BodyText"/>
      </w:pPr>
      <w:r>
        <w:t xml:space="preserve">     </w:t>
      </w:r>
      <w:r>
        <w:rPr>
          <w:b/>
        </w:rPr>
        <w:t xml:space="preserve">9.1 Consequential Damages.</w:t>
      </w:r>
      <w:r>
        <w:t xml:space="preserve"> </w:t>
      </w:r>
      <w:r>
        <w:t xml:space="preserve">In no event shall either party be</w:t>
      </w:r>
      <w:r>
        <w:t xml:space="preserve"> </w:t>
      </w:r>
      <w:r>
        <w:t xml:space="preserve">liable to the other party for any loss of use, interruption of business,</w:t>
      </w:r>
      <w:r>
        <w:t xml:space="preserve"> </w:t>
      </w:r>
      <w:r>
        <w:t xml:space="preserve">or any indirect, special, incidental, exemplary, or consequential</w:t>
      </w:r>
      <w:r>
        <w:t xml:space="preserve"> </w:t>
      </w:r>
      <w:r>
        <w:t xml:space="preserve">damages of any kind (including lost profits) regardless of the form of</w:t>
      </w:r>
      <w:r>
        <w:t xml:space="preserve"> </w:t>
      </w:r>
      <w:r>
        <w:t xml:space="preserve">action whether in contract, tort, (including negligence), strict product</w:t>
      </w:r>
      <w:r>
        <w:t xml:space="preserve"> </w:t>
      </w:r>
      <w:r>
        <w:t xml:space="preserve">liability, or otherwise, even if such party has been advised of the</w:t>
      </w:r>
      <w:r>
        <w:t xml:space="preserve"> </w:t>
      </w:r>
      <w:r>
        <w:t xml:space="preserve">possibility of such damages.</w:t>
      </w:r>
    </w:p>
    <w:p>
      <w:pPr>
        <w:pStyle w:val="BodyText"/>
      </w:pPr>
      <w:r>
        <w:t xml:space="preserve">     </w:t>
      </w:r>
      <w:r>
        <w:rPr>
          <w:b/>
        </w:rPr>
        <w:t xml:space="preserve">9.2 Limit on Direct Damages.</w:t>
      </w:r>
      <w:r>
        <w:t xml:space="preserve"> </w:t>
      </w:r>
      <w:r>
        <w:t xml:space="preserve">Excluding each party's indemnity</w:t>
      </w:r>
      <w:r>
        <w:t xml:space="preserve"> </w:t>
      </w:r>
      <w:r>
        <w:t xml:space="preserve">obligations under section 10 below, in no event shall each party's</w:t>
      </w:r>
      <w:r>
        <w:t xml:space="preserve"> </w:t>
      </w:r>
      <w:r>
        <w:t xml:space="preserve">liability to the other party under this agreement exceed the amount of</w:t>
      </w:r>
      <w:r>
        <w:t xml:space="preserve"> </w:t>
      </w:r>
      <w:r>
        <w:t xml:space="preserve">funds hereunder.</w:t>
      </w:r>
    </w:p>
    <w:p>
      <w:pPr>
        <w:pStyle w:val="BodyText"/>
      </w:pPr>
      <w:r>
        <w:t xml:space="preserve">     </w:t>
      </w:r>
      <w:r>
        <w:rPr>
          <w:b/>
        </w:rPr>
        <w:t xml:space="preserve">9.3 No Warranties.</w:t>
      </w:r>
      <w:r>
        <w:t xml:space="preserve"> </w:t>
      </w:r>
      <w:r>
        <w:t xml:space="preserve">Any and all data, materials, technology,</w:t>
      </w:r>
      <w:r>
        <w:t xml:space="preserve"> </w:t>
      </w:r>
      <w:r>
        <w:t xml:space="preserve">inventions, discoveries, and tangible analytics products developed by</w:t>
      </w:r>
      <w:r>
        <w:t xml:space="preserve"> </w:t>
      </w:r>
      <w:r>
        <w:t xml:space="preserve">SEE under the analytics are provided "as is" and SEE makes no</w:t>
      </w:r>
      <w:r>
        <w:t xml:space="preserve"> </w:t>
      </w:r>
      <w:r>
        <w:t xml:space="preserve">warranties, express, implied or statutory, and expressly disclaims any</w:t>
      </w:r>
      <w:r>
        <w:t xml:space="preserve"> </w:t>
      </w:r>
      <w:r>
        <w:t xml:space="preserve">and all implied warranties of merchantability, fitness for a particular</w:t>
      </w:r>
      <w:r>
        <w:t xml:space="preserve"> </w:t>
      </w:r>
      <w:r>
        <w:t xml:space="preserve">purpose, title and noninfringement. Any and all data, materials, and</w:t>
      </w:r>
      <w:r>
        <w:t xml:space="preserve"> </w:t>
      </w:r>
      <w:r>
        <w:t xml:space="preserve">information provided by {AGENCY_ACRONYM} under this agreement are</w:t>
      </w:r>
      <w:r>
        <w:t xml:space="preserve"> </w:t>
      </w:r>
      <w:r>
        <w:t xml:space="preserve">provided "as is" and {AGENCY_ACRONYM} makes no warranties, express,</w:t>
      </w:r>
      <w:r>
        <w:t xml:space="preserve"> </w:t>
      </w:r>
      <w:r>
        <w:t xml:space="preserve">implied or statutory, and expressly disclaims any and all implied</w:t>
      </w:r>
      <w:r>
        <w:t xml:space="preserve"> </w:t>
      </w:r>
      <w:r>
        <w:t xml:space="preserve">warranties of merchantability, fitness for a particular purpose, title</w:t>
      </w:r>
      <w:r>
        <w:t xml:space="preserve"> </w:t>
      </w:r>
      <w:r>
        <w:t xml:space="preserve">and noninfringement.</w:t>
      </w:r>
    </w:p>
    <w:p>
      <w:pPr>
        <w:pStyle w:val="BodyText"/>
      </w:pPr>
      <w:r>
        <w:rPr>
          <w:b/>
        </w:rPr>
        <w:t xml:space="preserve">Section 10</w:t>
      </w:r>
    </w:p>
    <w:p>
      <w:pPr>
        <w:pStyle w:val="BodyText"/>
      </w:pPr>
      <w:r>
        <w:rPr>
          <w:b/>
        </w:rPr>
        <w:t xml:space="preserve">INDEMNIFICATION</w:t>
      </w:r>
    </w:p>
    <w:p>
      <w:pPr>
        <w:pStyle w:val="BodyText"/>
      </w:pPr>
      <w:r>
        <w:t xml:space="preserve">     </w:t>
      </w:r>
      <w:r>
        <w:rPr>
          <w:b/>
        </w:rPr>
        <w:t xml:space="preserve">10.1 SEE Indemnification.</w:t>
      </w:r>
      <w:r>
        <w:t xml:space="preserve"> </w:t>
      </w:r>
      <w:r>
        <w:t xml:space="preserve">SEE agrees to indemnify, defend,</w:t>
      </w:r>
      <w:r>
        <w:t xml:space="preserve"> </w:t>
      </w:r>
      <w:r>
        <w:t xml:space="preserve">and hold {AGENCY_ACRONYM}, its officers, employees and agents,</w:t>
      </w:r>
      <w:r>
        <w:t xml:space="preserve"> </w:t>
      </w:r>
      <w:r>
        <w:t xml:space="preserve">harmless from and against any and all liability, loss, expense</w:t>
      </w:r>
      <w:r>
        <w:t xml:space="preserve"> </w:t>
      </w:r>
      <w:r>
        <w:t xml:space="preserve">(including reasonable attorneys' fees), or claims for injury or damages</w:t>
      </w:r>
      <w:r>
        <w:t xml:space="preserve"> </w:t>
      </w:r>
      <w:r>
        <w:t xml:space="preserve">arising out of the performance of this Agreement, but only in proportion</w:t>
      </w:r>
      <w:r>
        <w:t xml:space="preserve"> </w:t>
      </w:r>
      <w:r>
        <w:t xml:space="preserve">to and to the extent such liability, loss, expense, attorneys' fees, or</w:t>
      </w:r>
      <w:r>
        <w:t xml:space="preserve"> </w:t>
      </w:r>
      <w:r>
        <w:t xml:space="preserve">claims for injury or damages are caused by or result from the negligent</w:t>
      </w:r>
      <w:r>
        <w:t xml:space="preserve"> </w:t>
      </w:r>
      <w:r>
        <w:t xml:space="preserve">or intentional acts or omissions of SEE, its officers, agents, or</w:t>
      </w:r>
      <w:r>
        <w:t xml:space="preserve"> </w:t>
      </w:r>
      <w:r>
        <w:t xml:space="preserve">employees.</w:t>
      </w:r>
    </w:p>
    <w:p>
      <w:pPr>
        <w:pStyle w:val="BodyText"/>
      </w:pPr>
      <w:r>
        <w:t xml:space="preserve">     </w:t>
      </w:r>
      <w:r>
        <w:rPr>
          <w:b/>
        </w:rPr>
        <w:t xml:space="preserve">10.2 {AGENCY_ACRONYM} Indemnification.</w:t>
      </w:r>
      <w:r>
        <w:t xml:space="preserve"> </w:t>
      </w:r>
      <w:r>
        <w:t xml:space="preserve">{AGENCY_ACRONYM}</w:t>
      </w:r>
      <w:r>
        <w:t xml:space="preserve"> </w:t>
      </w:r>
      <w:r>
        <w:t xml:space="preserve">agrees to indemnify, defend, and hold SEE, its officers, employees and</w:t>
      </w:r>
      <w:r>
        <w:t xml:space="preserve"> </w:t>
      </w:r>
      <w:r>
        <w:t xml:space="preserve">agents, harmless from and against any and all liability, loss, expense</w:t>
      </w:r>
      <w:r>
        <w:t xml:space="preserve"> </w:t>
      </w:r>
      <w:r>
        <w:t xml:space="preserve">(including reasonable attorneys' fees), or claims for injury or damages</w:t>
      </w:r>
      <w:r>
        <w:t xml:space="preserve"> </w:t>
      </w:r>
      <w:r>
        <w:t xml:space="preserve">arising out of the performance of this Agreement, but only in proportion</w:t>
      </w:r>
      <w:r>
        <w:t xml:space="preserve"> </w:t>
      </w:r>
      <w:r>
        <w:t xml:space="preserve">to and to the extent such liability, loss, expense, attorneys' fees, or</w:t>
      </w:r>
      <w:r>
        <w:t xml:space="preserve"> </w:t>
      </w:r>
      <w:r>
        <w:t xml:space="preserve">claims for injury or damages are caused by or result from the negligent</w:t>
      </w:r>
      <w:r>
        <w:t xml:space="preserve"> </w:t>
      </w:r>
      <w:r>
        <w:t xml:space="preserve">or intentional acts or omissions of {AGENCY_ACRONYM}, its officers,</w:t>
      </w:r>
      <w:r>
        <w:t xml:space="preserve"> </w:t>
      </w:r>
      <w:r>
        <w:t xml:space="preserve">agents, or employees.</w:t>
      </w:r>
    </w:p>
    <w:p>
      <w:pPr>
        <w:pStyle w:val="BodyText"/>
      </w:pPr>
      <w:r>
        <w:rPr>
          <w:b/>
        </w:rPr>
        <w:t xml:space="preserve">Section 11</w:t>
      </w:r>
    </w:p>
    <w:p>
      <w:pPr>
        <w:pStyle w:val="BodyText"/>
      </w:pPr>
      <w:r>
        <w:rPr>
          <w:b/>
        </w:rPr>
        <w:t xml:space="preserve">INSURANCE</w:t>
      </w:r>
    </w:p>
    <w:p>
      <w:pPr>
        <w:pStyle w:val="BodyText"/>
      </w:pPr>
      <w:r>
        <w:t xml:space="preserve">SEE shall not commence work under this contract until it has obtained</w:t>
      </w:r>
      <w:r>
        <w:t xml:space="preserve"> </w:t>
      </w:r>
      <w:r>
        <w:t xml:space="preserve">the policies of insurance required hereunder, nor shall it allow any</w:t>
      </w:r>
      <w:r>
        <w:t xml:space="preserve"> </w:t>
      </w:r>
      <w:r>
        <w:t xml:space="preserve">subcontractor to commence work until the policies of insurance required</w:t>
      </w:r>
      <w:r>
        <w:t xml:space="preserve"> </w:t>
      </w:r>
      <w:r>
        <w:t xml:space="preserve">of the subcontractor have been obtained. SEE shall verify and confirm</w:t>
      </w:r>
      <w:r>
        <w:t xml:space="preserve"> </w:t>
      </w:r>
      <w:r>
        <w:t xml:space="preserve">proper coverage to {AGENCY_ACRONYM} standards of the subcontractors.</w:t>
      </w:r>
    </w:p>
    <w:p>
      <w:pPr>
        <w:pStyle w:val="BodyText"/>
      </w:pPr>
      <w:r>
        <w:t xml:space="preserve">SEE shall, during the life of this contract, notify {AGENCY_ACRONYM}</w:t>
      </w:r>
      <w:r>
        <w:t xml:space="preserve"> </w:t>
      </w:r>
      <w:r>
        <w:t xml:space="preserve">in writing of any incident, either under his jurisdiction, or any of his</w:t>
      </w:r>
      <w:r>
        <w:t xml:space="preserve"> </w:t>
      </w:r>
      <w:r>
        <w:t xml:space="preserve">subcontractors, giving rise to any potential Bodily Injury or Property</w:t>
      </w:r>
      <w:r>
        <w:t xml:space="preserve"> </w:t>
      </w:r>
      <w:r>
        <w:t xml:space="preserve">Damage claim and resultant settlements, whether in conjunction with this</w:t>
      </w:r>
      <w:r>
        <w:t xml:space="preserve"> </w:t>
      </w:r>
      <w:r>
        <w:t xml:space="preserve">or other project which may affect the limits of the required coverage,</w:t>
      </w:r>
      <w:r>
        <w:t xml:space="preserve"> </w:t>
      </w:r>
      <w:r>
        <w:t xml:space="preserve">as soon as is reasonable and practical.</w:t>
      </w:r>
    </w:p>
    <w:p>
      <w:pPr>
        <w:pStyle w:val="BodyText"/>
      </w:pPr>
      <w:r>
        <w:t xml:space="preserve">SEE and each of its subcontractors shall take out and maintain the</w:t>
      </w:r>
      <w:r>
        <w:t xml:space="preserve"> </w:t>
      </w:r>
      <w:r>
        <w:t xml:space="preserve">following policies of “occurrence form” (where applicable) type</w:t>
      </w:r>
      <w:r>
        <w:t xml:space="preserve"> </w:t>
      </w:r>
      <w:r>
        <w:t xml:space="preserve">insurance, with coverage and carriers acceptable to {AGENCY_ACRONYM},</w:t>
      </w:r>
      <w:r>
        <w:t xml:space="preserve"> </w:t>
      </w:r>
      <w:r>
        <w:t xml:space="preserve">at his sole cost and expense at all times during the life of this</w:t>
      </w:r>
      <w:r>
        <w:t xml:space="preserve"> </w:t>
      </w:r>
      <w:r>
        <w:t xml:space="preserve">contract, including the entire time of the SEE’s guarantee.</w:t>
      </w:r>
      <w:r>
        <w:t xml:space="preserve"> </w:t>
      </w:r>
      <w:r>
        <w:t xml:space="preserve">{AGENCY_ACRONYM} may request certificates of insurance from subcontractors to</w:t>
      </w:r>
      <w:r>
        <w:t xml:space="preserve"> </w:t>
      </w:r>
      <w:r>
        <w:t xml:space="preserve">verify proper coverage and additional named insured requirements. Such</w:t>
      </w:r>
      <w:r>
        <w:t xml:space="preserve"> </w:t>
      </w:r>
      <w:r>
        <w:t xml:space="preserve">requests shall be responded to within a reasonable time frame (48 -72</w:t>
      </w:r>
      <w:r>
        <w:t xml:space="preserve"> </w:t>
      </w:r>
      <w:r>
        <w:t xml:space="preserve">Hrs.):</w:t>
      </w:r>
    </w:p>
    <w:p>
      <w:pPr>
        <w:numPr>
          <w:ilvl w:val="0"/>
          <w:numId w:val="1004"/>
        </w:numPr>
        <w:pStyle w:val="BlockText"/>
      </w:pPr>
      <w:r>
        <w:rPr>
          <w:b/>
        </w:rPr>
        <w:t xml:space="preserve">Workers’ Compensation Insurance.</w:t>
      </w:r>
      <w:r>
        <w:t xml:space="preserve"> </w:t>
      </w:r>
      <w:r>
        <w:t xml:space="preserve">SEE shall cover</w:t>
      </w:r>
      <w:r>
        <w:t xml:space="preserve"> </w:t>
      </w:r>
      <w:r>
        <w:t xml:space="preserve">employees as required by Labor Code Section 3600, and SEE shall</w:t>
      </w:r>
      <w:r>
        <w:t xml:space="preserve"> </w:t>
      </w:r>
      <w:r>
        <w:t xml:space="preserve">require subcontractors similarly to provide such workers’</w:t>
      </w:r>
      <w:r>
        <w:t xml:space="preserve"> </w:t>
      </w:r>
      <w:r>
        <w:t xml:space="preserve">compensation insurance for subcontractors’ employees. Such policy</w:t>
      </w:r>
      <w:r>
        <w:t xml:space="preserve"> </w:t>
      </w:r>
      <w:r>
        <w:t xml:space="preserve">shall contain an endorsement which waives rights of subrogation</w:t>
      </w:r>
      <w:r>
        <w:t xml:space="preserve"> </w:t>
      </w:r>
      <w:r>
        <w:t xml:space="preserve">against {AGENCY_ACRONYM} as designated in the policy of Worker’s</w:t>
      </w:r>
      <w:r>
        <w:t xml:space="preserve"> </w:t>
      </w:r>
      <w:r>
        <w:t xml:space="preserve">Compensation Insurance. Self-insured programs or PEO programs are</w:t>
      </w:r>
      <w:r>
        <w:t xml:space="preserve"> </w:t>
      </w:r>
      <w:r>
        <w:t xml:space="preserve">generally not acceptable to {AGENCY_ACRONYM} and must be</w:t>
      </w:r>
      <w:r>
        <w:t xml:space="preserve"> </w:t>
      </w:r>
      <w:r>
        <w:t xml:space="preserve">approved by {AGENCY_ACRONYM} in advance.</w:t>
      </w:r>
    </w:p>
    <w:p>
      <w:pPr>
        <w:numPr>
          <w:ilvl w:val="0"/>
          <w:numId w:val="1004"/>
        </w:numPr>
        <w:pStyle w:val="BlockText"/>
      </w:pPr>
      <w:r>
        <w:rPr>
          <w:b/>
        </w:rPr>
        <w:t xml:space="preserve">Commercial Liability Insurance.</w:t>
      </w:r>
      <w:r>
        <w:t xml:space="preserve"> </w:t>
      </w:r>
      <w:r>
        <w:t xml:space="preserve">The SEE shall procure</w:t>
      </w:r>
      <w:r>
        <w:t xml:space="preserve"> </w:t>
      </w:r>
      <w:r>
        <w:t xml:space="preserve">and maintain Commercial General Liability Insurance in amounts not</w:t>
      </w:r>
      <w:r>
        <w:t xml:space="preserve"> </w:t>
      </w:r>
      <w:r>
        <w:t xml:space="preserve">less than the following:</w:t>
      </w:r>
    </w:p>
    <w:p>
      <w:pPr>
        <w:pStyle w:val="BlockText"/>
      </w:pPr>
      <w:r>
        <w:t xml:space="preserve">$1,000,000 Each Occurrence</w:t>
      </w:r>
    </w:p>
    <w:p>
      <w:pPr>
        <w:pStyle w:val="BlockText"/>
      </w:pPr>
      <w:r>
        <w:t xml:space="preserve">$2,000,000 General Aggregate</w:t>
      </w:r>
    </w:p>
    <w:p>
      <w:pPr>
        <w:pStyle w:val="BlockText"/>
      </w:pPr>
      <w:r>
        <w:t xml:space="preserve">The policy is to be endorsed for the aggregate limit to apply to this</w:t>
      </w:r>
      <w:r>
        <w:t xml:space="preserve"> </w:t>
      </w:r>
      <w:r>
        <w:t xml:space="preserve">contract. Where Excess liability insurance is used in connection with</w:t>
      </w:r>
      <w:r>
        <w:t xml:space="preserve"> </w:t>
      </w:r>
      <w:r>
        <w:t xml:space="preserve">primary liability insurance, the combination of such must allow total</w:t>
      </w:r>
      <w:r>
        <w:t xml:space="preserve"> </w:t>
      </w:r>
      <w:r>
        <w:t xml:space="preserve">limits of liability to be in amounts not less than the above specified</w:t>
      </w:r>
      <w:r>
        <w:t xml:space="preserve"> </w:t>
      </w:r>
      <w:r>
        <w:t xml:space="preserve">amounts.</w:t>
      </w:r>
    </w:p>
    <w:p>
      <w:pPr>
        <w:numPr>
          <w:ilvl w:val="0"/>
          <w:numId w:val="1005"/>
        </w:numPr>
        <w:pStyle w:val="BlockText"/>
      </w:pPr>
      <w:r>
        <w:rPr>
          <w:b/>
        </w:rPr>
        <w:t xml:space="preserve">Professional Liability Insurance.</w:t>
      </w:r>
      <w:r>
        <w:t xml:space="preserve"> </w:t>
      </w:r>
      <w:r>
        <w:t xml:space="preserve">SEE shall procure</w:t>
      </w:r>
      <w:r>
        <w:t xml:space="preserve"> </w:t>
      </w:r>
      <w:r>
        <w:t xml:space="preserve">and maintain Professional Liability Insurance in amounts not less</w:t>
      </w:r>
      <w:r>
        <w:t xml:space="preserve"> </w:t>
      </w:r>
      <w:r>
        <w:t xml:space="preserve">than the following:</w:t>
      </w:r>
    </w:p>
    <w:p>
      <w:pPr>
        <w:pStyle w:val="FirstParagraph"/>
      </w:pPr>
      <w:r>
        <w:t xml:space="preserve">$1,000,000 Per Claim and Annual Aggregate</w:t>
      </w:r>
    </w:p>
    <w:p>
      <w:pPr>
        <w:pStyle w:val="BodyText"/>
      </w:pPr>
      <w:r>
        <w:t xml:space="preserve">Each such policy of insurance shall:</w:t>
      </w:r>
    </w:p>
    <w:p>
      <w:pPr>
        <w:numPr>
          <w:ilvl w:val="0"/>
          <w:numId w:val="1006"/>
        </w:numPr>
        <w:pStyle w:val="BlockText"/>
      </w:pPr>
      <w:r>
        <w:t xml:space="preserve">Be produced by agent/brokers who are licensed to transact</w:t>
      </w:r>
      <w:r>
        <w:t xml:space="preserve"> </w:t>
      </w:r>
      <w:r>
        <w:t xml:space="preserve">insurance business in the State of California;</w:t>
      </w:r>
    </w:p>
    <w:p>
      <w:pPr>
        <w:numPr>
          <w:ilvl w:val="0"/>
          <w:numId w:val="1006"/>
        </w:numPr>
        <w:pStyle w:val="BlockText"/>
      </w:pPr>
      <w:r>
        <w:t xml:space="preserve">Be issued by insurance carriers which are:</w:t>
      </w:r>
    </w:p>
    <w:p>
      <w:pPr>
        <w:pStyle w:val="BlockText"/>
      </w:pPr>
      <w:r>
        <w:t xml:space="preserve">1) Licensed by the State of California to write business in this</w:t>
      </w:r>
      <w:r>
        <w:t xml:space="preserve"> </w:t>
      </w:r>
      <w:r>
        <w:t xml:space="preserve">state; and,</w:t>
      </w:r>
    </w:p>
    <w:p>
      <w:pPr>
        <w:pStyle w:val="BlockText"/>
      </w:pPr>
      <w:r>
        <w:t xml:space="preserve">2) Rated no less than “A-, Class VIII” or better by the A.M. Best</w:t>
      </w:r>
      <w:r>
        <w:t xml:space="preserve"> </w:t>
      </w:r>
      <w:r>
        <w:t xml:space="preserve">Company.</w:t>
      </w:r>
    </w:p>
    <w:p>
      <w:pPr>
        <w:pStyle w:val="BlockText"/>
      </w:pPr>
      <w:r>
        <w:t xml:space="preserve">Any insurance carrier which is strategically affiliated with a parent</w:t>
      </w:r>
      <w:r>
        <w:t xml:space="preserve"> </w:t>
      </w:r>
      <w:r>
        <w:t xml:space="preserve">insurance company or insurance group must disclose the name of the</w:t>
      </w:r>
      <w:r>
        <w:t xml:space="preserve"> </w:t>
      </w:r>
      <w:r>
        <w:t xml:space="preserve">parent company or group in any certificate of insurance documentation</w:t>
      </w:r>
      <w:r>
        <w:t xml:space="preserve"> </w:t>
      </w:r>
      <w:r>
        <w:t xml:space="preserve">provided to {AGENCY_ACRONYM}.</w:t>
      </w:r>
    </w:p>
    <w:p>
      <w:pPr>
        <w:pStyle w:val="BlockText"/>
      </w:pPr>
      <w:r>
        <w:t xml:space="preserve">Non-admitted/Surplus Lines insurance carriers (carriers not licensed</w:t>
      </w:r>
      <w:r>
        <w:t xml:space="preserve"> </w:t>
      </w:r>
      <w:r>
        <w:t xml:space="preserve">in the State of California), may be acceptable to {AGENCY_ACRONYM}</w:t>
      </w:r>
      <w:r>
        <w:t xml:space="preserve"> </w:t>
      </w:r>
      <w:r>
        <w:t xml:space="preserve">under certain conditions. Non-admitted insurance carriers providing</w:t>
      </w:r>
      <w:r>
        <w:t xml:space="preserve"> </w:t>
      </w:r>
      <w:r>
        <w:t xml:space="preserve">any form of insurance coverage must be:</w:t>
      </w:r>
    </w:p>
    <w:p>
      <w:pPr>
        <w:numPr>
          <w:ilvl w:val="0"/>
          <w:numId w:val="1007"/>
        </w:numPr>
        <w:pStyle w:val="BlockText"/>
      </w:pPr>
      <w:r>
        <w:t xml:space="preserve">Domiciled in the United States; and,</w:t>
      </w:r>
    </w:p>
    <w:p>
      <w:pPr>
        <w:numPr>
          <w:ilvl w:val="0"/>
          <w:numId w:val="1007"/>
        </w:numPr>
        <w:pStyle w:val="BlockText"/>
      </w:pPr>
      <w:r>
        <w:t xml:space="preserve">Listed as an approved insurance carrier on the California</w:t>
      </w:r>
      <w:r>
        <w:t xml:space="preserve"> </w:t>
      </w:r>
      <w:r>
        <w:t xml:space="preserve">Department of Insurance L.E.S.L.I. list; and,</w:t>
      </w:r>
    </w:p>
    <w:p>
      <w:pPr>
        <w:numPr>
          <w:ilvl w:val="0"/>
          <w:numId w:val="1007"/>
        </w:numPr>
        <w:pStyle w:val="BlockText"/>
      </w:pPr>
      <w:r>
        <w:t xml:space="preserve">Rated no less than “A-, Class VIII” or better by the A.M. Best</w:t>
      </w:r>
      <w:r>
        <w:t xml:space="preserve"> </w:t>
      </w:r>
      <w:r>
        <w:t xml:space="preserve">Company.</w:t>
      </w:r>
    </w:p>
    <w:p>
      <w:pPr>
        <w:pStyle w:val="BlockText"/>
      </w:pPr>
      <w:r>
        <w:t xml:space="preserve">{AGENCY_ACRONYM} may disqualify any non-admitted insurer at any time</w:t>
      </w:r>
      <w:r>
        <w:t xml:space="preserve"> </w:t>
      </w:r>
      <w:r>
        <w:t xml:space="preserve">without cause.</w:t>
      </w:r>
    </w:p>
    <w:p>
      <w:pPr>
        <w:numPr>
          <w:ilvl w:val="0"/>
          <w:numId w:val="1008"/>
        </w:numPr>
        <w:pStyle w:val="BlockText"/>
      </w:pPr>
      <w:r>
        <w:t xml:space="preserve">Name and list {AGENCY_ACRONYM} as “Additional Insured,” by an</w:t>
      </w:r>
      <w:r>
        <w:t xml:space="preserve"> </w:t>
      </w:r>
      <w:r>
        <w:t xml:space="preserve">endorsement executed by the insurance carrier (this requirement</w:t>
      </w:r>
      <w:r>
        <w:t xml:space="preserve"> </w:t>
      </w:r>
      <w:r>
        <w:t xml:space="preserve">does not apply to Professional Liability or Workers’ Compensation</w:t>
      </w:r>
      <w:r>
        <w:t xml:space="preserve"> </w:t>
      </w:r>
      <w:r>
        <w:t xml:space="preserve">Insurance); such endorsement shall be ISO form GC2010 (11/85ed) or</w:t>
      </w:r>
      <w:r>
        <w:t xml:space="preserve"> </w:t>
      </w:r>
      <w:r>
        <w:t xml:space="preserve">its equivalent. Any equivalent shall include the CG 2037-</w:t>
      </w:r>
      <w:r>
        <w:t xml:space="preserve"> </w:t>
      </w:r>
      <w:r>
        <w:t xml:space="preserve">completed operations in favor of {AGENCY_ACRONYM}.</w:t>
      </w:r>
    </w:p>
    <w:p>
      <w:pPr>
        <w:numPr>
          <w:ilvl w:val="0"/>
          <w:numId w:val="1008"/>
        </w:numPr>
        <w:pStyle w:val="BlockText"/>
      </w:pPr>
      <w:r>
        <w:t xml:space="preserve">Specify that it acts as primary insurance and that no insurance</w:t>
      </w:r>
      <w:r>
        <w:t xml:space="preserve"> </w:t>
      </w:r>
      <w:r>
        <w:t xml:space="preserve">held or owned by the additional insured shall be called upon to</w:t>
      </w:r>
      <w:r>
        <w:t xml:space="preserve"> </w:t>
      </w:r>
      <w:r>
        <w:t xml:space="preserve">cover a loss under said policy;</w:t>
      </w:r>
    </w:p>
    <w:p>
      <w:pPr>
        <w:numPr>
          <w:ilvl w:val="0"/>
          <w:numId w:val="1008"/>
        </w:numPr>
        <w:pStyle w:val="BlockText"/>
      </w:pPr>
      <w:r>
        <w:t xml:space="preserve">Not be canceled until thirty (30) days after receipt by</w:t>
      </w:r>
      <w:r>
        <w:t xml:space="preserve"> </w:t>
      </w:r>
      <w:r>
        <w:t xml:space="preserve">{AGENCY_ACRONYM} of a written notice of such cancellation as evidenced by</w:t>
      </w:r>
      <w:r>
        <w:t xml:space="preserve"> </w:t>
      </w:r>
      <w:r>
        <w:t xml:space="preserve">receipt of a registered letter;</w:t>
      </w:r>
    </w:p>
    <w:p>
      <w:pPr>
        <w:numPr>
          <w:ilvl w:val="0"/>
          <w:numId w:val="1008"/>
        </w:numPr>
        <w:pStyle w:val="BlockText"/>
      </w:pPr>
      <w:r>
        <w:t xml:space="preserve">Show evidence of renewal of an expiring policy once the insurance</w:t>
      </w:r>
      <w:r>
        <w:t xml:space="preserve"> </w:t>
      </w:r>
      <w:r>
        <w:t xml:space="preserve">has been approved by {AGENCY_ACRONYM}. Prior approval must be</w:t>
      </w:r>
      <w:r>
        <w:t xml:space="preserve"> </w:t>
      </w:r>
      <w:r>
        <w:t xml:space="preserve">obtained if the coverage or limits of the policy or the carrier</w:t>
      </w:r>
      <w:r>
        <w:t xml:space="preserve"> </w:t>
      </w:r>
      <w:r>
        <w:t xml:space="preserve">has changed.</w:t>
      </w:r>
    </w:p>
    <w:p>
      <w:pPr>
        <w:pStyle w:val="FirstParagraph"/>
      </w:pPr>
      <w:r>
        <w:rPr>
          <w:b/>
        </w:rPr>
        <w:t xml:space="preserve">Section 12</w:t>
      </w:r>
    </w:p>
    <w:p>
      <w:pPr>
        <w:pStyle w:val="BodyText"/>
      </w:pPr>
      <w:r>
        <w:rPr>
          <w:b/>
        </w:rPr>
        <w:t xml:space="preserve">MISCELLANEOUS</w:t>
      </w:r>
    </w:p>
    <w:p>
      <w:pPr>
        <w:pStyle w:val="BodyText"/>
      </w:pPr>
      <w:r>
        <w:t xml:space="preserve">     </w:t>
      </w:r>
      <w:r>
        <w:rPr>
          <w:b/>
        </w:rPr>
        <w:t xml:space="preserve">12.1 Governing Law and Forum.</w:t>
      </w:r>
      <w:r>
        <w:t xml:space="preserve"> </w:t>
      </w:r>
      <w:r>
        <w:t xml:space="preserve">This Agreement shall be governed</w:t>
      </w:r>
      <w:r>
        <w:t xml:space="preserve"> </w:t>
      </w:r>
      <w:r>
        <w:t xml:space="preserve">in all respects by the laws of the State of California without regard to</w:t>
      </w:r>
      <w:r>
        <w:t xml:space="preserve"> </w:t>
      </w:r>
      <w:r>
        <w:t xml:space="preserve">conflicts of law principles. All disputes arising under this Agreement</w:t>
      </w:r>
      <w:r>
        <w:t xml:space="preserve"> </w:t>
      </w:r>
      <w:r>
        <w:t xml:space="preserve">shall be brought, as permitted by law, in the state courts in the State</w:t>
      </w:r>
      <w:r>
        <w:t xml:space="preserve"> </w:t>
      </w:r>
      <w:r>
        <w:t xml:space="preserve">of California. Such courts shall have exclusive jurisdiction over</w:t>
      </w:r>
      <w:r>
        <w:t xml:space="preserve"> </w:t>
      </w:r>
      <w:r>
        <w:t xml:space="preserve">disputes under this Agreement. Each party consents to the personal</w:t>
      </w:r>
      <w:r>
        <w:t xml:space="preserve"> </w:t>
      </w:r>
      <w:r>
        <w:t xml:space="preserve">jurisdiction of the above courts.</w:t>
      </w:r>
    </w:p>
    <w:p>
      <w:pPr>
        <w:pStyle w:val="BodyText"/>
      </w:pPr>
      <w:r>
        <w:t xml:space="preserve">     </w:t>
      </w:r>
      <w:r>
        <w:rPr>
          <w:b/>
        </w:rPr>
        <w:t xml:space="preserve">12.2 Force Majeure.</w:t>
      </w:r>
      <w:r>
        <w:t xml:space="preserve"> </w:t>
      </w:r>
      <w:r>
        <w:t xml:space="preserve">SEE shall be excused from performance</w:t>
      </w:r>
      <w:r>
        <w:t xml:space="preserve"> </w:t>
      </w:r>
      <w:r>
        <w:t xml:space="preserve">required under this Agreement if such performance is rendered impossible</w:t>
      </w:r>
      <w:r>
        <w:t xml:space="preserve"> </w:t>
      </w:r>
      <w:r>
        <w:t xml:space="preserve">or unfeasible due to any events beyond its reasonable control, including</w:t>
      </w:r>
      <w:r>
        <w:t xml:space="preserve"> </w:t>
      </w:r>
      <w:r>
        <w:t xml:space="preserve">without limitation to: war, riot, natural disasters, weather, labor</w:t>
      </w:r>
      <w:r>
        <w:t xml:space="preserve"> </w:t>
      </w:r>
      <w:r>
        <w:t xml:space="preserve">disputes or strike, acts of governmental officials or agencies, or any</w:t>
      </w:r>
      <w:r>
        <w:t xml:space="preserve"> </w:t>
      </w:r>
      <w:r>
        <w:t xml:space="preserve">other cause beyond the reasonable control of SEE. The excusable delay</w:t>
      </w:r>
      <w:r>
        <w:t xml:space="preserve"> </w:t>
      </w:r>
      <w:r>
        <w:t xml:space="preserve">is allowed for the period of time affected by the delay, and the parties</w:t>
      </w:r>
      <w:r>
        <w:t xml:space="preserve"> </w:t>
      </w:r>
      <w:r>
        <w:t xml:space="preserve">will revise the Analytics performance or other provisions hereunder as</w:t>
      </w:r>
      <w:r>
        <w:t xml:space="preserve"> </w:t>
      </w:r>
      <w:r>
        <w:t xml:space="preserve">appropriate.</w:t>
      </w:r>
    </w:p>
    <w:p>
      <w:pPr>
        <w:pStyle w:val="BodyText"/>
      </w:pPr>
      <w:r>
        <w:t xml:space="preserve">     </w:t>
      </w:r>
      <w:r>
        <w:rPr>
          <w:b/>
        </w:rPr>
        <w:t xml:space="preserve">12.3 Severability.</w:t>
      </w:r>
      <w:r>
        <w:t xml:space="preserve"> </w:t>
      </w:r>
      <w:r>
        <w:t xml:space="preserve">In the event that any provision of this</w:t>
      </w:r>
      <w:r>
        <w:t xml:space="preserve"> </w:t>
      </w:r>
      <w:r>
        <w:t xml:space="preserve">Agreement becomes or is declared by a court of competent jurisdiction to</w:t>
      </w:r>
      <w:r>
        <w:t xml:space="preserve"> </w:t>
      </w:r>
      <w:r>
        <w:t xml:space="preserve">be illegal, unenforceable or void, such unenforceability or invalidity</w:t>
      </w:r>
      <w:r>
        <w:t xml:space="preserve"> </w:t>
      </w:r>
      <w:r>
        <w:t xml:space="preserve">shall not render this Agreement unenforceable or invalid as a whole.</w:t>
      </w:r>
    </w:p>
    <w:p>
      <w:pPr>
        <w:pStyle w:val="BodyText"/>
      </w:pPr>
      <w:r>
        <w:t xml:space="preserve">     </w:t>
      </w:r>
      <w:r>
        <w:rPr>
          <w:b/>
        </w:rPr>
        <w:t xml:space="preserve">12.4 Headings.</w:t>
      </w:r>
      <w:r>
        <w:t xml:space="preserve"> </w:t>
      </w:r>
      <w:r>
        <w:t xml:space="preserve">The section headings appearing in this Agreement</w:t>
      </w:r>
      <w:r>
        <w:t xml:space="preserve"> </w:t>
      </w:r>
      <w:r>
        <w:t xml:space="preserve">are inserted only as a matter of convenience and in no way define,</w:t>
      </w:r>
      <w:r>
        <w:t xml:space="preserve"> </w:t>
      </w:r>
      <w:r>
        <w:t xml:space="preserve">limit, construe, or describe the scope or extent of such section or in</w:t>
      </w:r>
      <w:r>
        <w:t xml:space="preserve"> </w:t>
      </w:r>
      <w:r>
        <w:t xml:space="preserve">any way affect this Agreement.</w:t>
      </w:r>
    </w:p>
    <w:p>
      <w:pPr>
        <w:pStyle w:val="BodyText"/>
      </w:pPr>
      <w:r>
        <w:t xml:space="preserve">     </w:t>
      </w:r>
      <w:r>
        <w:rPr>
          <w:b/>
        </w:rPr>
        <w:t xml:space="preserve">11.5 Assignment.</w:t>
      </w:r>
      <w:r>
        <w:t xml:space="preserve"> </w:t>
      </w:r>
      <w:r>
        <w:t xml:space="preserve">Neither party may delegate, assign or transfer</w:t>
      </w:r>
      <w:r>
        <w:t xml:space="preserve"> </w:t>
      </w:r>
      <w:r>
        <w:t xml:space="preserve">this Agreement, the rights or duties hereunder without the other party’s</w:t>
      </w:r>
      <w:r>
        <w:t xml:space="preserve"> </w:t>
      </w:r>
      <w:r>
        <w:t xml:space="preserve">express prior written consent. Notwithstanding the foregoing,</w:t>
      </w:r>
      <w:r>
        <w:t xml:space="preserve"> </w:t>
      </w:r>
      <w:r>
        <w:t xml:space="preserve">{AGENCY_ACRONYM} may assign this Agreement without SEE's prior written consent</w:t>
      </w:r>
      <w:r>
        <w:t xml:space="preserve"> </w:t>
      </w:r>
      <w:r>
        <w:t xml:space="preserve">in the event of a merger, reorganization or acquisition of</w:t>
      </w:r>
      <w:r>
        <w:t xml:space="preserve"> </w:t>
      </w:r>
      <w:r>
        <w:t xml:space="preserve">{AGENCY_ACRONYM} in which {AGENCY_ACRONYM} is the surviving entity.</w:t>
      </w:r>
    </w:p>
    <w:p>
      <w:pPr>
        <w:pStyle w:val="BodyText"/>
      </w:pPr>
      <w:r>
        <w:t xml:space="preserve">     </w:t>
      </w:r>
      <w:r>
        <w:rPr>
          <w:b/>
        </w:rPr>
        <w:t xml:space="preserve">12.6 Entire Agreement and Modification.</w:t>
      </w:r>
      <w:r>
        <w:t xml:space="preserve"> </w:t>
      </w:r>
      <w:r>
        <w:t xml:space="preserve">This Agreement</w:t>
      </w:r>
      <w:r>
        <w:t xml:space="preserve"> </w:t>
      </w:r>
      <w:r>
        <w:t xml:space="preserve">constitutes the entire agreement between {AGENCY_ACRONYM} and SEE and</w:t>
      </w:r>
      <w:r>
        <w:t xml:space="preserve"> </w:t>
      </w:r>
      <w:r>
        <w:t xml:space="preserve">supersedes in their entirety any and all oral or written agreements</w:t>
      </w:r>
      <w:r>
        <w:t xml:space="preserve"> </w:t>
      </w:r>
      <w:r>
        <w:t xml:space="preserve">previously existing between {AGENCY_ACRONYM} and SEE with respect to</w:t>
      </w:r>
      <w:r>
        <w:t xml:space="preserve"> </w:t>
      </w:r>
      <w:r>
        <w:t xml:space="preserve">the subject matter. The terms and conditions of any purchase order or</w:t>
      </w:r>
      <w:r>
        <w:t xml:space="preserve"> </w:t>
      </w:r>
      <w:r>
        <w:t xml:space="preserve">other instrument issued by {AGENCY_ACRONYM} in connection with this</w:t>
      </w:r>
      <w:r>
        <w:t xml:space="preserve"> </w:t>
      </w:r>
      <w:r>
        <w:t xml:space="preserve">Agreement which add to or differ from the terms and conditions of this</w:t>
      </w:r>
      <w:r>
        <w:t xml:space="preserve"> </w:t>
      </w:r>
      <w:r>
        <w:t xml:space="preserve">Agreement shall be of no force or effect. This Agreement may only be</w:t>
      </w:r>
      <w:r>
        <w:t xml:space="preserve"> </w:t>
      </w:r>
      <w:r>
        <w:t xml:space="preserve">amended or supplemented by a writing that refers explicitly to this</w:t>
      </w:r>
      <w:r>
        <w:t xml:space="preserve"> </w:t>
      </w:r>
      <w:r>
        <w:t xml:space="preserve">Agreement and that is signed by duly authorized representatives of</w:t>
      </w:r>
      <w:r>
        <w:t xml:space="preserve"> </w:t>
      </w:r>
      <w:r>
        <w:t xml:space="preserve">{AGENCY_ACRONYM} and SEE. In the event of any conflict between the</w:t>
      </w:r>
      <w:r>
        <w:t xml:space="preserve"> </w:t>
      </w:r>
      <w:r>
        <w:t xml:space="preserve">terms and conditions set forth in this Agreement and the Exhibits, the</w:t>
      </w:r>
      <w:r>
        <w:t xml:space="preserve"> </w:t>
      </w:r>
      <w:r>
        <w:t xml:space="preserve">parties agree that the terms and conditions of the Agreement shall take</w:t>
      </w:r>
      <w:r>
        <w:t xml:space="preserve"> </w:t>
      </w:r>
      <w:r>
        <w:t xml:space="preserve">precedence.</w:t>
      </w:r>
    </w:p>
    <w:p>
      <w:pPr>
        <w:pStyle w:val="BodyText"/>
      </w:pPr>
      <w:r>
        <w:rPr>
          <w:b/>
        </w:rPr>
        <w:t xml:space="preserve">12.7 No Third Party Beneficiaries</w:t>
      </w:r>
      <w:r>
        <w:t xml:space="preserve">. The parties do not intend to</w:t>
      </w:r>
      <w:r>
        <w:t xml:space="preserve"> </w:t>
      </w:r>
      <w:r>
        <w:t xml:space="preserve">create rights in, or to grant remedies to, any third party as a</w:t>
      </w:r>
      <w:r>
        <w:t xml:space="preserve"> </w:t>
      </w:r>
      <w:r>
        <w:t xml:space="preserve">beneficiary of this Agreement or of any duty, covenant, obligation, or</w:t>
      </w:r>
      <w:r>
        <w:t xml:space="preserve"> </w:t>
      </w:r>
      <w:r>
        <w:t xml:space="preserve">undertaking established in this Agreement.</w:t>
      </w:r>
    </w:p>
    <w:p>
      <w:pPr>
        <w:pStyle w:val="BodyText"/>
      </w:pPr>
      <w:r>
        <w:t xml:space="preserve">IN WITNESS WHEREOF, the parties have caused this Agreement to be</w:t>
      </w:r>
      <w:r>
        <w:t xml:space="preserve"> </w:t>
      </w:r>
      <w:r>
        <w:t xml:space="preserve">executed by their duly authorized representatives.</w:t>
      </w:r>
    </w:p>
    <w:tbl>
      <w:tblPr>
        <w:tblStyle w:val="Table"/>
        <w:tblW w:type="pct" w:w="0.0"/>
        <w:tblLook w:firstRow="1" w:lastRow="0" w:firstColumn="0" w:lastColumn="0" w:noHBand="0" w:noVBand="0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SEE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{FULL_AGENCY_NAME}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By:</w:t>
            </w:r>
          </w:p>
        </w:tc>
        <w:tc>
          <w:p>
            <w:pPr>
              <w:pStyle w:val="Compact"/>
              <w:jc w:val="left"/>
            </w:pPr>
            <w:r>
              <w:t xml:space="preserve">By: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Name: Jennifer Hoffman</w:t>
            </w:r>
          </w:p>
        </w:tc>
        <w:tc>
          <w:p>
            <w:pPr>
              <w:pStyle w:val="Compact"/>
              <w:jc w:val="left"/>
            </w:pPr>
            <w:r>
              <w:t xml:space="preserve">Name: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Title: Executive Director</w:t>
            </w:r>
          </w:p>
        </w:tc>
        <w:tc>
          <w:p>
            <w:pPr>
              <w:pStyle w:val="Compact"/>
              <w:jc w:val="left"/>
            </w:pPr>
            <w:r>
              <w:t xml:space="preserve">Title: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Date:</w:t>
            </w:r>
          </w:p>
        </w:tc>
        <w:tc>
          <w:p>
            <w:pPr>
              <w:pStyle w:val="Compact"/>
              <w:jc w:val="left"/>
            </w:pPr>
            <w:r>
              <w:t xml:space="preserve">Date:</w:t>
            </w:r>
          </w:p>
        </w:tc>
      </w:tr>
    </w:tbl>
    <w:p>
      <w:pPr>
        <w:pStyle w:val="BodyText"/>
      </w:pPr>
      <w:r>
        <w:rPr>
          <w:b/>
        </w:rPr>
        <w:t xml:space="preserve">EXHIBIT A</w:t>
      </w:r>
    </w:p>
    <w:p>
      <w:pPr>
        <w:pStyle w:val="BodyText"/>
      </w:pPr>
      <w:r>
        <w:rPr>
          <w:b/>
        </w:rPr>
        <w:t xml:space="preserve">CaDC Fiscal Year 2020-2021 Common Scope of Analytics</w:t>
      </w:r>
    </w:p>
    <w:p>
      <w:pPr>
        <w:pStyle w:val="BodyText"/>
      </w:pPr>
      <w:r>
        <w:t xml:space="preserve">This document summarizes the California Data Collaborative (CaDC) scope</w:t>
      </w:r>
      <w:r>
        <w:t xml:space="preserve"> </w:t>
      </w:r>
      <w:r>
        <w:t xml:space="preserve">of work for the fiscal year 2020-21. This coming year will continue to</w:t>
      </w:r>
      <w:r>
        <w:t xml:space="preserve"> </w:t>
      </w:r>
      <w:r>
        <w:t xml:space="preserve">build on progress made since the founding of the CaDC in January 2016.</w:t>
      </w:r>
      <w:r>
        <w:t xml:space="preserve"> </w:t>
      </w:r>
      <w:r>
        <w:t xml:space="preserve">In these three years, the project has established a firm organizational</w:t>
      </w:r>
      <w:r>
        <w:t xml:space="preserve"> </w:t>
      </w:r>
      <w:r>
        <w:t xml:space="preserve">foundation that supports continued growth and development.</w:t>
      </w:r>
    </w:p>
    <w:p>
      <w:pPr>
        <w:pStyle w:val="BodyText"/>
      </w:pPr>
      <w:r>
        <w:t xml:space="preserve">The foundation of the CaDC is discussed below to emphasize a baseline</w:t>
      </w:r>
      <w:r>
        <w:t xml:space="preserve"> </w:t>
      </w:r>
      <w:r>
        <w:t xml:space="preserve">level of services provided with every CaDC membership. The FY 20-21</w:t>
      </w:r>
      <w:r>
        <w:t xml:space="preserve"> </w:t>
      </w:r>
      <w:r>
        <w:t xml:space="preserve">scope of work thus includes work required to operate and maintain the</w:t>
      </w:r>
      <w:r>
        <w:t xml:space="preserve"> </w:t>
      </w:r>
      <w:r>
        <w:t xml:space="preserve">foundational services described below as well as work required to</w:t>
      </w:r>
      <w:r>
        <w:t xml:space="preserve"> </w:t>
      </w:r>
      <w:r>
        <w:t xml:space="preserve">provide new benefits and improve on existing offerings.</w:t>
      </w:r>
    </w:p>
    <w:p>
      <w:pPr>
        <w:pStyle w:val="BodyText"/>
      </w:pPr>
      <w:r>
        <w:t xml:space="preserve">The foundation of the CaDC includes:</w:t>
      </w:r>
    </w:p>
    <w:p>
      <w:pPr>
        <w:numPr>
          <w:ilvl w:val="0"/>
          <w:numId w:val="1009"/>
        </w:numPr>
        <w:pStyle w:val="BlockText"/>
      </w:pPr>
      <w:r>
        <w:t xml:space="preserve">A governance structure centered on a Steering Committee composed</w:t>
      </w:r>
      <w:r>
        <w:t xml:space="preserve"> </w:t>
      </w:r>
      <w:r>
        <w:t xml:space="preserve">of representatives of each CaDC member agency. The Steering</w:t>
      </w:r>
      <w:r>
        <w:t xml:space="preserve"> </w:t>
      </w:r>
      <w:r>
        <w:t xml:space="preserve">Committee meets quarterly and sets the overall direction for the</w:t>
      </w:r>
      <w:r>
        <w:t xml:space="preserve"> </w:t>
      </w:r>
      <w:r>
        <w:t xml:space="preserve">CaDC and has final say over the organization’s actions.</w:t>
      </w:r>
    </w:p>
    <w:p>
      <w:pPr>
        <w:numPr>
          <w:ilvl w:val="0"/>
          <w:numId w:val="1009"/>
        </w:numPr>
        <w:pStyle w:val="BlockText"/>
      </w:pPr>
      <w:r>
        <w:t xml:space="preserve">Active working groups - known as “Data Action Teams” - focused on</w:t>
      </w:r>
      <w:r>
        <w:t xml:space="preserve"> </w:t>
      </w:r>
      <w:r>
        <w:t xml:space="preserve">subject areas such as water use efficiency, finance, and business</w:t>
      </w:r>
      <w:r>
        <w:t xml:space="preserve"> </w:t>
      </w:r>
      <w:r>
        <w:t xml:space="preserve">development. These Data Action Teams form the on-the-ground heart</w:t>
      </w:r>
      <w:r>
        <w:t xml:space="preserve"> </w:t>
      </w:r>
      <w:r>
        <w:t xml:space="preserve">of the CaDC where analytical tools and other work products are</w:t>
      </w:r>
      <w:r>
        <w:t xml:space="preserve"> </w:t>
      </w:r>
      <w:r>
        <w:t xml:space="preserve">designed and tested.</w:t>
      </w:r>
    </w:p>
    <w:p>
      <w:pPr>
        <w:numPr>
          <w:ilvl w:val="0"/>
          <w:numId w:val="1009"/>
        </w:numPr>
        <w:pStyle w:val="BlockText"/>
      </w:pPr>
      <w:r>
        <w:t xml:space="preserve">Dedicated project staff with expertise in software development and</w:t>
      </w:r>
      <w:r>
        <w:t xml:space="preserve"> </w:t>
      </w:r>
      <w:r>
        <w:t xml:space="preserve">applied analytical problem solving. CaDC staff operate and</w:t>
      </w:r>
      <w:r>
        <w:t xml:space="preserve"> </w:t>
      </w:r>
      <w:r>
        <w:t xml:space="preserve">maintain data infrastructure, develop and deploy analytical tools,</w:t>
      </w:r>
      <w:r>
        <w:t xml:space="preserve"> </w:t>
      </w:r>
      <w:r>
        <w:t xml:space="preserve">and engage in direct problem-solving sessions tailored to the</w:t>
      </w:r>
      <w:r>
        <w:t xml:space="preserve"> </w:t>
      </w:r>
      <w:r>
        <w:t xml:space="preserve">needs of each agency.</w:t>
      </w:r>
    </w:p>
    <w:p>
      <w:pPr>
        <w:numPr>
          <w:ilvl w:val="0"/>
          <w:numId w:val="1009"/>
        </w:numPr>
        <w:pStyle w:val="BlockText"/>
      </w:pPr>
      <w:r>
        <w:t xml:space="preserve">State-of-the-art data platform for the integration of metered</w:t>
      </w:r>
      <w:r>
        <w:t xml:space="preserve"> </w:t>
      </w:r>
      <w:r>
        <w:t xml:space="preserve">water use and rebate participation data. Agency data is pulled</w:t>
      </w:r>
      <w:r>
        <w:t xml:space="preserve"> </w:t>
      </w:r>
      <w:r>
        <w:t xml:space="preserve">into the CaDC data platform where it is standardized and enriched</w:t>
      </w:r>
      <w:r>
        <w:t xml:space="preserve"> </w:t>
      </w:r>
      <w:r>
        <w:t xml:space="preserve">with additional context like evapotranspiration and demographic</w:t>
      </w:r>
      <w:r>
        <w:t xml:space="preserve"> </w:t>
      </w:r>
      <w:r>
        <w:t xml:space="preserve">data from the American Community Survey.</w:t>
      </w:r>
    </w:p>
    <w:p>
      <w:pPr>
        <w:numPr>
          <w:ilvl w:val="0"/>
          <w:numId w:val="1009"/>
        </w:numPr>
        <w:pStyle w:val="BlockText"/>
      </w:pPr>
      <w:r>
        <w:t xml:space="preserve">Software tools to inform planning and analysis. CaDC tools make</w:t>
      </w:r>
      <w:r>
        <w:t xml:space="preserve"> </w:t>
      </w:r>
      <w:r>
        <w:t xml:space="preserve">use of agency and external data to assist staff with tasks like</w:t>
      </w:r>
      <w:r>
        <w:t xml:space="preserve"> </w:t>
      </w:r>
      <w:r>
        <w:t xml:space="preserve">understanding water efficiency in their service area, analyzing</w:t>
      </w:r>
      <w:r>
        <w:t xml:space="preserve"> </w:t>
      </w:r>
      <w:r>
        <w:t xml:space="preserve">the water savings of water efficiency rebates, and forecasting the</w:t>
      </w:r>
      <w:r>
        <w:t xml:space="preserve"> </w:t>
      </w:r>
      <w:r>
        <w:t xml:space="preserve">impact of water rate changes.</w:t>
      </w:r>
    </w:p>
    <w:p>
      <w:pPr>
        <w:numPr>
          <w:ilvl w:val="0"/>
          <w:numId w:val="1009"/>
        </w:numPr>
        <w:pStyle w:val="BlockText"/>
      </w:pPr>
      <w:r>
        <w:t xml:space="preserve">Unique inter-agency database of cleaned and standardized metered</w:t>
      </w:r>
      <w:r>
        <w:t xml:space="preserve"> </w:t>
      </w:r>
      <w:r>
        <w:t xml:space="preserve">water use and rebate participation data. These data allow</w:t>
      </w:r>
      <w:r>
        <w:t xml:space="preserve"> </w:t>
      </w:r>
      <w:r>
        <w:t xml:space="preserve">researchers from world class institutions to advance the state of</w:t>
      </w:r>
      <w:r>
        <w:t xml:space="preserve"> </w:t>
      </w:r>
      <w:r>
        <w:t xml:space="preserve">knowledge in the water industry. The scope and diversity of CaDC</w:t>
      </w:r>
      <w:r>
        <w:t xml:space="preserve"> </w:t>
      </w:r>
      <w:r>
        <w:t xml:space="preserve">membership makes this a particularly effective data set for</w:t>
      </w:r>
      <w:r>
        <w:t xml:space="preserve"> </w:t>
      </w:r>
      <w:r>
        <w:t xml:space="preserve">investigating issues like pricing, messaging, and the</w:t>
      </w:r>
      <w:r>
        <w:t xml:space="preserve"> </w:t>
      </w:r>
      <w:r>
        <w:t xml:space="preserve">effectiveness of water efficiency programs.</w:t>
      </w:r>
    </w:p>
    <w:p>
      <w:pPr>
        <w:pStyle w:val="FirstParagraph"/>
      </w:pPr>
      <w:r>
        <w:t xml:space="preserve">In addition to the foundational work of the CaDC listed above, specific</w:t>
      </w:r>
      <w:r>
        <w:t xml:space="preserve"> </w:t>
      </w:r>
      <w:r>
        <w:t xml:space="preserve">projects are selected by the membership each year as priority focus</w:t>
      </w:r>
      <w:r>
        <w:t xml:space="preserve"> </w:t>
      </w:r>
      <w:r>
        <w:t xml:space="preserve">areas. This year’s scope of work continues the primary focus areas from</w:t>
      </w:r>
      <w:r>
        <w:t xml:space="preserve"> </w:t>
      </w:r>
      <w:r>
        <w:t xml:space="preserve">the previous year:</w:t>
      </w:r>
    </w:p>
    <w:p>
      <w:pPr>
        <w:numPr>
          <w:ilvl w:val="0"/>
          <w:numId w:val="1010"/>
        </w:numPr>
        <w:pStyle w:val="BlockText"/>
      </w:pPr>
      <w:r>
        <w:t xml:space="preserve">Streamlining statewide data reporting</w:t>
      </w:r>
    </w:p>
    <w:p>
      <w:pPr>
        <w:numPr>
          <w:ilvl w:val="0"/>
          <w:numId w:val="1010"/>
        </w:numPr>
        <w:pStyle w:val="BlockText"/>
      </w:pPr>
      <w:r>
        <w:t xml:space="preserve">Applied research partnerships</w:t>
      </w:r>
    </w:p>
    <w:p>
      <w:pPr>
        <w:numPr>
          <w:ilvl w:val="0"/>
          <w:numId w:val="1010"/>
        </w:numPr>
        <w:pStyle w:val="BlockText"/>
      </w:pPr>
      <w:r>
        <w:t xml:space="preserve">Empowering management decisions with CaDC analytical tools</w:t>
      </w:r>
    </w:p>
    <w:p>
      <w:pPr>
        <w:pStyle w:val="FirstParagraph"/>
      </w:pPr>
      <w:r>
        <w:t xml:space="preserve">The first of these is a newer focus area that has increased in</w:t>
      </w:r>
      <w:r>
        <w:t xml:space="preserve"> </w:t>
      </w:r>
      <w:r>
        <w:t xml:space="preserve">importance alongside the administrative burden placed on local agencies</w:t>
      </w:r>
      <w:r>
        <w:t xml:space="preserve"> </w:t>
      </w:r>
      <w:r>
        <w:t xml:space="preserve">by regulatory bodies. The other two were chosen as focus areas in order</w:t>
      </w:r>
      <w:r>
        <w:t xml:space="preserve"> </w:t>
      </w:r>
      <w:r>
        <w:t xml:space="preserve">to capitalize on previous investments and increase effectiveness in two</w:t>
      </w:r>
      <w:r>
        <w:t xml:space="preserve"> </w:t>
      </w:r>
      <w:r>
        <w:t xml:space="preserve">of the CaDC’s core competencies.</w:t>
      </w:r>
    </w:p>
    <w:p>
      <w:pPr>
        <w:pStyle w:val="BodyText"/>
      </w:pPr>
      <w:r>
        <w:rPr>
          <w:b/>
        </w:rPr>
        <w:t xml:space="preserve">Streamlining Statewide Data Reporting</w:t>
      </w:r>
    </w:p>
    <w:p>
      <w:pPr>
        <w:pStyle w:val="BodyText"/>
      </w:pPr>
      <w:r>
        <w:t xml:space="preserve">During FY 19-20, the CaDC conducted interviews with staff from both</w:t>
      </w:r>
      <w:r>
        <w:t xml:space="preserve"> </w:t>
      </w:r>
      <w:r>
        <w:t xml:space="preserve">local and state agencies to gain a deeper understanding of the current</w:t>
      </w:r>
      <w:r>
        <w:t xml:space="preserve"> </w:t>
      </w:r>
      <w:r>
        <w:t xml:space="preserve">system of water data reporting, including elicitation of the limitations</w:t>
      </w:r>
      <w:r>
        <w:t xml:space="preserve"> </w:t>
      </w:r>
      <w:r>
        <w:t xml:space="preserve">of the current reporting system. These limitation have been outlined in</w:t>
      </w:r>
      <w:r>
        <w:t xml:space="preserve"> </w:t>
      </w:r>
      <w:r>
        <w:t xml:space="preserve">a draft whitepaper “A Human-Centered Approach to Streamline Water Data</w:t>
      </w:r>
      <w:r>
        <w:t xml:space="preserve"> </w:t>
      </w:r>
      <w:r>
        <w:t xml:space="preserve">Reporting</w:t>
      </w:r>
    </w:p>
    <w:p>
      <w:pPr>
        <w:pStyle w:val="BodyText"/>
      </w:pPr>
      <w:r>
        <w:t xml:space="preserve">in California” alongside recommendations for how to move the reporting</w:t>
      </w:r>
      <w:r>
        <w:t xml:space="preserve"> </w:t>
      </w:r>
      <w:r>
        <w:t xml:space="preserve">ecosystem forward to achieve better outcomes for all stakeholders.</w:t>
      </w:r>
    </w:p>
    <w:p>
      <w:pPr>
        <w:pStyle w:val="BodyText"/>
      </w:pPr>
      <w:r>
        <w:t xml:space="preserve">In FY20-21, the CaDC will continue to advance the interests of its</w:t>
      </w:r>
      <w:r>
        <w:t xml:space="preserve"> </w:t>
      </w:r>
      <w:r>
        <w:t xml:space="preserve">members for streamlined reporting by building on the work in the</w:t>
      </w:r>
      <w:r>
        <w:t xml:space="preserve"> </w:t>
      </w:r>
      <w:r>
        <w:t xml:space="preserve">previous year. The most ambitious path outlined in the whitepaper is for</w:t>
      </w:r>
      <w:r>
        <w:t xml:space="preserve"> </w:t>
      </w:r>
      <w:r>
        <w:t xml:space="preserve">the creation of a new reporting platform to centralize data submission</w:t>
      </w:r>
      <w:r>
        <w:t xml:space="preserve"> </w:t>
      </w:r>
      <w:r>
        <w:t xml:space="preserve">related to urban supply and demand. While the creation of this platform</w:t>
      </w:r>
      <w:r>
        <w:t xml:space="preserve"> </w:t>
      </w:r>
      <w:r>
        <w:t xml:space="preserve">is outside this scope of work, the CaDC will pursue outside funding from</w:t>
      </w:r>
      <w:r>
        <w:t xml:space="preserve"> </w:t>
      </w:r>
      <w:r>
        <w:t xml:space="preserve">foundation, state, and federal sources to enable the design and</w:t>
      </w:r>
      <w:r>
        <w:t xml:space="preserve"> </w:t>
      </w:r>
      <w:r>
        <w:t xml:space="preserve">development needed to realize this vision. The CaDC will also continue</w:t>
      </w:r>
      <w:r>
        <w:t xml:space="preserve"> </w:t>
      </w:r>
      <w:r>
        <w:t xml:space="preserve">to serve as technical advisors for efforts to streamline reporting by</w:t>
      </w:r>
      <w:r>
        <w:t xml:space="preserve"> </w:t>
      </w:r>
      <w:r>
        <w:t xml:space="preserve">leveraging our technology, design, and domain expertise, including by</w:t>
      </w:r>
      <w:r>
        <w:t xml:space="preserve"> </w:t>
      </w:r>
      <w:r>
        <w:t xml:space="preserve">participating in state working groups and contributing to work led by</w:t>
      </w:r>
      <w:r>
        <w:t xml:space="preserve"> </w:t>
      </w:r>
      <w:r>
        <w:t xml:space="preserve">other nonprofit water industry organizations.</w:t>
      </w:r>
    </w:p>
    <w:p>
      <w:pPr>
        <w:pStyle w:val="BodyText"/>
      </w:pPr>
      <w:r>
        <w:t xml:space="preserve">The CaDC will explore options to integrate landscape area data gathered</w:t>
      </w:r>
      <w:r>
        <w:t xml:space="preserve"> </w:t>
      </w:r>
      <w:r>
        <w:t xml:space="preserve">by the state as part of SB606 &amp; AB1668 into CaDC Analytics, as well as</w:t>
      </w:r>
      <w:r>
        <w:t xml:space="preserve"> </w:t>
      </w:r>
      <w:r>
        <w:t xml:space="preserve">supporting CaDC members with understanding and using the data for their</w:t>
      </w:r>
      <w:r>
        <w:t xml:space="preserve"> </w:t>
      </w:r>
      <w:r>
        <w:t xml:space="preserve">service area.</w:t>
      </w:r>
    </w:p>
    <w:p>
      <w:pPr>
        <w:pStyle w:val="BodyText"/>
      </w:pPr>
      <w:r>
        <w:t xml:space="preserve">In addition to state reporting, the CaDC will also continue to develop</w:t>
      </w:r>
      <w:r>
        <w:t xml:space="preserve"> </w:t>
      </w:r>
      <w:r>
        <w:t xml:space="preserve">ways to streamline the sharing of secure, anonymized data from retailers</w:t>
      </w:r>
      <w:r>
        <w:t xml:space="preserve"> </w:t>
      </w:r>
      <w:r>
        <w:t xml:space="preserve">to wholesalers. This is discussed further below.</w:t>
      </w:r>
    </w:p>
    <w:p>
      <w:pPr>
        <w:pStyle w:val="BodyText"/>
      </w:pPr>
      <w:r>
        <w:t xml:space="preserve">Specific items include:</w:t>
      </w:r>
    </w:p>
    <w:p>
      <w:pPr>
        <w:numPr>
          <w:ilvl w:val="0"/>
          <w:numId w:val="1011"/>
        </w:numPr>
        <w:pStyle w:val="BlockText"/>
      </w:pPr>
      <w:r>
        <w:t xml:space="preserve">Continue user research to understand the current ecosystem for</w:t>
      </w:r>
      <w:r>
        <w:t xml:space="preserve"> </w:t>
      </w:r>
      <w:r>
        <w:t xml:space="preserve">reporting to the state.</w:t>
      </w:r>
    </w:p>
    <w:p>
      <w:pPr>
        <w:numPr>
          <w:ilvl w:val="0"/>
          <w:numId w:val="1011"/>
        </w:numPr>
        <w:pStyle w:val="BlockText"/>
      </w:pPr>
      <w:r>
        <w:t xml:space="preserve">Pursue external funding to develop a platform to streamline water</w:t>
      </w:r>
      <w:r>
        <w:t xml:space="preserve"> </w:t>
      </w:r>
      <w:r>
        <w:t xml:space="preserve">data reporting.</w:t>
      </w:r>
    </w:p>
    <w:p>
      <w:pPr>
        <w:numPr>
          <w:ilvl w:val="0"/>
          <w:numId w:val="1011"/>
        </w:numPr>
        <w:pStyle w:val="BlockText"/>
      </w:pPr>
      <w:r>
        <w:t xml:space="preserve">Integrate landscape area data gathered by the state as part of</w:t>
      </w:r>
      <w:r>
        <w:t xml:space="preserve"> </w:t>
      </w:r>
      <w:r>
        <w:t xml:space="preserve">SB606 &amp; AB1668 into CaDC Analytics and support CaDC members with</w:t>
      </w:r>
      <w:r>
        <w:t xml:space="preserve"> </w:t>
      </w:r>
      <w:r>
        <w:t xml:space="preserve">understanding and using the data.</w:t>
      </w:r>
    </w:p>
    <w:p>
      <w:pPr>
        <w:numPr>
          <w:ilvl w:val="0"/>
          <w:numId w:val="1011"/>
        </w:numPr>
        <w:pStyle w:val="BlockText"/>
      </w:pPr>
      <w:r>
        <w:t xml:space="preserve">Expand CaDC analytics to facilitate reporting of data between</w:t>
      </w:r>
      <w:r>
        <w:t xml:space="preserve"> </w:t>
      </w:r>
      <w:r>
        <w:t xml:space="preserve">retailers and wholesalers.</w:t>
      </w:r>
    </w:p>
    <w:p>
      <w:pPr>
        <w:numPr>
          <w:ilvl w:val="0"/>
          <w:numId w:val="1011"/>
        </w:numPr>
        <w:pStyle w:val="BlockText"/>
      </w:pPr>
      <w:r>
        <w:t xml:space="preserve">Leverage CaDC technical expertise by participating in state</w:t>
      </w:r>
      <w:r>
        <w:t xml:space="preserve"> </w:t>
      </w:r>
      <w:r>
        <w:t xml:space="preserve">workshops for data streamlining</w:t>
      </w:r>
    </w:p>
    <w:p>
      <w:pPr>
        <w:numPr>
          <w:ilvl w:val="0"/>
          <w:numId w:val="1011"/>
        </w:numPr>
        <w:pStyle w:val="BlockText"/>
      </w:pPr>
      <w:r>
        <w:t xml:space="preserve">Raising awareness and increasing participation in the effort to</w:t>
      </w:r>
      <w:r>
        <w:t xml:space="preserve"> </w:t>
      </w:r>
      <w:r>
        <w:t xml:space="preserve">streamline reporting among stakeholders statewide.</w:t>
      </w:r>
    </w:p>
    <w:p>
      <w:pPr>
        <w:pStyle w:val="FirstParagraph"/>
      </w:pPr>
      <w:r>
        <w:rPr>
          <w:i/>
        </w:rPr>
        <w:t xml:space="preserve">Estimated CaDC staff time involved:</w:t>
      </w:r>
    </w:p>
    <w:p>
      <w:pPr>
        <w:numPr>
          <w:ilvl w:val="0"/>
          <w:numId w:val="1012"/>
        </w:numPr>
        <w:pStyle w:val="BlockText"/>
      </w:pPr>
      <w:r>
        <w:t xml:space="preserve">Project Manager: 100 hours to research user needs and current</w:t>
      </w:r>
      <w:r>
        <w:t xml:space="preserve"> </w:t>
      </w:r>
      <w:r>
        <w:t xml:space="preserve">practices, apply for funding, coordinate project stakeholders, and</w:t>
      </w:r>
      <w:r>
        <w:t xml:space="preserve"> </w:t>
      </w:r>
      <w:r>
        <w:t xml:space="preserve">contribute to ongoing conversations.</w:t>
      </w:r>
    </w:p>
    <w:p>
      <w:pPr>
        <w:pStyle w:val="FirstParagraph"/>
      </w:pPr>
      <w:r>
        <w:rPr>
          <w:b/>
        </w:rPr>
        <w:t xml:space="preserve">Applied Research Partnerships</w:t>
      </w:r>
    </w:p>
    <w:p>
      <w:pPr>
        <w:pStyle w:val="BodyText"/>
      </w:pPr>
      <w:r>
        <w:t xml:space="preserve">Facilitating applied research and data sharing has been central to the</w:t>
      </w:r>
      <w:r>
        <w:t xml:space="preserve"> </w:t>
      </w:r>
      <w:r>
        <w:t xml:space="preserve">CaDC vision since the project’s inception. CaDC staff propose to</w:t>
      </w:r>
      <w:r>
        <w:t xml:space="preserve"> </w:t>
      </w:r>
      <w:r>
        <w:t xml:space="preserve">continue and build off this work in a number of ways.</w:t>
      </w:r>
    </w:p>
    <w:p>
      <w:pPr>
        <w:pStyle w:val="BodyText"/>
      </w:pPr>
      <w:r>
        <w:t xml:space="preserve">Foremost among these will be pursuing the creation of pre-qualified</w:t>
      </w:r>
      <w:r>
        <w:t xml:space="preserve"> </w:t>
      </w:r>
      <w:r>
        <w:t xml:space="preserve">research centers with simplified access to the CaDC data warehouse.</w:t>
      </w:r>
      <w:r>
        <w:t xml:space="preserve"> </w:t>
      </w:r>
      <w:r>
        <w:t xml:space="preserve">These centers will be chosen for their high-quality research and</w:t>
      </w:r>
      <w:r>
        <w:t xml:space="preserve"> </w:t>
      </w:r>
      <w:r>
        <w:t xml:space="preserve">dedication to data privacy. One of the requirements for</w:t>
      </w:r>
      <w:r>
        <w:t xml:space="preserve"> </w:t>
      </w:r>
      <w:r>
        <w:t xml:space="preserve">pre-qualification will be adherence to a process of review and approval</w:t>
      </w:r>
      <w:r>
        <w:t xml:space="preserve"> </w:t>
      </w:r>
      <w:r>
        <w:t xml:space="preserve">called the “CaDC Research Data Sharing Protocol” to be determined by the</w:t>
      </w:r>
      <w:r>
        <w:t xml:space="preserve"> </w:t>
      </w:r>
      <w:r>
        <w:t xml:space="preserve">Steering Committee.</w:t>
      </w:r>
    </w:p>
    <w:p>
      <w:pPr>
        <w:pStyle w:val="BodyText"/>
      </w:pPr>
      <w:r>
        <w:t xml:space="preserve">Specific items include</w:t>
      </w:r>
    </w:p>
    <w:p>
      <w:pPr>
        <w:numPr>
          <w:ilvl w:val="0"/>
          <w:numId w:val="1013"/>
        </w:numPr>
        <w:pStyle w:val="BlockText"/>
      </w:pPr>
      <w:r>
        <w:t xml:space="preserve">Support of ongoing research efforts including</w:t>
      </w:r>
    </w:p>
    <w:p>
      <w:pPr>
        <w:numPr>
          <w:ilvl w:val="0"/>
          <w:numId w:val="1013"/>
        </w:numPr>
        <w:pStyle w:val="BlockText"/>
      </w:pPr>
      <w:r>
        <w:t xml:space="preserve">Expanding on the CaDC’s current data sharing framework to simplify</w:t>
      </w:r>
      <w:r>
        <w:t xml:space="preserve"> </w:t>
      </w:r>
      <w:r>
        <w:t xml:space="preserve">the approval process for pre-qualified researchers and research</w:t>
      </w:r>
      <w:r>
        <w:t xml:space="preserve"> </w:t>
      </w:r>
      <w:r>
        <w:t xml:space="preserve">centers.</w:t>
      </w:r>
    </w:p>
    <w:p>
      <w:pPr>
        <w:numPr>
          <w:ilvl w:val="0"/>
          <w:numId w:val="1013"/>
        </w:numPr>
        <w:pStyle w:val="BlockText"/>
      </w:pPr>
      <w:r>
        <w:t xml:space="preserve">Continue development of new and existing research partnerships.</w:t>
      </w:r>
    </w:p>
    <w:p>
      <w:pPr>
        <w:numPr>
          <w:ilvl w:val="0"/>
          <w:numId w:val="1013"/>
        </w:numPr>
        <w:pStyle w:val="BlockText"/>
      </w:pPr>
      <w:r>
        <w:t xml:space="preserve">Promotion of CaDC research among the local and regional agencies</w:t>
      </w:r>
      <w:r>
        <w:t xml:space="preserve"> </w:t>
      </w:r>
      <w:r>
        <w:t xml:space="preserve">to generate interest and increase the value of CaDC research.</w:t>
      </w:r>
    </w:p>
    <w:p>
      <w:pPr>
        <w:pStyle w:val="FirstParagraph"/>
      </w:pPr>
      <w:r>
        <w:rPr>
          <w:i/>
        </w:rPr>
        <w:t xml:space="preserve">Estimated CaDC staff time involved:</w:t>
      </w:r>
    </w:p>
    <w:p>
      <w:pPr>
        <w:numPr>
          <w:ilvl w:val="0"/>
          <w:numId w:val="1014"/>
        </w:numPr>
        <w:pStyle w:val="BlockText"/>
      </w:pPr>
      <w:r>
        <w:t xml:space="preserve">Project Manager: 100 hours to establish research partnerships and</w:t>
      </w:r>
      <w:r>
        <w:t xml:space="preserve"> </w:t>
      </w:r>
      <w:r>
        <w:t xml:space="preserve">promote research.</w:t>
      </w:r>
    </w:p>
    <w:p>
      <w:pPr>
        <w:numPr>
          <w:ilvl w:val="0"/>
          <w:numId w:val="1014"/>
        </w:numPr>
        <w:pStyle w:val="BlockText"/>
      </w:pPr>
      <w:r>
        <w:t xml:space="preserve">Data Scientist: 100 hours to assist researchers with data exports</w:t>
      </w:r>
      <w:r>
        <w:t xml:space="preserve"> </w:t>
      </w:r>
      <w:r>
        <w:t xml:space="preserve">and improve the usability and security of the CaDC data warehouse</w:t>
      </w:r>
      <w:r>
        <w:t xml:space="preserve"> </w:t>
      </w:r>
      <w:r>
        <w:t xml:space="preserve">for researchers.</w:t>
      </w:r>
    </w:p>
    <w:p>
      <w:pPr>
        <w:numPr>
          <w:ilvl w:val="0"/>
          <w:numId w:val="1014"/>
        </w:numPr>
        <w:pStyle w:val="BlockText"/>
      </w:pPr>
      <w:r>
        <w:t xml:space="preserve">Interns / Research Fellow: Hours to be determined as research</w:t>
      </w:r>
      <w:r>
        <w:t xml:space="preserve"> </w:t>
      </w:r>
      <w:r>
        <w:t xml:space="preserve">opportunities unfold.</w:t>
      </w:r>
    </w:p>
    <w:p>
      <w:pPr>
        <w:pStyle w:val="FirstParagraph"/>
      </w:pPr>
      <w:r>
        <w:rPr>
          <w:b/>
        </w:rPr>
        <w:t xml:space="preserve">Empowering management decisions with the CaDC's analytical tools</w:t>
      </w:r>
    </w:p>
    <w:p>
      <w:pPr>
        <w:pStyle w:val="BodyText"/>
      </w:pPr>
      <w:r>
        <w:t xml:space="preserve">Analytical tool development is a core competency of the CaDC and our</w:t>
      </w:r>
      <w:r>
        <w:t xml:space="preserve"> </w:t>
      </w:r>
      <w:r>
        <w:t xml:space="preserve">tools continue to improve by integrating feedback from the CaDC members.</w:t>
      </w:r>
      <w:r>
        <w:t xml:space="preserve"> </w:t>
      </w:r>
      <w:r>
        <w:t xml:space="preserve">In FY20-21, we will continue our agile development process to maximize</w:t>
      </w:r>
      <w:r>
        <w:t xml:space="preserve"> </w:t>
      </w:r>
      <w:r>
        <w:t xml:space="preserve">the usability of our software though frequent user testing and rapid</w:t>
      </w:r>
      <w:r>
        <w:t xml:space="preserve"> </w:t>
      </w:r>
      <w:r>
        <w:t xml:space="preserve">iteration. This agile process will determine the exact features that are</w:t>
      </w:r>
      <w:r>
        <w:t xml:space="preserve"> </w:t>
      </w:r>
      <w:r>
        <w:t xml:space="preserve">implemented, though several areas have risen up as a high priority for</w:t>
      </w:r>
      <w:r>
        <w:t xml:space="preserve"> </w:t>
      </w:r>
      <w:r>
        <w:t xml:space="preserve">future development.</w:t>
      </w:r>
    </w:p>
    <w:p>
      <w:pPr>
        <w:pStyle w:val="BodyText"/>
      </w:pPr>
      <w:r>
        <w:t xml:space="preserve">First is the expansion of analytics offerings for wholesale agencies.</w:t>
      </w:r>
      <w:r>
        <w:t xml:space="preserve"> </w:t>
      </w:r>
      <w:r>
        <w:t xml:space="preserve">Our goal is to streamline the sharing of aggregated, anonymized retail</w:t>
      </w:r>
      <w:r>
        <w:t xml:space="preserve"> </w:t>
      </w:r>
      <w:r>
        <w:t xml:space="preserve">water use data with wholesale agencies to support informed planning.</w:t>
      </w:r>
      <w:r>
        <w:t xml:space="preserve"> </w:t>
      </w:r>
      <w:r>
        <w:t xml:space="preserve">Second is the addition of improved intelligence features that identify</w:t>
      </w:r>
      <w:r>
        <w:t xml:space="preserve"> </w:t>
      </w:r>
      <w:r>
        <w:t xml:space="preserve">relevant customer segments and insights without requiring detailed</w:t>
      </w:r>
      <w:r>
        <w:t xml:space="preserve"> </w:t>
      </w:r>
      <w:r>
        <w:t xml:space="preserve">processing. Detailed filtering and segmentation will still be available</w:t>
      </w:r>
      <w:r>
        <w:t xml:space="preserve"> </w:t>
      </w:r>
      <w:r>
        <w:t xml:space="preserve">for advanced users, but our goal is to simplify access to the most</w:t>
      </w:r>
      <w:r>
        <w:t xml:space="preserve"> </w:t>
      </w:r>
      <w:r>
        <w:t xml:space="preserve">essential insights. Third, will be improved support for “self-service”</w:t>
      </w:r>
      <w:r>
        <w:t xml:space="preserve"> </w:t>
      </w:r>
      <w:r>
        <w:t xml:space="preserve">analysis for advanced users. One implementation of this might be to</w:t>
      </w:r>
      <w:r>
        <w:t xml:space="preserve"> </w:t>
      </w:r>
      <w:r>
        <w:t xml:space="preserve">allow users to build their own dashboards on top of cleaned, enriched</w:t>
      </w:r>
      <w:r>
        <w:t xml:space="preserve"> </w:t>
      </w:r>
      <w:r>
        <w:t xml:space="preserve">CaDC data within a high-performance database.</w:t>
      </w:r>
    </w:p>
    <w:p>
      <w:pPr>
        <w:pStyle w:val="BodyText"/>
      </w:pPr>
      <w:r>
        <w:t xml:space="preserve">Further work to improve the overall user experience will focus on</w:t>
      </w:r>
      <w:r>
        <w:t xml:space="preserve"> </w:t>
      </w:r>
      <w:r>
        <w:t xml:space="preserve">decreasing loading times, updating users on the status of their data</w:t>
      </w:r>
      <w:r>
        <w:t xml:space="preserve"> </w:t>
      </w:r>
      <w:r>
        <w:t xml:space="preserve">imports, and otherwise working to build user trust in the results of</w:t>
      </w:r>
      <w:r>
        <w:t xml:space="preserve"> </w:t>
      </w:r>
      <w:r>
        <w:t xml:space="preserve">analysis.</w:t>
      </w:r>
    </w:p>
    <w:p>
      <w:pPr>
        <w:pStyle w:val="BodyText"/>
      </w:pPr>
      <w:r>
        <w:t xml:space="preserve">Specific items include</w:t>
      </w:r>
    </w:p>
    <w:p>
      <w:pPr>
        <w:numPr>
          <w:ilvl w:val="0"/>
          <w:numId w:val="1015"/>
        </w:numPr>
        <w:pStyle w:val="BlockText"/>
      </w:pPr>
      <w:r>
        <w:t xml:space="preserve">Improve support for wholesale analytics and data sharing.</w:t>
      </w:r>
    </w:p>
    <w:p>
      <w:pPr>
        <w:numPr>
          <w:ilvl w:val="0"/>
          <w:numId w:val="1015"/>
        </w:numPr>
        <w:pStyle w:val="BlockText"/>
      </w:pPr>
      <w:r>
        <w:t xml:space="preserve">Simplify user interface with enhanced intelligence to identify</w:t>
      </w:r>
      <w:r>
        <w:t xml:space="preserve"> </w:t>
      </w:r>
      <w:r>
        <w:t xml:space="preserve">relevant customer segments without extensive user effort.</w:t>
      </w:r>
    </w:p>
    <w:p>
      <w:pPr>
        <w:numPr>
          <w:ilvl w:val="0"/>
          <w:numId w:val="1015"/>
        </w:numPr>
        <w:pStyle w:val="BlockText"/>
      </w:pPr>
      <w:r>
        <w:t xml:space="preserve">Enhance support for “self-service” dashboard creation and</w:t>
      </w:r>
      <w:r>
        <w:t xml:space="preserve"> </w:t>
      </w:r>
      <w:r>
        <w:t xml:space="preserve">analytics.</w:t>
      </w:r>
    </w:p>
    <w:p>
      <w:pPr>
        <w:numPr>
          <w:ilvl w:val="0"/>
          <w:numId w:val="1015"/>
        </w:numPr>
        <w:pStyle w:val="BlockText"/>
      </w:pPr>
      <w:r>
        <w:t xml:space="preserve">Continue integration between different cadc tools for a more</w:t>
      </w:r>
      <w:r>
        <w:t xml:space="preserve"> </w:t>
      </w:r>
      <w:r>
        <w:t xml:space="preserve">unified and intuitive user experience.</w:t>
      </w:r>
    </w:p>
    <w:p>
      <w:pPr>
        <w:pStyle w:val="FirstParagraph"/>
      </w:pPr>
      <w:r>
        <w:rPr>
          <w:i/>
        </w:rPr>
        <w:t xml:space="preserve">Estimated CaDC staff time involved:</w:t>
      </w:r>
    </w:p>
    <w:p>
      <w:pPr>
        <w:numPr>
          <w:ilvl w:val="0"/>
          <w:numId w:val="1016"/>
        </w:numPr>
        <w:pStyle w:val="BlockText"/>
      </w:pPr>
      <w:r>
        <w:t xml:space="preserve">Project Manager: 40 hours per month overseeing product</w:t>
      </w:r>
      <w:r>
        <w:t xml:space="preserve"> </w:t>
      </w:r>
      <w:r>
        <w:t xml:space="preserve">development, conducting code review, testing new features, and</w:t>
      </w:r>
      <w:r>
        <w:t xml:space="preserve"> </w:t>
      </w:r>
      <w:r>
        <w:t xml:space="preserve">supporting development.</w:t>
      </w:r>
    </w:p>
    <w:p>
      <w:pPr>
        <w:numPr>
          <w:ilvl w:val="0"/>
          <w:numId w:val="1016"/>
        </w:numPr>
        <w:pStyle w:val="BlockText"/>
      </w:pPr>
      <w:r>
        <w:t xml:space="preserve">Data Scientist: 80 hours per month developing product and</w:t>
      </w:r>
      <w:r>
        <w:t xml:space="preserve"> </w:t>
      </w:r>
      <w:r>
        <w:t xml:space="preserve">maintaining data pipelines.</w:t>
      </w:r>
    </w:p>
    <w:p>
      <w:pPr>
        <w:numPr>
          <w:ilvl w:val="0"/>
          <w:numId w:val="1016"/>
        </w:numPr>
        <w:pStyle w:val="BlockText"/>
      </w:pPr>
      <w:r>
        <w:t xml:space="preserve">Designer: 40 hours per month creating designs, interviewing users</w:t>
      </w:r>
      <w:r>
        <w:t xml:space="preserve"> </w:t>
      </w:r>
      <w:r>
        <w:t xml:space="preserve">and testing mockups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2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13">
    <w:nsid w:val="47261bad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221">
    <w:nsid w:val="b3cbbdee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Letter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lowerLetter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lowerRoman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2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lowerLetter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lowerLetter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lowerLetter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lowerRoman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2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2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9">
    <w:abstractNumId w:val="991"/>
  </w:num>
  <w:num w:numId="1010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2">
    <w:abstractNumId w:val="991"/>
  </w:num>
  <w:num w:numId="1013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2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2020-07-16T18:06:38Z</dcterms:created>
  <dcterms:modified xsi:type="dcterms:W3CDTF">2020-07-16T18:06:38Z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