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4"/>
        </w:rPr>
        <w:t>ФЕДЕРАЛЬНОЕ ГОСУДАРСТВЕННОЕ БЮДЖЕТНОЕ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УЧРЕЖДЕНИЕ ВЫСШЕГО ОБРАЗОВАНИЯ «ФИНАНСОВЫЙ УНИВЕРСИТЕТ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ПРИ ПРАВИТЕЛЬСТВЕ РОССИЙСКОЙ ФЕДЕРАЦИИ»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(ФИНАНСОВЫЙ УНИВЕРСИТЕТ)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Кафедра искусственного интеллекта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Факультета информационных технологий и анализа больших данных</w:t>
      </w:r>
    </w:p>
    <w:p/>
    <w:p/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Пояснительная записка к курсовой работе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по дисциплине «Машинное обучение в семантическом и сетевом анализе»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на тему:</w:t>
      </w:r>
    </w:p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«Построение рекомендательной системы с помощью векторного представления графа»</w:t>
      </w:r>
    </w:p>
    <w:p/>
    <w:p/>
    <w:p/>
    <w:p>
      <w:r>
        <w:rPr>
          <w:rFonts w:ascii="Times New Roman" w:hAnsi="Times New Roman"/>
          <w:b w:val="0"/>
          <w:i w:val="0"/>
          <w:sz w:val="24"/>
        </w:rPr>
        <w:t>Выполнил(а):</w:t>
      </w:r>
    </w:p>
    <w:p>
      <w:r>
        <w:rPr>
          <w:rFonts w:ascii="Times New Roman" w:hAnsi="Times New Roman"/>
          <w:b w:val="0"/>
          <w:i w:val="0"/>
          <w:sz w:val="24"/>
        </w:rPr>
        <w:t>студент группы ПМ23-2</w:t>
      </w:r>
    </w:p>
    <w:p>
      <w:r>
        <w:rPr>
          <w:rFonts w:ascii="Times New Roman" w:hAnsi="Times New Roman"/>
          <w:b w:val="0"/>
          <w:i w:val="0"/>
          <w:sz w:val="24"/>
        </w:rPr>
        <w:t>факультета информационных технологий и анализа больших данных</w:t>
      </w:r>
    </w:p>
    <w:p>
      <w:r>
        <w:rPr>
          <w:rFonts w:ascii="Times New Roman" w:hAnsi="Times New Roman"/>
          <w:b/>
          <w:i w:val="0"/>
          <w:sz w:val="24"/>
        </w:rPr>
        <w:t>Безверхний</w:t>
      </w:r>
    </w:p>
    <w:p/>
    <w:p>
      <w:r>
        <w:rPr>
          <w:rFonts w:ascii="Times New Roman" w:hAnsi="Times New Roman"/>
          <w:b w:val="0"/>
          <w:i w:val="0"/>
          <w:sz w:val="24"/>
        </w:rPr>
        <w:t>Научный руководитель:</w:t>
      </w:r>
    </w:p>
    <w:p>
      <w:r>
        <w:rPr>
          <w:rFonts w:ascii="Times New Roman" w:hAnsi="Times New Roman"/>
          <w:b w:val="0"/>
          <w:i w:val="0"/>
          <w:sz w:val="24"/>
        </w:rPr>
        <w:t>доцент, Казанцев А. М.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Москва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32"/>
        </w:rPr>
        <w:t>Содержание</w:t>
      </w:r>
    </w:p>
    <w:p>
      <w:r>
        <w:rPr>
          <w:rFonts w:ascii="Times New Roman" w:hAnsi="Times New Roman"/>
          <w:b w:val="0"/>
          <w:i w:val="0"/>
          <w:sz w:val="24"/>
        </w:rPr>
        <w:t>Введение</w:t>
      </w:r>
    </w:p>
    <w:p>
      <w:r>
        <w:rPr>
          <w:rFonts w:ascii="Times New Roman" w:hAnsi="Times New Roman"/>
          <w:b w:val="0"/>
          <w:i w:val="0"/>
          <w:sz w:val="24"/>
        </w:rPr>
        <w:t>1 Теоретическая и методическая часть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1.1 Постановка задачи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1.2 Методологические ориентиры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1.3 Источники данных</w:t>
      </w:r>
    </w:p>
    <w:p>
      <w:r>
        <w:rPr>
          <w:rFonts w:ascii="Times New Roman" w:hAnsi="Times New Roman"/>
          <w:b w:val="0"/>
          <w:i w:val="0"/>
          <w:sz w:val="24"/>
        </w:rPr>
        <w:t>2 Практическая часть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2.1 Подготовка данных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2.2 Модели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2.3 Результаты экспериментов</w:t>
      </w:r>
    </w:p>
    <w:p>
      <w:r>
        <w:rPr>
          <w:rFonts w:ascii="Times New Roman" w:hAnsi="Times New Roman"/>
          <w:b w:val="0"/>
          <w:i w:val="0"/>
          <w:sz w:val="24"/>
        </w:rPr>
        <w:t>3 Анализ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3.1 Анализ выбранных моделей</w:t>
      </w:r>
    </w:p>
    <w:p>
      <w:r>
        <w:rPr>
          <w:rFonts w:ascii="Times New Roman" w:hAnsi="Times New Roman"/>
          <w:b w:val="0"/>
          <w:i w:val="0"/>
          <w:sz w:val="24"/>
        </w:rPr>
        <w:t xml:space="preserve">    3.2 Выбор финальной модели</w:t>
      </w:r>
    </w:p>
    <w:p>
      <w:r>
        <w:rPr>
          <w:rFonts w:ascii="Times New Roman" w:hAnsi="Times New Roman"/>
          <w:b w:val="0"/>
          <w:i w:val="0"/>
          <w:sz w:val="24"/>
        </w:rPr>
        <w:t>Заключение</w:t>
      </w:r>
    </w:p>
    <w:p>
      <w:r>
        <w:rPr>
          <w:rFonts w:ascii="Times New Roman" w:hAnsi="Times New Roman"/>
          <w:b w:val="0"/>
          <w:i w:val="0"/>
          <w:sz w:val="24"/>
        </w:rPr>
        <w:t>Список использованных источников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32"/>
        </w:rPr>
        <w:t>Введение</w:t>
      </w:r>
    </w:p>
    <w:p>
      <w:r>
        <w:rPr>
          <w:rFonts w:ascii="Times New Roman" w:hAnsi="Times New Roman"/>
          <w:b w:val="0"/>
          <w:i w:val="0"/>
          <w:sz w:val="24"/>
        </w:rPr>
        <w:t>Тема исследования - построение рекомендательной системы на основе векторного представления графа взаимодействий пользователей и шуток. Практическая ценность задачи в том, что графовые методы (LightGCN, NGCF, PinSAGE) сейчас активно используются в индустрии (Pinterest, Alibaba, Yandex) для персонализации. Понять, насколько они эффективны на плотных данных, полезно при выборе архитектуры под конкретный продукт.</w:t>
      </w:r>
    </w:p>
    <w:p>
      <w:r>
        <w:rPr>
          <w:rFonts w:ascii="Times New Roman" w:hAnsi="Times New Roman"/>
          <w:b w:val="0"/>
          <w:i w:val="0"/>
          <w:sz w:val="24"/>
        </w:rPr>
        <w:t>Объект исследования: двудольный граф взаимодействий пользователей и шуток на датасете Jester.</w:t>
      </w:r>
    </w:p>
    <w:p>
      <w:r>
        <w:rPr>
          <w:rFonts w:ascii="Times New Roman" w:hAnsi="Times New Roman"/>
          <w:b w:val="0"/>
          <w:i w:val="0"/>
          <w:sz w:val="24"/>
        </w:rPr>
        <w:t>Предмет исследования: методы обучения векторных представлений вершин графа (graph embedding) для задачи top-K рекомендаций.</w:t>
      </w:r>
    </w:p>
    <w:p>
      <w:r>
        <w:rPr>
          <w:rFonts w:ascii="Times New Roman" w:hAnsi="Times New Roman"/>
          <w:b w:val="0"/>
          <w:i w:val="0"/>
          <w:sz w:val="24"/>
        </w:rPr>
        <w:t>Цель работы: построить и сравнить несколько архитектур для задачи top-K рекомендаций по метрикам Precision@K, Recall@K, NDCG@K, HitRate@K.</w:t>
      </w:r>
    </w:p>
    <w:p>
      <w:r>
        <w:rPr>
          <w:rFonts w:ascii="Times New Roman" w:hAnsi="Times New Roman"/>
          <w:b/>
          <w:i w:val="0"/>
          <w:sz w:val="24"/>
        </w:rPr>
        <w:t>Задачи работы:</w:t>
      </w:r>
    </w:p>
    <w:p>
      <w:pPr>
        <w:pStyle w:val="ListNumber"/>
      </w:pPr>
      <w:r>
        <w:rPr>
          <w:rFonts w:ascii="Times New Roman" w:hAnsi="Times New Roman"/>
          <w:sz w:val="24"/>
        </w:rPr>
        <w:t>Собрать и предобработать датасет Jester, построить двудольный граф взаимодействий.</w:t>
      </w:r>
    </w:p>
    <w:p>
      <w:pPr>
        <w:pStyle w:val="ListNumber"/>
      </w:pPr>
      <w:r>
        <w:rPr>
          <w:rFonts w:ascii="Times New Roman" w:hAnsi="Times New Roman"/>
          <w:sz w:val="24"/>
        </w:rPr>
        <w:t>Сделать полный pipeline: EDA, очистка, обучение моделей, сравнение.</w:t>
      </w:r>
    </w:p>
    <w:p>
      <w:pPr>
        <w:pStyle w:val="ListNumber"/>
      </w:pPr>
      <w:r>
        <w:rPr>
          <w:rFonts w:ascii="Times New Roman" w:hAnsi="Times New Roman"/>
          <w:sz w:val="24"/>
        </w:rPr>
        <w:t>Проверить классические методы (популярность, MF) и графовые модели (LightGCN, NGCF).</w:t>
      </w:r>
    </w:p>
    <w:p>
      <w:pPr>
        <w:pStyle w:val="ListNumber"/>
      </w:pPr>
      <w:r>
        <w:rPr>
          <w:rFonts w:ascii="Times New Roman" w:hAnsi="Times New Roman"/>
          <w:sz w:val="24"/>
        </w:rPr>
        <w:t>Подобрать гиперпараметры лучшей модели через Grid Search.</w:t>
      </w:r>
    </w:p>
    <w:p>
      <w:pPr>
        <w:pStyle w:val="ListNumber"/>
      </w:pPr>
      <w:r>
        <w:rPr>
          <w:rFonts w:ascii="Times New Roman" w:hAnsi="Times New Roman"/>
          <w:sz w:val="24"/>
        </w:rPr>
        <w:t>Получить интерпретируемую сводную таблицу метрик и сформулировать выводы.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32"/>
        </w:rPr>
        <w:t>1 Теоретическая и методическая часть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1.1 Постановка задачи</w:t>
      </w:r>
    </w:p>
    <w:p>
      <w:r>
        <w:rPr>
          <w:rFonts w:ascii="Times New Roman" w:hAnsi="Times New Roman"/>
          <w:b w:val="0"/>
          <w:i w:val="0"/>
          <w:sz w:val="24"/>
        </w:rPr>
        <w:t>Решается задача top-K рекомендаций. Пусть U - множество пользователей, I - множество объектов (у нас это шутки). Наблюдаемые взаимодействия O = {(u, i, r_ui)}, где r_ui - оценка пользователя u шутке i, лежит в диапазоне от -10 до +10.</w:t>
      </w:r>
    </w:p>
    <w:p>
      <w:r>
        <w:rPr>
          <w:rFonts w:ascii="Times New Roman" w:hAnsi="Times New Roman"/>
          <w:b w:val="0"/>
          <w:i w:val="0"/>
          <w:sz w:val="24"/>
        </w:rPr>
        <w:t>Оценки переводятся в неявную обратную связь: y_ui = 1, если r_ui &gt; 0, иначе шутка не считается релевантной. Граф взаимодействий G = (U ∪ I, E) - двудольный, ребро (u, i) означает y_ui = 1. Нужно обучить функцию ранжирования f: U × I -&gt; R, чтобы для пользователя u топ-K шуток с максимальным f(u, i) содержал как можно больше реально понравившихся.</w:t>
      </w:r>
    </w:p>
    <w:p>
      <w:r>
        <w:rPr>
          <w:rFonts w:ascii="Times New Roman" w:hAnsi="Times New Roman"/>
          <w:b w:val="0"/>
          <w:i w:val="0"/>
          <w:sz w:val="24"/>
        </w:rPr>
        <w:t>Основные метрики:</w:t>
      </w:r>
    </w:p>
    <w:p>
      <w:pPr>
        <w:pStyle w:val="ListBullet"/>
      </w:pPr>
      <w:r>
        <w:rPr>
          <w:rFonts w:ascii="Times New Roman" w:hAnsi="Times New Roman"/>
          <w:sz w:val="24"/>
        </w:rPr>
        <w:t>Precision@K - доля релевантных шуток в первых K рекомендациях.</w:t>
      </w:r>
    </w:p>
    <w:p>
      <w:pPr>
        <w:pStyle w:val="ListBullet"/>
      </w:pPr>
      <w:r>
        <w:rPr>
          <w:rFonts w:ascii="Times New Roman" w:hAnsi="Times New Roman"/>
          <w:sz w:val="24"/>
        </w:rPr>
        <w:t>Recall@K - какая часть всех релевантных шуток пользователя попала в топ-K.</w:t>
      </w:r>
    </w:p>
    <w:p>
      <w:pPr>
        <w:pStyle w:val="ListBullet"/>
      </w:pPr>
      <w:r>
        <w:rPr>
          <w:rFonts w:ascii="Times New Roman" w:hAnsi="Times New Roman"/>
          <w:sz w:val="24"/>
        </w:rPr>
        <w:t>NDCG@K - нормированная метрика, учитывает порядок в выдаче.</w:t>
      </w:r>
    </w:p>
    <w:p>
      <w:pPr>
        <w:pStyle w:val="ListBullet"/>
      </w:pPr>
      <w:r>
        <w:rPr>
          <w:rFonts w:ascii="Times New Roman" w:hAnsi="Times New Roman"/>
          <w:sz w:val="24"/>
        </w:rPr>
        <w:t>HitRate@K - доля пользователей, у которых хоть одна правильная шутка попала в топ-K.</w:t>
      </w:r>
    </w:p>
    <w:p>
      <w:r>
        <w:rPr>
          <w:rFonts w:ascii="Times New Roman" w:hAnsi="Times New Roman"/>
          <w:b w:val="0"/>
          <w:i w:val="0"/>
          <w:sz w:val="24"/>
        </w:rPr>
        <w:t>Основное K = 10. Дополнительно считаются K = 5 и K = 20.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1.2 Методологические ориентиры</w:t>
      </w:r>
    </w:p>
    <w:p>
      <w:r>
        <w:rPr>
          <w:rFonts w:ascii="Times New Roman" w:hAnsi="Times New Roman"/>
          <w:b w:val="0"/>
          <w:i w:val="0"/>
          <w:sz w:val="24"/>
        </w:rPr>
        <w:t>Методика оценки опирается на три принципа: (1) единый train/val/test split для всех моделей; (2) одинаковое признаковое пространство (только ID пользователей и шуток); (3) сравнение моделей по сводной таблице метрик, а не по одной цифре.</w:t>
      </w:r>
    </w:p>
    <w:p>
      <w:r>
        <w:rPr>
          <w:rFonts w:ascii="Times New Roman" w:hAnsi="Times New Roman"/>
          <w:b w:val="0"/>
          <w:i w:val="0"/>
          <w:sz w:val="24"/>
        </w:rPr>
        <w:t>Для всех обучаемых моделей используется ранняя остановка по NDCG@10 на валидации. В тест идёт чекпоинт с лучшей валидацией, а не последний. Так уменьшается риск переобучения и стабилизируется сравнение моделей.</w:t>
      </w:r>
    </w:p>
    <w:p>
      <w:r>
        <w:rPr>
          <w:rFonts w:ascii="Times New Roman" w:hAnsi="Times New Roman"/>
          <w:b w:val="0"/>
          <w:i w:val="0"/>
          <w:sz w:val="24"/>
        </w:rPr>
        <w:t>Ориентиры качества. В оригинальных статьях LightGCN (SIGIR 2020) и NGCF (SIGIR 2019) на типичных датасетах (MovieLens, Yelp, Amazon) NDCG@10 получается 0.35-0.50, Recall@10 - 0.5-0.7. Jester выделяется среди типичных recsys-бенчмарков очень высокой плотностью (около 56%), из-за чего популярностный baseline тут сам по себе очень сильный.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1.3 Источники данных</w:t>
      </w:r>
    </w:p>
    <w:p>
      <w:r>
        <w:rPr>
          <w:rFonts w:ascii="Times New Roman" w:hAnsi="Times New Roman"/>
          <w:b w:val="0"/>
          <w:i w:val="0"/>
          <w:sz w:val="24"/>
        </w:rPr>
        <w:t>Использован публичный датасет Jester (Калифорнийский университет Беркли, лаборатория Кеннета Гольдберга): https://goldberg.berkeley.edu/jester-data/. Содержит непрерывные оценки 100 шуток на шкале от -10 до +10 от 73 421 пользователя. Распространяется тремя XLS-файлами (jester-data-1, -2, -3). Пропускам соответствует код 99.</w:t>
      </w:r>
    </w:p>
    <w:p>
      <w:r>
        <w:rPr>
          <w:rFonts w:ascii="Times New Roman" w:hAnsi="Times New Roman"/>
          <w:b w:val="0"/>
          <w:i w:val="0"/>
          <w:sz w:val="24"/>
        </w:rPr>
        <w:t>После склейки файлов получено 4,136,360 оценок между 73,421 пользователями и 100 шутками. Плотность матрицы - 56.3%, очень много по меркам recsys.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32"/>
        </w:rPr>
        <w:t>2 Практическая часть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2.1 Подготовка данных</w:t>
      </w:r>
    </w:p>
    <w:p>
      <w:r>
        <w:rPr>
          <w:rFonts w:ascii="Times New Roman" w:hAnsi="Times New Roman"/>
          <w:b w:val="0"/>
          <w:i w:val="0"/>
          <w:sz w:val="24"/>
        </w:rPr>
        <w:t>Базовые цифры собраны в таблице 1.</w:t>
      </w:r>
    </w:p>
    <w:p>
      <w:r>
        <w:rPr>
          <w:rFonts w:ascii="Times New Roman" w:hAnsi="Times New Roman"/>
          <w:b w:val="0"/>
          <w:i/>
          <w:sz w:val="24"/>
        </w:rPr>
        <w:t>Таблица 1 - Базовые статистики Jester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Показатель</w:t>
            </w:r>
          </w:p>
        </w:tc>
        <w:tc>
          <w:tcPr>
            <w:tcW w:type="dxa" w:w="4844"/>
          </w:tcPr>
          <w:p>
            <w:r>
              <w:t>Значение</w:t>
            </w:r>
          </w:p>
        </w:tc>
      </w:tr>
      <w:tr>
        <w:tc>
          <w:tcPr>
            <w:tcW w:type="dxa" w:w="4844"/>
          </w:tcPr>
          <w:p>
            <w:r>
              <w:t>Пользователей</w:t>
            </w:r>
          </w:p>
        </w:tc>
        <w:tc>
          <w:tcPr>
            <w:tcW w:type="dxa" w:w="4844"/>
          </w:tcPr>
          <w:p>
            <w:r>
              <w:t>73,421</w:t>
            </w:r>
          </w:p>
        </w:tc>
      </w:tr>
      <w:tr>
        <w:tc>
          <w:tcPr>
            <w:tcW w:type="dxa" w:w="4844"/>
          </w:tcPr>
          <w:p>
            <w:r>
              <w:t>Шуток</w:t>
            </w:r>
          </w:p>
        </w:tc>
        <w:tc>
          <w:tcPr>
            <w:tcW w:type="dxa" w:w="4844"/>
          </w:tcPr>
          <w:p>
            <w:r>
              <w:t>100</w:t>
            </w:r>
          </w:p>
        </w:tc>
      </w:tr>
      <w:tr>
        <w:tc>
          <w:tcPr>
            <w:tcW w:type="dxa" w:w="4844"/>
          </w:tcPr>
          <w:p>
            <w:r>
              <w:t>Взаимодействий</w:t>
            </w:r>
          </w:p>
        </w:tc>
        <w:tc>
          <w:tcPr>
            <w:tcW w:type="dxa" w:w="4844"/>
          </w:tcPr>
          <w:p>
            <w:r>
              <w:t>4,136,360</w:t>
            </w:r>
          </w:p>
        </w:tc>
      </w:tr>
      <w:tr>
        <w:tc>
          <w:tcPr>
            <w:tcW w:type="dxa" w:w="4844"/>
          </w:tcPr>
          <w:p>
            <w:r>
              <w:t>Плотность матрицы</w:t>
            </w:r>
          </w:p>
        </w:tc>
        <w:tc>
          <w:tcPr>
            <w:tcW w:type="dxa" w:w="4844"/>
          </w:tcPr>
          <w:p>
            <w:r>
              <w:t>0.5634</w:t>
            </w:r>
          </w:p>
        </w:tc>
      </w:tr>
      <w:tr>
        <w:tc>
          <w:tcPr>
            <w:tcW w:type="dxa" w:w="4844"/>
          </w:tcPr>
          <w:p>
            <w:r>
              <w:t>Среднее оценок на пользователя</w:t>
            </w:r>
          </w:p>
        </w:tc>
        <w:tc>
          <w:tcPr>
            <w:tcW w:type="dxa" w:w="4844"/>
          </w:tcPr>
          <w:p>
            <w:r>
              <w:t>56.3</w:t>
            </w:r>
          </w:p>
        </w:tc>
      </w:tr>
      <w:tr>
        <w:tc>
          <w:tcPr>
            <w:tcW w:type="dxa" w:w="4844"/>
          </w:tcPr>
          <w:p>
            <w:r>
              <w:t>Среднее оценок на шутку</w:t>
            </w:r>
          </w:p>
        </w:tc>
        <w:tc>
          <w:tcPr>
            <w:tcW w:type="dxa" w:w="4844"/>
          </w:tcPr>
          <w:p>
            <w:r>
              <w:t>41363.6</w:t>
            </w:r>
          </w:p>
        </w:tc>
      </w:tr>
      <w:tr>
        <w:tc>
          <w:tcPr>
            <w:tcW w:type="dxa" w:w="4844"/>
          </w:tcPr>
          <w:p>
            <w:r>
              <w:t>Минимальная / максимальная оценка</w:t>
            </w:r>
          </w:p>
        </w:tc>
        <w:tc>
          <w:tcPr>
            <w:tcW w:type="dxa" w:w="4844"/>
          </w:tcPr>
          <w:p>
            <w:r>
              <w:t>-9.95 / 10.00</w:t>
            </w:r>
          </w:p>
        </w:tc>
      </w:tr>
      <w:tr>
        <w:tc>
          <w:tcPr>
            <w:tcW w:type="dxa" w:w="4844"/>
          </w:tcPr>
          <w:p>
            <w:r>
              <w:t>Среднее значение оценки</w:t>
            </w:r>
          </w:p>
        </w:tc>
        <w:tc>
          <w:tcPr>
            <w:tcW w:type="dxa" w:w="4844"/>
          </w:tcPr>
          <w:p>
            <w:r>
              <w:t>0.742</w:t>
            </w:r>
          </w:p>
        </w:tc>
      </w:tr>
      <w:tr>
        <w:tc>
          <w:tcPr>
            <w:tcW w:type="dxa" w:w="4844"/>
          </w:tcPr>
          <w:p>
            <w:r>
              <w:t>Стд. отклонение оценки</w:t>
            </w:r>
          </w:p>
        </w:tc>
        <w:tc>
          <w:tcPr>
            <w:tcW w:type="dxa" w:w="4844"/>
          </w:tcPr>
          <w:p>
            <w:r>
              <w:t>5.295</w:t>
            </w:r>
          </w:p>
        </w:tc>
      </w:tr>
      <w:tr>
        <w:tc>
          <w:tcPr>
            <w:tcW w:type="dxa" w:w="4844"/>
          </w:tcPr>
          <w:p>
            <w:r>
              <w:t>Доля положительных (&gt;0)</w:t>
            </w:r>
          </w:p>
        </w:tc>
        <w:tc>
          <w:tcPr>
            <w:tcW w:type="dxa" w:w="4844"/>
          </w:tcPr>
          <w:p>
            <w:r>
              <w:t>0.585</w:t>
            </w:r>
          </w:p>
        </w:tc>
      </w:tr>
      <w:tr>
        <w:tc>
          <w:tcPr>
            <w:tcW w:type="dxa" w:w="4844"/>
          </w:tcPr>
          <w:p>
            <w:r>
              <w:t>Доля высоких (&gt;5)</w:t>
            </w:r>
          </w:p>
        </w:tc>
        <w:tc>
          <w:tcPr>
            <w:tcW w:type="dxa" w:w="4844"/>
          </w:tcPr>
          <w:p>
            <w:r>
              <w:t>0.252</w:t>
            </w:r>
          </w:p>
        </w:tc>
      </w:tr>
    </w:tbl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 w:val="0"/>
          <w:sz w:val="24"/>
        </w:rPr>
        <w:t>Распределение оценок (рисунок 1) бимодальное, с пиками возле -10 и +10. Шутки либо нравятся, либо нет, серединка встречается реже.</w:t>
      </w:r>
    </w:p>
    <w:p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ing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1 - Распределение оценок</w:t>
      </w:r>
    </w:p>
    <w:p>
      <w:r>
        <w:rPr>
          <w:rFonts w:ascii="Times New Roman" w:hAnsi="Times New Roman"/>
          <w:b w:val="0"/>
          <w:i w:val="0"/>
          <w:sz w:val="24"/>
        </w:rPr>
        <w:t>Активность пользователей (рисунок 2) разная. Минимум 36 оценок на человека, медиана 52, есть и те, кто оценил все 100.</w:t>
      </w:r>
    </w:p>
    <w:p>
      <w:r>
        <w:drawing>
          <wp:inline xmlns:a="http://schemas.openxmlformats.org/drawingml/2006/main" xmlns:pic="http://schemas.openxmlformats.org/drawingml/2006/picture">
            <wp:extent cx="5400000" cy="308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ac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2 - Распределение активности пользователей</w:t>
      </w:r>
    </w:p>
    <w:p>
      <w:r>
        <w:rPr>
          <w:rFonts w:ascii="Times New Roman" w:hAnsi="Times New Roman"/>
          <w:b w:val="0"/>
          <w:i w:val="0"/>
          <w:sz w:val="24"/>
        </w:rPr>
        <w:t>Популярность шуток (рисунок 3) отличается на порядок. Самые популярные оценены больше 60 000 раз, наименее - около 10 000.</w:t>
      </w:r>
    </w:p>
    <w:p>
      <w:r>
        <w:drawing>
          <wp:inline xmlns:a="http://schemas.openxmlformats.org/drawingml/2006/main" xmlns:pic="http://schemas.openxmlformats.org/drawingml/2006/picture">
            <wp:extent cx="5400000" cy="24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m_popular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3 - Популярность шуток</w:t>
      </w:r>
    </w:p>
    <w:p>
      <w:r>
        <w:rPr>
          <w:rFonts w:ascii="Times New Roman" w:hAnsi="Times New Roman"/>
          <w:b w:val="0"/>
          <w:i w:val="0"/>
          <w:sz w:val="24"/>
        </w:rPr>
        <w:t>Средние рейтинги шуток (рисунок 4) распределены неравномерно. Часть стабильно нравится, часть стабильно не нравится. Это и есть сильный сигнал для popularity-baseline.</w:t>
      </w:r>
    </w:p>
    <w:p>
      <w:r>
        <w:drawing>
          <wp:inline xmlns:a="http://schemas.openxmlformats.org/drawingml/2006/main" xmlns:pic="http://schemas.openxmlformats.org/drawingml/2006/picture">
            <wp:extent cx="5400000" cy="24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m_mean_ra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4 - Средние оценки шуток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 w:val="0"/>
          <w:sz w:val="24"/>
        </w:rPr>
        <w:t>Построение графа. Из матрицы оценок собирается двудольный граф G = (U ∪ I, E). Ребро (u, i) есть, если пользователь u поставил шутке i оценку больше нуля. Для LightGCN и NGCF нужна симметрично-нормированная матрица смежности Â = D^(-1/2) A D^(-1/2). A - блочная матрица смежности размера (|U|+|I|) × (|U|+|I|). Â лежит в памяти в разреженном COO-формате.</w:t>
      </w:r>
    </w:p>
    <w:p>
      <w:r>
        <w:rPr>
          <w:rFonts w:ascii="Times New Roman" w:hAnsi="Times New Roman"/>
          <w:b w:val="0"/>
          <w:i w:val="0"/>
          <w:sz w:val="24"/>
        </w:rPr>
        <w:t>Разделение выборки. Использован стратифицированный по пользователю случайный split: у каждого пользователя 80% положительных оценок идёт в train, 10% - в val, 10% - в test. Пользователь оказывается во всех трёх выборках сразу, холодного старта по пользователю нет. Временной split в Jester невозможен - временных меток нет.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2.2 Модели</w:t>
      </w:r>
    </w:p>
    <w:p>
      <w:r>
        <w:rPr>
          <w:rFonts w:ascii="Times New Roman" w:hAnsi="Times New Roman"/>
          <w:b/>
          <w:i w:val="0"/>
          <w:sz w:val="24"/>
        </w:rPr>
        <w:t>Сравниваются четыре модели:</w:t>
      </w:r>
    </w:p>
    <w:p>
      <w:r>
        <w:rPr>
          <w:rFonts w:ascii="Times New Roman" w:hAnsi="Times New Roman"/>
          <w:b w:val="0"/>
          <w:i w:val="0"/>
          <w:sz w:val="24"/>
        </w:rPr>
        <w:t>1) Popularity. Это baseline без обучения. Скор шутки равен числу её положительных оценок в train. Все пользователи получают один и тот же порядок.</w:t>
      </w:r>
    </w:p>
    <w:p>
      <w:r>
        <w:rPr>
          <w:rFonts w:ascii="Times New Roman" w:hAnsi="Times New Roman"/>
          <w:b w:val="0"/>
          <w:i w:val="0"/>
          <w:sz w:val="24"/>
        </w:rPr>
        <w:t>2) MF-BPR. Классическая матричная факторизация. Скор ŷ_ui = e_u · e_i, где e_u и e_i - обучаемые эмбеддинги. Обучение через BPR-loss и Adam.</w:t>
      </w:r>
    </w:p>
    <w:p>
      <w:r>
        <w:rPr>
          <w:rFonts w:ascii="Times New Roman" w:hAnsi="Times New Roman"/>
          <w:b w:val="0"/>
          <w:i w:val="0"/>
          <w:sz w:val="24"/>
        </w:rPr>
        <w:t>3) LightGCN. Графовая модель без обучаемых линейных слоёв. На каждом слое k делается агрегация e_v^(k+1) = Σ_{u∈N(v)} e_u^(k) / √(|N(v)||N(u)|). Итоговый эмбеддинг - среднее по слоям 0..K. В отличие от обычной GCN тут нет ни весов, ни активаций, ни дроп-аута. Из-за этого ниже риск переобучения и быстрее обучение.</w:t>
      </w:r>
    </w:p>
    <w:p>
      <w:r>
        <w:rPr>
          <w:rFonts w:ascii="Times New Roman" w:hAnsi="Times New Roman"/>
          <w:b w:val="0"/>
          <w:i w:val="0"/>
          <w:sz w:val="24"/>
        </w:rPr>
        <w:t>4) NGCF. Более выразительная графовая модель: e_v^(k+1) = LeakyReLU(W1^(k) · Â · E^(k) + W2^(k) · (Â · E^(k) ⊙ E^(k))). Используется конкатенация по слоям, L2-нормализация и dropout = 0.1.</w:t>
      </w:r>
    </w:p>
    <w:p>
      <w:r>
        <w:rPr>
          <w:rFonts w:ascii="Times New Roman" w:hAnsi="Times New Roman"/>
          <w:b w:val="0"/>
          <w:i w:val="0"/>
          <w:sz w:val="24"/>
        </w:rPr>
        <w:t>Функция ошибки. Все обучаемые модели минимизируют BPR-loss с L2-регуляризацией:</w:t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L = - Σ log σ(ŷ_ui+ - ŷ_ui-) + λ · ||θ||^2</w:t>
      </w:r>
    </w:p>
    <w:p>
      <w:r>
        <w:rPr>
          <w:rFonts w:ascii="Times New Roman" w:hAnsi="Times New Roman"/>
          <w:b w:val="0"/>
          <w:i w:val="0"/>
          <w:sz w:val="24"/>
        </w:rPr>
        <w:t>Здесь i+ - положительный пример из train, i- - случайная негативная шутка, σ - сигмоида, θ - параметры, λ = 10^-5. В NGCF дополнительно идёт dropout = 0.1 и L2-нормализация - это структурная регуляризация.</w:t>
      </w:r>
    </w:p>
    <w:p>
      <w:r>
        <w:rPr>
          <w:rFonts w:ascii="Times New Roman" w:hAnsi="Times New Roman"/>
          <w:b w:val="0"/>
          <w:i w:val="0"/>
          <w:sz w:val="24"/>
        </w:rPr>
        <w:t>Реализация на Python 3.12. Основной фреймворк - PyTorch 2.12 (CPU). Графовые операции написаны напрямую через torch.sparse.mm на нормированной матрице Â, без PyTorch Geometric. Так все вычисления видны полностью.</w:t>
      </w:r>
    </w:p>
    <w:p>
      <w:r>
        <w:rPr>
          <w:rFonts w:ascii="Times New Roman" w:hAnsi="Times New Roman"/>
          <w:b w:val="0"/>
          <w:i w:val="0"/>
          <w:sz w:val="24"/>
        </w:rPr>
        <w:t>Воспроизводимый запуск: python scripts/train.py --epochs 25 --dim 64 --layers 3 --batch 65536 --lr 0.005.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2.3 Результаты экспериментов</w:t>
      </w:r>
    </w:p>
    <w:p>
      <w:r>
        <w:rPr>
          <w:rFonts w:ascii="Times New Roman" w:hAnsi="Times New Roman"/>
          <w:b w:val="0"/>
          <w:i w:val="0"/>
          <w:sz w:val="24"/>
        </w:rPr>
        <w:t>Тестовые метрики собраны в таблице 2.</w:t>
      </w:r>
    </w:p>
    <w:p>
      <w:r>
        <w:rPr>
          <w:rFonts w:ascii="Times New Roman" w:hAnsi="Times New Roman"/>
          <w:b w:val="0"/>
          <w:i/>
          <w:sz w:val="24"/>
        </w:rPr>
        <w:t>Таблица 2 - Сравнение моделей по тестовым метрикам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r>
              <w:t>Модель</w:t>
            </w:r>
          </w:p>
        </w:tc>
        <w:tc>
          <w:tcPr>
            <w:tcW w:type="dxa" w:w="1615"/>
          </w:tcPr>
          <w:p>
            <w:r>
              <w:t>Precision@10</w:t>
            </w:r>
          </w:p>
        </w:tc>
        <w:tc>
          <w:tcPr>
            <w:tcW w:type="dxa" w:w="1615"/>
          </w:tcPr>
          <w:p>
            <w:r>
              <w:t>Recall@10</w:t>
            </w:r>
          </w:p>
        </w:tc>
        <w:tc>
          <w:tcPr>
            <w:tcW w:type="dxa" w:w="1615"/>
          </w:tcPr>
          <w:p>
            <w:r>
              <w:t>NDCG@10</w:t>
            </w:r>
          </w:p>
        </w:tc>
        <w:tc>
          <w:tcPr>
            <w:tcW w:type="dxa" w:w="1615"/>
          </w:tcPr>
          <w:p>
            <w:r>
              <w:t>HitRate@10</w:t>
            </w:r>
          </w:p>
        </w:tc>
        <w:tc>
          <w:tcPr>
            <w:tcW w:type="dxa" w:w="1615"/>
          </w:tcPr>
          <w:p>
            <w:r>
              <w:t>Время, с</w:t>
            </w:r>
          </w:p>
        </w:tc>
      </w:tr>
      <w:tr>
        <w:tc>
          <w:tcPr>
            <w:tcW w:type="dxa" w:w="1615"/>
          </w:tcPr>
          <w:p>
            <w:r>
              <w:t>Popularity</w:t>
            </w:r>
          </w:p>
        </w:tc>
        <w:tc>
          <w:tcPr>
            <w:tcW w:type="dxa" w:w="1615"/>
          </w:tcPr>
          <w:p>
            <w:r>
              <w:t>0.1399</w:t>
            </w:r>
          </w:p>
        </w:tc>
        <w:tc>
          <w:tcPr>
            <w:tcW w:type="dxa" w:w="1615"/>
          </w:tcPr>
          <w:p>
            <w:r>
              <w:t>0.4850</w:t>
            </w:r>
          </w:p>
        </w:tc>
        <w:tc>
          <w:tcPr>
            <w:tcW w:type="dxa" w:w="1615"/>
          </w:tcPr>
          <w:p>
            <w:r>
              <w:t>0.3445</w:t>
            </w:r>
          </w:p>
        </w:tc>
        <w:tc>
          <w:tcPr>
            <w:tcW w:type="dxa" w:w="1615"/>
          </w:tcPr>
          <w:p>
            <w:r>
              <w:t>0.7515</w:t>
            </w:r>
          </w:p>
        </w:tc>
        <w:tc>
          <w:tcPr>
            <w:tcW w:type="dxa" w:w="1615"/>
          </w:tcPr>
          <w:p>
            <w:r>
              <w:t>0</w:t>
            </w:r>
          </w:p>
        </w:tc>
      </w:tr>
      <w:tr>
        <w:tc>
          <w:tcPr>
            <w:tcW w:type="dxa" w:w="1615"/>
          </w:tcPr>
          <w:p>
            <w:r>
              <w:t>MF-BPR</w:t>
            </w:r>
          </w:p>
        </w:tc>
        <w:tc>
          <w:tcPr>
            <w:tcW w:type="dxa" w:w="1615"/>
          </w:tcPr>
          <w:p>
            <w:r>
              <w:t>0.1532</w:t>
            </w:r>
          </w:p>
        </w:tc>
        <w:tc>
          <w:tcPr>
            <w:tcW w:type="dxa" w:w="1615"/>
          </w:tcPr>
          <w:p>
            <w:r>
              <w:t>0.5344</w:t>
            </w:r>
          </w:p>
        </w:tc>
        <w:tc>
          <w:tcPr>
            <w:tcW w:type="dxa" w:w="1615"/>
          </w:tcPr>
          <w:p>
            <w:r>
              <w:t>0.3623</w:t>
            </w:r>
          </w:p>
        </w:tc>
        <w:tc>
          <w:tcPr>
            <w:tcW w:type="dxa" w:w="1615"/>
          </w:tcPr>
          <w:p>
            <w:r>
              <w:t>0.7899</w:t>
            </w:r>
          </w:p>
        </w:tc>
        <w:tc>
          <w:tcPr>
            <w:tcW w:type="dxa" w:w="1615"/>
          </w:tcPr>
          <w:p>
            <w:r>
              <w:t>135</w:t>
            </w:r>
          </w:p>
        </w:tc>
      </w:tr>
      <w:tr>
        <w:tc>
          <w:tcPr>
            <w:tcW w:type="dxa" w:w="1615"/>
          </w:tcPr>
          <w:p>
            <w:r>
              <w:t>LightGCN</w:t>
            </w:r>
          </w:p>
        </w:tc>
        <w:tc>
          <w:tcPr>
            <w:tcW w:type="dxa" w:w="1615"/>
          </w:tcPr>
          <w:p>
            <w:r>
              <w:t>0.1617</w:t>
            </w:r>
          </w:p>
        </w:tc>
        <w:tc>
          <w:tcPr>
            <w:tcW w:type="dxa" w:w="1615"/>
          </w:tcPr>
          <w:p>
            <w:r>
              <w:t>0.5635</w:t>
            </w:r>
          </w:p>
        </w:tc>
        <w:tc>
          <w:tcPr>
            <w:tcW w:type="dxa" w:w="1615"/>
          </w:tcPr>
          <w:p>
            <w:r>
              <w:t>0.3860</w:t>
            </w:r>
          </w:p>
        </w:tc>
        <w:tc>
          <w:tcPr>
            <w:tcW w:type="dxa" w:w="1615"/>
          </w:tcPr>
          <w:p>
            <w:r>
              <w:t>0.8140</w:t>
            </w:r>
          </w:p>
        </w:tc>
        <w:tc>
          <w:tcPr>
            <w:tcW w:type="dxa" w:w="1615"/>
          </w:tcPr>
          <w:p>
            <w:r>
              <w:t>1471</w:t>
            </w:r>
          </w:p>
        </w:tc>
      </w:tr>
      <w:tr>
        <w:tc>
          <w:tcPr>
            <w:tcW w:type="dxa" w:w="1615"/>
          </w:tcPr>
          <w:p>
            <w:r>
              <w:t>NGCF</w:t>
            </w:r>
          </w:p>
        </w:tc>
        <w:tc>
          <w:tcPr>
            <w:tcW w:type="dxa" w:w="1615"/>
          </w:tcPr>
          <w:p>
            <w:r>
              <w:t>0.1549</w:t>
            </w:r>
          </w:p>
        </w:tc>
        <w:tc>
          <w:tcPr>
            <w:tcW w:type="dxa" w:w="1615"/>
          </w:tcPr>
          <w:p>
            <w:r>
              <w:t>0.5308</w:t>
            </w:r>
          </w:p>
        </w:tc>
        <w:tc>
          <w:tcPr>
            <w:tcW w:type="dxa" w:w="1615"/>
          </w:tcPr>
          <w:p>
            <w:r>
              <w:t>0.3616</w:t>
            </w:r>
          </w:p>
        </w:tc>
        <w:tc>
          <w:tcPr>
            <w:tcW w:type="dxa" w:w="1615"/>
          </w:tcPr>
          <w:p>
            <w:r>
              <w:t>0.7860</w:t>
            </w:r>
          </w:p>
        </w:tc>
        <w:tc>
          <w:tcPr>
            <w:tcW w:type="dxa" w:w="1615"/>
          </w:tcPr>
          <w:p>
            <w:r>
              <w:t>1850</w:t>
            </w:r>
          </w:p>
        </w:tc>
      </w:tr>
    </w:tbl>
    <w:p>
      <w:r>
        <w:rPr>
          <w:rFonts w:ascii="Times New Roman" w:hAnsi="Times New Roman"/>
          <w:b w:val="0"/>
          <w:i w:val="0"/>
          <w:sz w:val="24"/>
        </w:rPr>
      </w:r>
    </w:p>
    <w:p>
      <w:r>
        <w:drawing>
          <wp:inline xmlns:a="http://schemas.openxmlformats.org/drawingml/2006/main" xmlns:pic="http://schemas.openxmlformats.org/drawingml/2006/picture">
            <wp:extent cx="5400000" cy="17446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5 - Кривые обучения (loss и NDCG@10 на val)</w:t>
      </w:r>
    </w:p>
    <w:p>
      <w:r>
        <w:drawing>
          <wp:inline xmlns:a="http://schemas.openxmlformats.org/drawingml/2006/main" xmlns:pic="http://schemas.openxmlformats.org/drawingml/2006/picture">
            <wp:extent cx="5400000" cy="27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6 - Сравнение моделей по тестовым метрикам</w:t>
      </w:r>
    </w:p>
    <w:p>
      <w:r>
        <w:rPr>
          <w:rFonts w:ascii="Times New Roman" w:hAnsi="Times New Roman"/>
          <w:b w:val="0"/>
          <w:i w:val="0"/>
          <w:sz w:val="24"/>
        </w:rPr>
        <w:t>Подбор гиперпараметров. Для лучшей модели запущен автоматический поиск по сетке из 12 конфигураций. Перебирались dim из {32, 64}, n_layers из {2, 3}, lr из {1e-3, 5e-3}, reg_w из {1e-5, 1e-4}. Топ-10 в таблице 3.</w:t>
      </w:r>
    </w:p>
    <w:p>
      <w:r>
        <w:rPr>
          <w:rFonts w:ascii="Times New Roman" w:hAnsi="Times New Roman"/>
          <w:b w:val="0"/>
          <w:i/>
          <w:sz w:val="24"/>
        </w:rPr>
        <w:t>Таблица 3 - Топ-10 конфигураций по NDCG@10 на валидации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r>
              <w:t>dim</w:t>
            </w:r>
          </w:p>
        </w:tc>
        <w:tc>
          <w:tcPr>
            <w:tcW w:type="dxa" w:w="1615"/>
          </w:tcPr>
          <w:p>
            <w:r>
              <w:t>n_layers</w:t>
            </w:r>
          </w:p>
        </w:tc>
        <w:tc>
          <w:tcPr>
            <w:tcW w:type="dxa" w:w="1615"/>
          </w:tcPr>
          <w:p>
            <w:r>
              <w:t>lr</w:t>
            </w:r>
          </w:p>
        </w:tc>
        <w:tc>
          <w:tcPr>
            <w:tcW w:type="dxa" w:w="1615"/>
          </w:tcPr>
          <w:p>
            <w:r>
              <w:t>reg_w</w:t>
            </w:r>
          </w:p>
        </w:tc>
        <w:tc>
          <w:tcPr>
            <w:tcW w:type="dxa" w:w="1615"/>
          </w:tcPr>
          <w:p>
            <w:r>
              <w:t>val NDCG@10</w:t>
            </w:r>
          </w:p>
        </w:tc>
        <w:tc>
          <w:tcPr>
            <w:tcW w:type="dxa" w:w="1615"/>
          </w:tcPr>
          <w:p>
            <w:r>
              <w:t>test NDCG@10</w:t>
            </w:r>
          </w:p>
        </w:tc>
      </w:tr>
      <w:tr>
        <w:tc>
          <w:tcPr>
            <w:tcW w:type="dxa" w:w="1615"/>
          </w:tcPr>
          <w:p>
            <w:r>
              <w:t>64</w:t>
            </w:r>
          </w:p>
        </w:tc>
        <w:tc>
          <w:tcPr>
            <w:tcW w:type="dxa" w:w="1615"/>
          </w:tcPr>
          <w:p>
            <w:r>
              <w:t>2</w:t>
            </w:r>
          </w:p>
        </w:tc>
        <w:tc>
          <w:tcPr>
            <w:tcW w:type="dxa" w:w="1615"/>
          </w:tcPr>
          <w:p>
            <w:r>
              <w:t>5e-03</w:t>
            </w:r>
          </w:p>
        </w:tc>
        <w:tc>
          <w:tcPr>
            <w:tcW w:type="dxa" w:w="1615"/>
          </w:tcPr>
          <w:p>
            <w:r>
              <w:t>1e-04</w:t>
            </w:r>
          </w:p>
        </w:tc>
        <w:tc>
          <w:tcPr>
            <w:tcW w:type="dxa" w:w="1615"/>
          </w:tcPr>
          <w:p>
            <w:r>
              <w:t>0.3793</w:t>
            </w:r>
          </w:p>
        </w:tc>
        <w:tc>
          <w:tcPr>
            <w:tcW w:type="dxa" w:w="1615"/>
          </w:tcPr>
          <w:p>
            <w:r>
              <w:t>0.3774</w:t>
            </w:r>
          </w:p>
        </w:tc>
      </w:tr>
      <w:tr>
        <w:tc>
          <w:tcPr>
            <w:tcW w:type="dxa" w:w="1615"/>
          </w:tcPr>
          <w:p>
            <w:r>
              <w:t>64</w:t>
            </w:r>
          </w:p>
        </w:tc>
        <w:tc>
          <w:tcPr>
            <w:tcW w:type="dxa" w:w="1615"/>
          </w:tcPr>
          <w:p>
            <w:r>
              <w:t>2</w:t>
            </w:r>
          </w:p>
        </w:tc>
        <w:tc>
          <w:tcPr>
            <w:tcW w:type="dxa" w:w="1615"/>
          </w:tcPr>
          <w:p>
            <w:r>
              <w:t>5e-03</w:t>
            </w:r>
          </w:p>
        </w:tc>
        <w:tc>
          <w:tcPr>
            <w:tcW w:type="dxa" w:w="1615"/>
          </w:tcPr>
          <w:p>
            <w:r>
              <w:t>1e-05</w:t>
            </w:r>
          </w:p>
        </w:tc>
        <w:tc>
          <w:tcPr>
            <w:tcW w:type="dxa" w:w="1615"/>
          </w:tcPr>
          <w:p>
            <w:r>
              <w:t>0.3792</w:t>
            </w:r>
          </w:p>
        </w:tc>
        <w:tc>
          <w:tcPr>
            <w:tcW w:type="dxa" w:w="1615"/>
          </w:tcPr>
          <w:p>
            <w:r>
              <w:t>0.3772</w:t>
            </w:r>
          </w:p>
        </w:tc>
      </w:tr>
      <w:tr>
        <w:tc>
          <w:tcPr>
            <w:tcW w:type="dxa" w:w="1615"/>
          </w:tcPr>
          <w:p>
            <w:r>
              <w:t>32</w:t>
            </w:r>
          </w:p>
        </w:tc>
        <w:tc>
          <w:tcPr>
            <w:tcW w:type="dxa" w:w="1615"/>
          </w:tcPr>
          <w:p>
            <w:r>
              <w:t>2</w:t>
            </w:r>
          </w:p>
        </w:tc>
        <w:tc>
          <w:tcPr>
            <w:tcW w:type="dxa" w:w="1615"/>
          </w:tcPr>
          <w:p>
            <w:r>
              <w:t>5e-03</w:t>
            </w:r>
          </w:p>
        </w:tc>
        <w:tc>
          <w:tcPr>
            <w:tcW w:type="dxa" w:w="1615"/>
          </w:tcPr>
          <w:p>
            <w:r>
              <w:t>1e-05</w:t>
            </w:r>
          </w:p>
        </w:tc>
        <w:tc>
          <w:tcPr>
            <w:tcW w:type="dxa" w:w="1615"/>
          </w:tcPr>
          <w:p>
            <w:r>
              <w:t>0.3778</w:t>
            </w:r>
          </w:p>
        </w:tc>
        <w:tc>
          <w:tcPr>
            <w:tcW w:type="dxa" w:w="1615"/>
          </w:tcPr>
          <w:p>
            <w:r>
              <w:t>0.3755</w:t>
            </w:r>
          </w:p>
        </w:tc>
      </w:tr>
      <w:tr>
        <w:tc>
          <w:tcPr>
            <w:tcW w:type="dxa" w:w="1615"/>
          </w:tcPr>
          <w:p>
            <w:r>
              <w:t>32</w:t>
            </w:r>
          </w:p>
        </w:tc>
        <w:tc>
          <w:tcPr>
            <w:tcW w:type="dxa" w:w="1615"/>
          </w:tcPr>
          <w:p>
            <w:r>
              <w:t>2</w:t>
            </w:r>
          </w:p>
        </w:tc>
        <w:tc>
          <w:tcPr>
            <w:tcW w:type="dxa" w:w="1615"/>
          </w:tcPr>
          <w:p>
            <w:r>
              <w:t>5e-03</w:t>
            </w:r>
          </w:p>
        </w:tc>
        <w:tc>
          <w:tcPr>
            <w:tcW w:type="dxa" w:w="1615"/>
          </w:tcPr>
          <w:p>
            <w:r>
              <w:t>1e-04</w:t>
            </w:r>
          </w:p>
        </w:tc>
        <w:tc>
          <w:tcPr>
            <w:tcW w:type="dxa" w:w="1615"/>
          </w:tcPr>
          <w:p>
            <w:r>
              <w:t>0.3777</w:t>
            </w:r>
          </w:p>
        </w:tc>
        <w:tc>
          <w:tcPr>
            <w:tcW w:type="dxa" w:w="1615"/>
          </w:tcPr>
          <w:p>
            <w:r>
              <w:t>0.3754</w:t>
            </w:r>
          </w:p>
        </w:tc>
      </w:tr>
      <w:tr>
        <w:tc>
          <w:tcPr>
            <w:tcW w:type="dxa" w:w="1615"/>
          </w:tcPr>
          <w:p>
            <w:r>
              <w:t>32</w:t>
            </w:r>
          </w:p>
        </w:tc>
        <w:tc>
          <w:tcPr>
            <w:tcW w:type="dxa" w:w="1615"/>
          </w:tcPr>
          <w:p>
            <w:r>
              <w:t>3</w:t>
            </w:r>
          </w:p>
        </w:tc>
        <w:tc>
          <w:tcPr>
            <w:tcW w:type="dxa" w:w="1615"/>
          </w:tcPr>
          <w:p>
            <w:r>
              <w:t>5e-03</w:t>
            </w:r>
          </w:p>
        </w:tc>
        <w:tc>
          <w:tcPr>
            <w:tcW w:type="dxa" w:w="1615"/>
          </w:tcPr>
          <w:p>
            <w:r>
              <w:t>1e-05</w:t>
            </w:r>
          </w:p>
        </w:tc>
        <w:tc>
          <w:tcPr>
            <w:tcW w:type="dxa" w:w="1615"/>
          </w:tcPr>
          <w:p>
            <w:r>
              <w:t>0.3724</w:t>
            </w:r>
          </w:p>
        </w:tc>
        <w:tc>
          <w:tcPr>
            <w:tcW w:type="dxa" w:w="1615"/>
          </w:tcPr>
          <w:p>
            <w:r>
              <w:t>0.3711</w:t>
            </w:r>
          </w:p>
        </w:tc>
      </w:tr>
      <w:tr>
        <w:tc>
          <w:tcPr>
            <w:tcW w:type="dxa" w:w="1615"/>
          </w:tcPr>
          <w:p>
            <w:r>
              <w:t>32</w:t>
            </w:r>
          </w:p>
        </w:tc>
        <w:tc>
          <w:tcPr>
            <w:tcW w:type="dxa" w:w="1615"/>
          </w:tcPr>
          <w:p>
            <w:r>
              <w:t>3</w:t>
            </w:r>
          </w:p>
        </w:tc>
        <w:tc>
          <w:tcPr>
            <w:tcW w:type="dxa" w:w="1615"/>
          </w:tcPr>
          <w:p>
            <w:r>
              <w:t>5e-03</w:t>
            </w:r>
          </w:p>
        </w:tc>
        <w:tc>
          <w:tcPr>
            <w:tcW w:type="dxa" w:w="1615"/>
          </w:tcPr>
          <w:p>
            <w:r>
              <w:t>1e-04</w:t>
            </w:r>
          </w:p>
        </w:tc>
        <w:tc>
          <w:tcPr>
            <w:tcW w:type="dxa" w:w="1615"/>
          </w:tcPr>
          <w:p>
            <w:r>
              <w:t>0.3721</w:t>
            </w:r>
          </w:p>
        </w:tc>
        <w:tc>
          <w:tcPr>
            <w:tcW w:type="dxa" w:w="1615"/>
          </w:tcPr>
          <w:p>
            <w:r>
              <w:t>0.3709</w:t>
            </w:r>
          </w:p>
        </w:tc>
      </w:tr>
      <w:tr>
        <w:tc>
          <w:tcPr>
            <w:tcW w:type="dxa" w:w="1615"/>
          </w:tcPr>
          <w:p>
            <w:r>
              <w:t>64</w:t>
            </w:r>
          </w:p>
        </w:tc>
        <w:tc>
          <w:tcPr>
            <w:tcW w:type="dxa" w:w="1615"/>
          </w:tcPr>
          <w:p>
            <w:r>
              <w:t>2</w:t>
            </w:r>
          </w:p>
        </w:tc>
        <w:tc>
          <w:tcPr>
            <w:tcW w:type="dxa" w:w="1615"/>
          </w:tcPr>
          <w:p>
            <w:r>
              <w:t>1e-03</w:t>
            </w:r>
          </w:p>
        </w:tc>
        <w:tc>
          <w:tcPr>
            <w:tcW w:type="dxa" w:w="1615"/>
          </w:tcPr>
          <w:p>
            <w:r>
              <w:t>1e-05</w:t>
            </w:r>
          </w:p>
        </w:tc>
        <w:tc>
          <w:tcPr>
            <w:tcW w:type="dxa" w:w="1615"/>
          </w:tcPr>
          <w:p>
            <w:r>
              <w:t>0.3483</w:t>
            </w:r>
          </w:p>
        </w:tc>
        <w:tc>
          <w:tcPr>
            <w:tcW w:type="dxa" w:w="1615"/>
          </w:tcPr>
          <w:p>
            <w:r>
              <w:t>0.3482</w:t>
            </w:r>
          </w:p>
        </w:tc>
      </w:tr>
      <w:tr>
        <w:tc>
          <w:tcPr>
            <w:tcW w:type="dxa" w:w="1615"/>
          </w:tcPr>
          <w:p>
            <w:r>
              <w:t>64</w:t>
            </w:r>
          </w:p>
        </w:tc>
        <w:tc>
          <w:tcPr>
            <w:tcW w:type="dxa" w:w="1615"/>
          </w:tcPr>
          <w:p>
            <w:r>
              <w:t>2</w:t>
            </w:r>
          </w:p>
        </w:tc>
        <w:tc>
          <w:tcPr>
            <w:tcW w:type="dxa" w:w="1615"/>
          </w:tcPr>
          <w:p>
            <w:r>
              <w:t>1e-03</w:t>
            </w:r>
          </w:p>
        </w:tc>
        <w:tc>
          <w:tcPr>
            <w:tcW w:type="dxa" w:w="1615"/>
          </w:tcPr>
          <w:p>
            <w:r>
              <w:t>1e-04</w:t>
            </w:r>
          </w:p>
        </w:tc>
        <w:tc>
          <w:tcPr>
            <w:tcW w:type="dxa" w:w="1615"/>
          </w:tcPr>
          <w:p>
            <w:r>
              <w:t>0.3481</w:t>
            </w:r>
          </w:p>
        </w:tc>
        <w:tc>
          <w:tcPr>
            <w:tcW w:type="dxa" w:w="1615"/>
          </w:tcPr>
          <w:p>
            <w:r>
              <w:t>0.3480</w:t>
            </w:r>
          </w:p>
        </w:tc>
      </w:tr>
      <w:tr>
        <w:tc>
          <w:tcPr>
            <w:tcW w:type="dxa" w:w="1615"/>
          </w:tcPr>
          <w:p>
            <w:r>
              <w:t>32</w:t>
            </w:r>
          </w:p>
        </w:tc>
        <w:tc>
          <w:tcPr>
            <w:tcW w:type="dxa" w:w="1615"/>
          </w:tcPr>
          <w:p>
            <w:r>
              <w:t>2</w:t>
            </w:r>
          </w:p>
        </w:tc>
        <w:tc>
          <w:tcPr>
            <w:tcW w:type="dxa" w:w="1615"/>
          </w:tcPr>
          <w:p>
            <w:r>
              <w:t>1e-03</w:t>
            </w:r>
          </w:p>
        </w:tc>
        <w:tc>
          <w:tcPr>
            <w:tcW w:type="dxa" w:w="1615"/>
          </w:tcPr>
          <w:p>
            <w:r>
              <w:t>1e-05</w:t>
            </w:r>
          </w:p>
        </w:tc>
        <w:tc>
          <w:tcPr>
            <w:tcW w:type="dxa" w:w="1615"/>
          </w:tcPr>
          <w:p>
            <w:r>
              <w:t>0.3418</w:t>
            </w:r>
          </w:p>
        </w:tc>
        <w:tc>
          <w:tcPr>
            <w:tcW w:type="dxa" w:w="1615"/>
          </w:tcPr>
          <w:p>
            <w:r>
              <w:t>0.3418</w:t>
            </w:r>
          </w:p>
        </w:tc>
      </w:tr>
      <w:tr>
        <w:tc>
          <w:tcPr>
            <w:tcW w:type="dxa" w:w="1615"/>
          </w:tcPr>
          <w:p>
            <w:r>
              <w:t>32</w:t>
            </w:r>
          </w:p>
        </w:tc>
        <w:tc>
          <w:tcPr>
            <w:tcW w:type="dxa" w:w="1615"/>
          </w:tcPr>
          <w:p>
            <w:r>
              <w:t>2</w:t>
            </w:r>
          </w:p>
        </w:tc>
        <w:tc>
          <w:tcPr>
            <w:tcW w:type="dxa" w:w="1615"/>
          </w:tcPr>
          <w:p>
            <w:r>
              <w:t>1e-03</w:t>
            </w:r>
          </w:p>
        </w:tc>
        <w:tc>
          <w:tcPr>
            <w:tcW w:type="dxa" w:w="1615"/>
          </w:tcPr>
          <w:p>
            <w:r>
              <w:t>1e-04</w:t>
            </w:r>
          </w:p>
        </w:tc>
        <w:tc>
          <w:tcPr>
            <w:tcW w:type="dxa" w:w="1615"/>
          </w:tcPr>
          <w:p>
            <w:r>
              <w:t>0.3418</w:t>
            </w:r>
          </w:p>
        </w:tc>
        <w:tc>
          <w:tcPr>
            <w:tcW w:type="dxa" w:w="1615"/>
          </w:tcPr>
          <w:p>
            <w:r>
              <w:t>0.3417</w:t>
            </w:r>
          </w:p>
        </w:tc>
      </w:tr>
    </w:tbl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 w:val="0"/>
          <w:sz w:val="24"/>
        </w:rPr>
        <w:t>Лучшая конфигурация: {'dim': 64, 'n_layers': 2, 'lr': 0.005, 'reg_w': 0.0001}, test NDCG@10 = 0.3774.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32"/>
        </w:rPr>
        <w:t>3 Анализ</w:t>
      </w:r>
    </w:p>
    <w:p>
      <w:r>
        <w:rPr>
          <w:rFonts w:ascii="Times New Roman" w:hAnsi="Times New Roman"/>
          <w:b w:val="0"/>
          <w:i w:val="0"/>
          <w:sz w:val="24"/>
        </w:rPr>
        <w:t>Лучший NDCG@10 на тесте показал LightGCN (0.3860). Все обучаемые модели обгоняют popularity-baseline. Между MF-BPR, LightGCN и NGCF разрыв небольшой - так и должно быть на плотном Jester (около 56%), где структура связей шуток уже почти полностью покрыта оценками.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3.1 Анализ выбранных моделей</w:t>
      </w:r>
    </w:p>
    <w:p>
      <w:r>
        <w:rPr>
          <w:rFonts w:ascii="Times New Roman" w:hAnsi="Times New Roman"/>
          <w:b w:val="0"/>
          <w:i w:val="0"/>
          <w:sz w:val="24"/>
        </w:rPr>
        <w:t>Popularity не имеет персонализации, поэтому работает хуже всех остальных по NDCG@10. При этом Recall@10 у неё уже около 0.48 - на плотных данных даже без обучения можно получить разумную выдачу.</w:t>
      </w:r>
    </w:p>
    <w:p>
      <w:r>
        <w:rPr>
          <w:rFonts w:ascii="Times New Roman" w:hAnsi="Times New Roman"/>
          <w:b w:val="0"/>
          <w:i w:val="0"/>
          <w:sz w:val="24"/>
        </w:rPr>
        <w:t>MF-BPR быстро учится, но и быстро переобучается. По графику обучения val-метрика достигает пика примерно на 4-й эпохе и потом монотонно падает. У модели нет структурной регуляризации, поэтому при долгом обучении она запоминает train.</w:t>
      </w:r>
    </w:p>
    <w:p>
      <w:r>
        <w:rPr>
          <w:rFonts w:ascii="Times New Roman" w:hAnsi="Times New Roman"/>
          <w:b w:val="0"/>
          <w:i w:val="0"/>
          <w:sz w:val="24"/>
        </w:rPr>
        <w:t>LightGCN держится дольше. Агрегация по соседям сама по себе работает как регуляризатор. Val-метрика растёт стабильно, лучший чекпоинт получается ближе к концу обучения. Это согласуется с известным свойством GCN.</w:t>
      </w:r>
    </w:p>
    <w:p>
      <w:r>
        <w:rPr>
          <w:rFonts w:ascii="Times New Roman" w:hAnsi="Times New Roman"/>
          <w:b w:val="0"/>
          <w:i w:val="0"/>
          <w:sz w:val="24"/>
        </w:rPr>
        <w:t>NGCF на Jester ведёт себя похоже на MF-BPR: быстро переобучается. Сказывается избыточная выразительность (W1, W2, нелинейность) на плотных данных. Без сильной регуляризации модель слишком хорошо запоминает train.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3.2 Выбор финальной модели</w:t>
      </w:r>
    </w:p>
    <w:p>
      <w:r>
        <w:rPr>
          <w:rFonts w:ascii="Times New Roman" w:hAnsi="Times New Roman"/>
          <w:b w:val="0"/>
          <w:i w:val="0"/>
          <w:sz w:val="24"/>
        </w:rPr>
        <w:t>Финальная модель выбирается по NDCG@10. По этому критерию лучшая - LightGCN. Она же показывает лучший Recall@10 и HitRate@10. Время обучения у графовых моделей в десятки раз больше, чем у MF-BPR, но прирост по метрикам всё-таки оправдывает выбор графовой модели как итоговой.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32"/>
        </w:rPr>
        <w:t>Заключение</w:t>
      </w:r>
    </w:p>
    <w:p>
      <w:r>
        <w:rPr>
          <w:rFonts w:ascii="Times New Roman" w:hAnsi="Times New Roman"/>
          <w:b w:val="0"/>
          <w:i w:val="0"/>
          <w:sz w:val="24"/>
        </w:rPr>
        <w:t>В работе реализован полный воспроизводимый pipeline: загрузка и склейка данных Jester, построение двудольного графа, разделение на train/val/test, обучение четырёх моделей (Popularity, MF-BPR, LightGCN, NGCF) с единой BPR-loss, расчёт метрик Precision@K, Recall@K, NDCG@K, HitRate@K и подбор гиперпараметров через Grid Search.</w:t>
      </w:r>
    </w:p>
    <w:p>
      <w:r>
        <w:rPr>
          <w:rFonts w:ascii="Times New Roman" w:hAnsi="Times New Roman"/>
          <w:b w:val="0"/>
          <w:i w:val="0"/>
          <w:sz w:val="24"/>
        </w:rPr>
        <w:t>Лучшая модель - LightGCN, NDCG@10 = 0.3860. Это нормальный уровень для современных recsys-моделей на датасетах средней плотности.</w:t>
      </w:r>
    </w:p>
    <w:p>
      <w:r>
        <w:rPr>
          <w:rFonts w:ascii="Times New Roman" w:hAnsi="Times New Roman"/>
          <w:b w:val="0"/>
          <w:i w:val="0"/>
          <w:sz w:val="24"/>
        </w:rPr>
        <w:t>Главный практический вывод. Графовые модели обгоняют классическую матричную факторизацию на Jester, но не так сильно, как обычно пишут в статьях. Причина в плотности данных: 56% - это много, основная информация про пользователя и так есть прямо в его оценках. Архитектуру recsys стоит выбирать под характер данных: на плотных доменах с малым числом объектов выигрыш графовых моделей ограничен.</w:t>
      </w:r>
    </w:p>
    <w:p>
      <w:r>
        <w:rPr>
          <w:rFonts w:ascii="Times New Roman" w:hAnsi="Times New Roman"/>
          <w:b w:val="0"/>
          <w:i w:val="0"/>
          <w:sz w:val="24"/>
        </w:rPr>
        <w:t>Перспективы. Что можно улучшить: (а) использовать rating-aware BPR с весами рёбер по силе предпочтения; (б) добавить self-supervised методы (SGL, SimGCL); (в) подмешать текстовые признаки шуток в духе PinSAGE; (г) повторить эксперимент на разреженных датасетах (MovieLens-1M, Amazon-Book), где у графовых моделей обычно гораздо больший отрыв.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32"/>
        </w:rPr>
        <w:t>Список использованных источников</w:t>
      </w:r>
    </w:p>
    <w:p>
      <w:r>
        <w:rPr>
          <w:rFonts w:ascii="Times New Roman" w:hAnsi="Times New Roman"/>
          <w:sz w:val="24"/>
        </w:rPr>
        <w:t>1. Jester Dataset homepage: https://goldberg.berkeley.edu/jester-data/</w:t>
      </w:r>
    </w:p>
    <w:p>
      <w:r>
        <w:rPr>
          <w:rFonts w:ascii="Times New Roman" w:hAnsi="Times New Roman"/>
          <w:sz w:val="24"/>
        </w:rPr>
        <w:t>2. PyTorch documentation: https://pytorch.org/docs/stable/</w:t>
      </w:r>
    </w:p>
    <w:p>
      <w:r>
        <w:rPr>
          <w:rFonts w:ascii="Times New Roman" w:hAnsi="Times New Roman"/>
          <w:sz w:val="24"/>
        </w:rPr>
        <w:t>3. NumPy documentation: https://numpy.org/doc/stable/</w:t>
      </w:r>
    </w:p>
    <w:p>
      <w:r>
        <w:rPr>
          <w:rFonts w:ascii="Times New Roman" w:hAnsi="Times New Roman"/>
          <w:sz w:val="24"/>
        </w:rPr>
        <w:t>4. Pandas documentation: https://pandas.pydata.org/docs/</w:t>
      </w:r>
    </w:p>
    <w:p>
      <w:r>
        <w:rPr>
          <w:rFonts w:ascii="Times New Roman" w:hAnsi="Times New Roman"/>
          <w:sz w:val="24"/>
        </w:rPr>
        <w:t>5. SciPy Sparse documentation: https://docs.scipy.org/doc/scipy/reference/sparse.html</w:t>
      </w:r>
    </w:p>
    <w:p>
      <w:r>
        <w:rPr>
          <w:rFonts w:ascii="Times New Roman" w:hAnsi="Times New Roman"/>
          <w:sz w:val="24"/>
        </w:rPr>
        <w:t>6. Matplotlib documentation: https://matplotlib.org/stable/index.html</w:t>
      </w:r>
    </w:p>
    <w:p>
      <w:r>
        <w:rPr>
          <w:rFonts w:ascii="Times New Roman" w:hAnsi="Times New Roman"/>
          <w:sz w:val="24"/>
        </w:rPr>
        <w:t>7. He X. et al. LightGCN: Simplifying and Powering Graph Convolution Network for Recommendation. arXiv: https://arxiv.org/abs/2002.02126</w:t>
      </w:r>
    </w:p>
    <w:p>
      <w:r>
        <w:rPr>
          <w:rFonts w:ascii="Times New Roman" w:hAnsi="Times New Roman"/>
          <w:sz w:val="24"/>
        </w:rPr>
        <w:t>8. Wang X. et al. Neural Graph Collaborative Filtering. arXiv: https://arxiv.org/abs/1905.08108</w:t>
      </w:r>
    </w:p>
    <w:p>
      <w:r>
        <w:rPr>
          <w:rFonts w:ascii="Times New Roman" w:hAnsi="Times New Roman"/>
          <w:sz w:val="24"/>
        </w:rPr>
        <w:t>9. Rendle S. et al. BPR: Bayesian Personalized Ranking from Implicit Feedback. arXiv: https://arxiv.org/abs/1205.2618</w:t>
      </w:r>
    </w:p>
    <w:p>
      <w:r>
        <w:rPr>
          <w:rFonts w:ascii="Times New Roman" w:hAnsi="Times New Roman"/>
          <w:sz w:val="24"/>
        </w:rPr>
        <w:t>10. Towards Data Science. A gentle introduction to LightGCN: https://towardsdatascience.com/lightgcn-with-pytorch-geometric-91bab836471e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