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4054" w14:textId="67F7B85C" w:rsidR="006A4F2D" w:rsidRPr="00D57750" w:rsidRDefault="00F63D41" w:rsidP="004845E8">
      <w:pPr>
        <w:pStyle w:val="1"/>
        <w:spacing w:before="0" w:after="0" w:line="240" w:lineRule="auto"/>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 xml:space="preserve"> </w:t>
      </w:r>
      <w:r w:rsidR="00F9627B" w:rsidRPr="00D57750">
        <w:rPr>
          <w:rFonts w:ascii="楷体" w:eastAsia="楷体" w:hAnsi="楷体" w:hint="eastAsia"/>
          <w:sz w:val="28"/>
          <w:szCs w:val="28"/>
        </w:rPr>
        <w:t>医疗行业</w:t>
      </w:r>
      <w:r w:rsidR="00450230" w:rsidRPr="00D57750">
        <w:rPr>
          <w:rFonts w:ascii="楷体" w:eastAsia="楷体" w:hAnsi="楷体" w:hint="eastAsia"/>
          <w:sz w:val="28"/>
          <w:szCs w:val="28"/>
        </w:rPr>
        <w:t>整体</w:t>
      </w:r>
      <w:r w:rsidR="00F9627B" w:rsidRPr="00D57750">
        <w:rPr>
          <w:rFonts w:ascii="楷体" w:eastAsia="楷体" w:hAnsi="楷体" w:hint="eastAsia"/>
          <w:sz w:val="28"/>
          <w:szCs w:val="28"/>
        </w:rPr>
        <w:t>市场分析</w:t>
      </w:r>
    </w:p>
    <w:p w14:paraId="57E3AC28" w14:textId="5D74F4E3" w:rsidR="002B5A2F" w:rsidRPr="00D57750" w:rsidRDefault="00D57750" w:rsidP="00D57750">
      <w:pPr>
        <w:pStyle w:val="2"/>
        <w:spacing w:before="0" w:after="0" w:line="240" w:lineRule="auto"/>
        <w:rPr>
          <w:rFonts w:ascii="楷体" w:eastAsia="楷体" w:hAnsi="楷体"/>
          <w:sz w:val="24"/>
          <w:szCs w:val="24"/>
        </w:rPr>
      </w:pPr>
      <w:r w:rsidRPr="00D57750">
        <w:rPr>
          <w:rFonts w:ascii="楷体" w:eastAsia="楷体" w:hAnsi="楷体" w:hint="eastAsia"/>
          <w:sz w:val="24"/>
          <w:szCs w:val="24"/>
        </w:rPr>
        <w:t>1.1</w:t>
      </w:r>
      <w:r w:rsidRPr="00D57750">
        <w:rPr>
          <w:rFonts w:ascii="楷体" w:eastAsia="楷体" w:hAnsi="楷体"/>
          <w:sz w:val="24"/>
          <w:szCs w:val="24"/>
        </w:rPr>
        <w:t xml:space="preserve"> </w:t>
      </w:r>
      <w:r w:rsidR="002B5A2F" w:rsidRPr="00D57750">
        <w:rPr>
          <w:rFonts w:ascii="楷体" w:eastAsia="楷体" w:hAnsi="楷体" w:hint="eastAsia"/>
          <w:sz w:val="24"/>
          <w:szCs w:val="24"/>
        </w:rPr>
        <w:t>医疗行业市场规模增长，市场前景依旧广阔</w:t>
      </w:r>
    </w:p>
    <w:p w14:paraId="54505977" w14:textId="291DDAFE" w:rsidR="002B5A2F" w:rsidRDefault="002B5A2F" w:rsidP="005C5AB6">
      <w:pPr>
        <w:pStyle w:val="a3"/>
        <w:ind w:firstLine="360"/>
        <w:rPr>
          <w:rFonts w:ascii="楷体" w:eastAsia="楷体" w:hAnsi="楷体"/>
          <w:sz w:val="18"/>
          <w:szCs w:val="20"/>
        </w:rPr>
      </w:pPr>
      <w:r w:rsidRPr="00D60463">
        <w:rPr>
          <w:rFonts w:ascii="楷体" w:eastAsia="楷体" w:hAnsi="楷体" w:hint="eastAsia"/>
          <w:sz w:val="18"/>
          <w:szCs w:val="20"/>
        </w:rPr>
        <w:t>2014-2019年，医疗市场整体收入端呈现上升趋势，增速趋于平稳，2018年增速维持在16%左右。</w:t>
      </w:r>
      <w:r w:rsidR="00820D4C">
        <w:rPr>
          <w:rFonts w:ascii="楷体" w:eastAsia="楷体" w:hAnsi="楷体" w:hint="eastAsia"/>
          <w:sz w:val="18"/>
          <w:szCs w:val="20"/>
        </w:rPr>
        <w:t>在人口老龄化趋势不改</w:t>
      </w:r>
      <w:r w:rsidR="006572BC">
        <w:rPr>
          <w:rFonts w:ascii="楷体" w:eastAsia="楷体" w:hAnsi="楷体" w:hint="eastAsia"/>
          <w:sz w:val="18"/>
          <w:szCs w:val="20"/>
        </w:rPr>
        <w:t>、医疗</w:t>
      </w:r>
      <w:r w:rsidR="006F7DF5">
        <w:rPr>
          <w:rFonts w:ascii="楷体" w:eastAsia="楷体" w:hAnsi="楷体" w:hint="eastAsia"/>
          <w:sz w:val="18"/>
          <w:szCs w:val="20"/>
        </w:rPr>
        <w:t>技术进步不断带来革命性新产品和商业模式、刚性医疗需求和高端自主医疗需求不断</w:t>
      </w:r>
      <w:r w:rsidR="00E7573B">
        <w:rPr>
          <w:rFonts w:ascii="楷体" w:eastAsia="楷体" w:hAnsi="楷体" w:hint="eastAsia"/>
          <w:sz w:val="18"/>
          <w:szCs w:val="20"/>
        </w:rPr>
        <w:t>增长的背景下，未来医疗行业市场前景依旧广阔。</w:t>
      </w:r>
    </w:p>
    <w:p w14:paraId="79670448" w14:textId="73F2DEC8" w:rsidR="00C47423" w:rsidRPr="00C47423" w:rsidRDefault="00C47423" w:rsidP="00C47423">
      <w:pPr>
        <w:pStyle w:val="a3"/>
        <w:ind w:firstLine="321"/>
        <w:jc w:val="center"/>
        <w:rPr>
          <w:rFonts w:ascii="楷体" w:eastAsia="楷体" w:hAnsi="楷体" w:hint="eastAsia"/>
          <w:b/>
          <w:bCs/>
          <w:sz w:val="16"/>
          <w:szCs w:val="18"/>
        </w:rPr>
      </w:pPr>
      <w:r>
        <w:rPr>
          <w:rFonts w:ascii="楷体" w:eastAsia="楷体" w:hAnsi="楷体" w:hint="eastAsia"/>
          <w:b/>
          <w:bCs/>
          <w:sz w:val="16"/>
          <w:szCs w:val="18"/>
        </w:rPr>
        <w:t>2014-2018年</w:t>
      </w:r>
      <w:r w:rsidRPr="00C47423">
        <w:rPr>
          <w:rFonts w:ascii="楷体" w:eastAsia="楷体" w:hAnsi="楷体" w:hint="eastAsia"/>
          <w:b/>
          <w:bCs/>
          <w:sz w:val="16"/>
          <w:szCs w:val="18"/>
        </w:rPr>
        <w:t>医疗行业整体收入及增速变化</w:t>
      </w:r>
    </w:p>
    <w:p w14:paraId="29850964" w14:textId="187AF43D" w:rsidR="002B5A2F" w:rsidRDefault="002B5A2F" w:rsidP="002B5A2F">
      <w:pPr>
        <w:pStyle w:val="a3"/>
        <w:ind w:left="732" w:firstLineChars="0" w:firstLine="0"/>
        <w:jc w:val="center"/>
        <w:rPr>
          <w:rFonts w:ascii="楷体" w:eastAsia="楷体" w:hAnsi="楷体"/>
          <w:sz w:val="18"/>
          <w:szCs w:val="20"/>
        </w:rPr>
      </w:pPr>
      <w:r w:rsidRPr="00D60463">
        <w:rPr>
          <w:rFonts w:ascii="楷体" w:eastAsia="楷体" w:hAnsi="楷体"/>
          <w:noProof/>
          <w:sz w:val="6"/>
          <w:szCs w:val="8"/>
        </w:rPr>
        <w:drawing>
          <wp:inline distT="0" distB="0" distL="0" distR="0" wp14:anchorId="1C3B673F" wp14:editId="2AB1C65E">
            <wp:extent cx="3292575" cy="1223010"/>
            <wp:effectExtent l="0" t="0" r="3175" b="15240"/>
            <wp:docPr id="2" name="图表 2">
              <a:extLst xmlns:a="http://schemas.openxmlformats.org/drawingml/2006/main">
                <a:ext uri="{FF2B5EF4-FFF2-40B4-BE49-F238E27FC236}">
                  <a16:creationId xmlns:a16="http://schemas.microsoft.com/office/drawing/2014/main" id="{32A346C6-B77F-48CF-AE35-71EEF8F78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62DD8D0" w14:textId="7F50554A" w:rsidR="002B5A2F" w:rsidRPr="00FF58EC" w:rsidRDefault="00FF58EC" w:rsidP="00FF58EC">
      <w:pPr>
        <w:pStyle w:val="a3"/>
        <w:ind w:left="732" w:firstLineChars="400" w:firstLine="600"/>
        <w:jc w:val="left"/>
        <w:rPr>
          <w:rFonts w:ascii="楷体" w:eastAsia="楷体" w:hAnsi="楷体"/>
          <w:sz w:val="15"/>
          <w:szCs w:val="16"/>
        </w:rPr>
      </w:pPr>
      <w:r w:rsidRPr="00FF58EC">
        <w:rPr>
          <w:rFonts w:ascii="楷体" w:eastAsia="楷体" w:hAnsi="楷体" w:hint="eastAsia"/>
          <w:sz w:val="15"/>
          <w:szCs w:val="16"/>
        </w:rPr>
        <w:t>数据来源：W</w:t>
      </w:r>
      <w:r w:rsidRPr="00FF58EC">
        <w:rPr>
          <w:rFonts w:ascii="楷体" w:eastAsia="楷体" w:hAnsi="楷体"/>
          <w:sz w:val="15"/>
          <w:szCs w:val="16"/>
        </w:rPr>
        <w:t>IND</w:t>
      </w:r>
    </w:p>
    <w:p w14:paraId="69640F3A" w14:textId="15B9FB3C" w:rsidR="00557E50" w:rsidRPr="00241FED" w:rsidRDefault="00241FED" w:rsidP="00241FED">
      <w:pPr>
        <w:pStyle w:val="2"/>
        <w:spacing w:before="0" w:after="0" w:line="240" w:lineRule="auto"/>
        <w:rPr>
          <w:rFonts w:ascii="楷体" w:eastAsia="楷体" w:hAnsi="楷体"/>
          <w:sz w:val="24"/>
          <w:szCs w:val="24"/>
        </w:rPr>
      </w:pPr>
      <w:r w:rsidRPr="00241FED">
        <w:rPr>
          <w:rFonts w:ascii="楷体" w:eastAsia="楷体" w:hAnsi="楷体" w:hint="eastAsia"/>
          <w:sz w:val="24"/>
          <w:szCs w:val="24"/>
        </w:rPr>
        <w:t>1.2</w:t>
      </w:r>
      <w:r w:rsidRPr="00241FED">
        <w:rPr>
          <w:rFonts w:ascii="楷体" w:eastAsia="楷体" w:hAnsi="楷体"/>
          <w:sz w:val="24"/>
          <w:szCs w:val="24"/>
        </w:rPr>
        <w:t xml:space="preserve"> </w:t>
      </w:r>
      <w:r w:rsidR="00557E50" w:rsidRPr="00241FED">
        <w:rPr>
          <w:rFonts w:ascii="楷体" w:eastAsia="楷体" w:hAnsi="楷体" w:hint="eastAsia"/>
          <w:sz w:val="24"/>
          <w:szCs w:val="24"/>
        </w:rPr>
        <w:t>行业结构性发展趋势明显</w:t>
      </w:r>
    </w:p>
    <w:p w14:paraId="4ED5800D" w14:textId="45652832" w:rsidR="00512939" w:rsidRPr="00512939" w:rsidRDefault="00557E50" w:rsidP="005C5AB6">
      <w:pPr>
        <w:pStyle w:val="a3"/>
        <w:ind w:firstLine="360"/>
        <w:rPr>
          <w:rFonts w:ascii="楷体" w:eastAsia="楷体" w:hAnsi="楷体"/>
          <w:sz w:val="18"/>
          <w:szCs w:val="20"/>
        </w:rPr>
      </w:pPr>
      <w:r w:rsidRPr="00D60463">
        <w:rPr>
          <w:rFonts w:ascii="楷体" w:eastAsia="楷体" w:hAnsi="楷体" w:hint="eastAsia"/>
          <w:noProof/>
          <w:sz w:val="18"/>
          <w:szCs w:val="20"/>
        </w:rPr>
        <w:t>近几年以“结构调整、产业升级”为核心目标的医改政策正在行业内部系统性展开。</w:t>
      </w:r>
      <w:r w:rsidR="00E054AC">
        <w:rPr>
          <w:rFonts w:ascii="楷体" w:eastAsia="楷体" w:hAnsi="楷体" w:hint="eastAsia"/>
          <w:noProof/>
          <w:sz w:val="18"/>
          <w:szCs w:val="20"/>
        </w:rPr>
        <w:t>在政策端改革和医保支付端引导下，</w:t>
      </w:r>
      <w:r w:rsidRPr="00D60463">
        <w:rPr>
          <w:rFonts w:ascii="楷体" w:eastAsia="楷体" w:hAnsi="楷体" w:hint="eastAsia"/>
          <w:sz w:val="18"/>
          <w:szCs w:val="20"/>
        </w:rPr>
        <w:t>行业未来结构性发展趋势将愈发显著。</w:t>
      </w:r>
      <w:r w:rsidR="00802BC7">
        <w:rPr>
          <w:rFonts w:ascii="楷体" w:eastAsia="楷体" w:hAnsi="楷体" w:hint="eastAsia"/>
          <w:sz w:val="18"/>
          <w:szCs w:val="20"/>
        </w:rPr>
        <w:t>（1）生物药与创新药仍然是医药行业最具确定性的</w:t>
      </w:r>
      <w:r w:rsidR="00581611">
        <w:rPr>
          <w:rFonts w:ascii="楷体" w:eastAsia="楷体" w:hAnsi="楷体" w:hint="eastAsia"/>
          <w:sz w:val="18"/>
          <w:szCs w:val="20"/>
        </w:rPr>
        <w:t>行业主赛</w:t>
      </w:r>
      <w:r w:rsidR="0042541B">
        <w:rPr>
          <w:rFonts w:ascii="楷体" w:eastAsia="楷体" w:hAnsi="楷体" w:hint="eastAsia"/>
          <w:sz w:val="18"/>
          <w:szCs w:val="20"/>
        </w:rPr>
        <w:t>道，相关行业政策利好，</w:t>
      </w:r>
      <w:r w:rsidR="009746E4">
        <w:rPr>
          <w:rFonts w:ascii="楷体" w:eastAsia="楷体" w:hAnsi="楷体" w:hint="eastAsia"/>
          <w:sz w:val="18"/>
          <w:szCs w:val="20"/>
        </w:rPr>
        <w:t>行业具有高壁垒性，同时居民消费升级拉动需求为增长主要原因</w:t>
      </w:r>
      <w:r w:rsidR="00FB625C">
        <w:rPr>
          <w:rFonts w:ascii="楷体" w:eastAsia="楷体" w:hAnsi="楷体" w:hint="eastAsia"/>
          <w:sz w:val="18"/>
          <w:szCs w:val="20"/>
        </w:rPr>
        <w:t>；（2）</w:t>
      </w:r>
      <w:r w:rsidR="0078226A">
        <w:rPr>
          <w:rFonts w:ascii="楷体" w:eastAsia="楷体" w:hAnsi="楷体" w:hint="eastAsia"/>
          <w:sz w:val="18"/>
          <w:szCs w:val="20"/>
        </w:rPr>
        <w:t>随着器械领域多项政策相继落地，</w:t>
      </w:r>
      <w:r w:rsidR="00A80C58">
        <w:rPr>
          <w:rFonts w:ascii="楷体" w:eastAsia="楷体" w:hAnsi="楷体" w:hint="eastAsia"/>
          <w:sz w:val="18"/>
          <w:szCs w:val="20"/>
        </w:rPr>
        <w:t>体外诊断与植入器械迎来发展高速期（3）</w:t>
      </w:r>
      <w:r w:rsidR="009D4B1D">
        <w:rPr>
          <w:rFonts w:ascii="楷体" w:eastAsia="楷体" w:hAnsi="楷体" w:hint="eastAsia"/>
          <w:sz w:val="18"/>
          <w:szCs w:val="20"/>
        </w:rPr>
        <w:t>受仿制药降价影响，化学制剂</w:t>
      </w:r>
      <w:r w:rsidR="006A7460">
        <w:rPr>
          <w:rFonts w:ascii="楷体" w:eastAsia="楷体" w:hAnsi="楷体" w:hint="eastAsia"/>
          <w:sz w:val="18"/>
          <w:szCs w:val="20"/>
        </w:rPr>
        <w:t>利润率降低</w:t>
      </w:r>
      <w:r w:rsidR="00FD4285">
        <w:rPr>
          <w:rFonts w:ascii="楷体" w:eastAsia="楷体" w:hAnsi="楷体" w:hint="eastAsia"/>
          <w:sz w:val="18"/>
          <w:szCs w:val="20"/>
        </w:rPr>
        <w:t>；（4）</w:t>
      </w:r>
      <w:r w:rsidR="00FD4285" w:rsidRPr="00FD4285">
        <w:rPr>
          <w:rFonts w:ascii="楷体" w:eastAsia="楷体" w:hAnsi="楷体" w:hint="eastAsia"/>
          <w:sz w:val="18"/>
          <w:szCs w:val="20"/>
        </w:rPr>
        <w:t>国内原料药行业短期正处于景气周期下行趋势、单价下降导致收入与利润的</w:t>
      </w:r>
      <w:proofErr w:type="gramStart"/>
      <w:r w:rsidR="00FD4285" w:rsidRPr="00FD4285">
        <w:rPr>
          <w:rFonts w:ascii="楷体" w:eastAsia="楷体" w:hAnsi="楷体" w:hint="eastAsia"/>
          <w:sz w:val="18"/>
          <w:szCs w:val="20"/>
        </w:rPr>
        <w:t>增速短期</w:t>
      </w:r>
      <w:proofErr w:type="gramEnd"/>
      <w:r w:rsidR="00FD4285" w:rsidRPr="00FD4285">
        <w:rPr>
          <w:rFonts w:ascii="楷体" w:eastAsia="楷体" w:hAnsi="楷体" w:hint="eastAsia"/>
          <w:sz w:val="18"/>
          <w:szCs w:val="20"/>
        </w:rPr>
        <w:t>呈下滑态势</w:t>
      </w:r>
    </w:p>
    <w:tbl>
      <w:tblPr>
        <w:tblW w:w="5000" w:type="pct"/>
        <w:tblLayout w:type="fixed"/>
        <w:tblLook w:val="04A0" w:firstRow="1" w:lastRow="0" w:firstColumn="1" w:lastColumn="0" w:noHBand="0" w:noVBand="1"/>
      </w:tblPr>
      <w:tblGrid>
        <w:gridCol w:w="1557"/>
        <w:gridCol w:w="539"/>
        <w:gridCol w:w="735"/>
        <w:gridCol w:w="640"/>
        <w:gridCol w:w="695"/>
        <w:gridCol w:w="682"/>
        <w:gridCol w:w="695"/>
        <w:gridCol w:w="682"/>
        <w:gridCol w:w="574"/>
        <w:gridCol w:w="803"/>
        <w:gridCol w:w="694"/>
      </w:tblGrid>
      <w:tr w:rsidR="005F5E39" w:rsidRPr="00776864" w14:paraId="746014AE" w14:textId="77777777" w:rsidTr="008C6310">
        <w:trPr>
          <w:trHeight w:val="300"/>
        </w:trPr>
        <w:tc>
          <w:tcPr>
            <w:tcW w:w="93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DCCD5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细分行业</w:t>
            </w:r>
          </w:p>
        </w:tc>
        <w:tc>
          <w:tcPr>
            <w:tcW w:w="768"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13BE141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2014</w:t>
            </w:r>
          </w:p>
        </w:tc>
        <w:tc>
          <w:tcPr>
            <w:tcW w:w="805"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7E14900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2015</w:t>
            </w:r>
          </w:p>
        </w:tc>
        <w:tc>
          <w:tcPr>
            <w:tcW w:w="83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75E5BA0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2016</w:t>
            </w:r>
          </w:p>
        </w:tc>
        <w:tc>
          <w:tcPr>
            <w:tcW w:w="757"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091D760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2017</w:t>
            </w:r>
          </w:p>
        </w:tc>
        <w:tc>
          <w:tcPr>
            <w:tcW w:w="902"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4A45D74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2018</w:t>
            </w:r>
          </w:p>
        </w:tc>
      </w:tr>
      <w:tr w:rsidR="005F5E39" w:rsidRPr="00776864" w14:paraId="5122B5A9" w14:textId="77777777" w:rsidTr="008C6310">
        <w:trPr>
          <w:trHeight w:val="20"/>
        </w:trPr>
        <w:tc>
          <w:tcPr>
            <w:tcW w:w="938" w:type="pct"/>
            <w:vMerge/>
            <w:tcBorders>
              <w:top w:val="single" w:sz="4" w:space="0" w:color="auto"/>
              <w:left w:val="single" w:sz="4" w:space="0" w:color="auto"/>
              <w:bottom w:val="single" w:sz="4" w:space="0" w:color="000000"/>
              <w:right w:val="single" w:sz="4" w:space="0" w:color="auto"/>
            </w:tcBorders>
            <w:vAlign w:val="center"/>
            <w:hideMark/>
          </w:tcPr>
          <w:p w14:paraId="25065445" w14:textId="77777777" w:rsidR="00CA20F0" w:rsidRPr="00CA20F0" w:rsidRDefault="00CA20F0" w:rsidP="00CA20F0">
            <w:pPr>
              <w:widowControl/>
              <w:jc w:val="left"/>
              <w:rPr>
                <w:rFonts w:ascii="微软雅黑" w:eastAsia="微软雅黑" w:hAnsi="微软雅黑" w:cs="宋体"/>
                <w:color w:val="000000"/>
                <w:kern w:val="0"/>
                <w:sz w:val="11"/>
                <w:szCs w:val="11"/>
              </w:rPr>
            </w:pPr>
          </w:p>
        </w:tc>
        <w:tc>
          <w:tcPr>
            <w:tcW w:w="325" w:type="pct"/>
            <w:tcBorders>
              <w:top w:val="single" w:sz="4" w:space="0" w:color="auto"/>
              <w:left w:val="nil"/>
              <w:bottom w:val="single" w:sz="4" w:space="0" w:color="auto"/>
              <w:right w:val="single" w:sz="4" w:space="0" w:color="auto"/>
            </w:tcBorders>
            <w:shd w:val="clear" w:color="auto" w:fill="auto"/>
            <w:noWrap/>
            <w:vAlign w:val="center"/>
            <w:hideMark/>
          </w:tcPr>
          <w:p w14:paraId="7EDB94AF"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收入YOY</w:t>
            </w:r>
          </w:p>
        </w:tc>
        <w:tc>
          <w:tcPr>
            <w:tcW w:w="443" w:type="pct"/>
            <w:tcBorders>
              <w:top w:val="single" w:sz="4" w:space="0" w:color="auto"/>
              <w:left w:val="nil"/>
              <w:bottom w:val="single" w:sz="4" w:space="0" w:color="auto"/>
              <w:right w:val="single" w:sz="4" w:space="0" w:color="auto"/>
            </w:tcBorders>
            <w:shd w:val="clear" w:color="auto" w:fill="auto"/>
            <w:noWrap/>
            <w:vAlign w:val="center"/>
            <w:hideMark/>
          </w:tcPr>
          <w:p w14:paraId="48E3F190" w14:textId="0F959C0F" w:rsidR="00410A23"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净利率 %</w:t>
            </w:r>
          </w:p>
        </w:tc>
        <w:tc>
          <w:tcPr>
            <w:tcW w:w="386" w:type="pct"/>
            <w:tcBorders>
              <w:top w:val="single" w:sz="4" w:space="0" w:color="auto"/>
              <w:left w:val="nil"/>
              <w:bottom w:val="single" w:sz="4" w:space="0" w:color="auto"/>
              <w:right w:val="single" w:sz="4" w:space="0" w:color="auto"/>
            </w:tcBorders>
            <w:shd w:val="clear" w:color="auto" w:fill="auto"/>
            <w:noWrap/>
            <w:vAlign w:val="center"/>
            <w:hideMark/>
          </w:tcPr>
          <w:p w14:paraId="6BB7020B" w14:textId="77777777" w:rsidR="00CA20F0" w:rsidRPr="00CA20F0" w:rsidRDefault="00CA20F0" w:rsidP="00410A23">
            <w:pPr>
              <w:widowControl/>
              <w:ind w:rightChars="-17" w:right="-36"/>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收入YOY</w:t>
            </w:r>
          </w:p>
        </w:tc>
        <w:tc>
          <w:tcPr>
            <w:tcW w:w="419" w:type="pct"/>
            <w:tcBorders>
              <w:top w:val="single" w:sz="4" w:space="0" w:color="auto"/>
              <w:left w:val="nil"/>
              <w:bottom w:val="single" w:sz="4" w:space="0" w:color="auto"/>
              <w:right w:val="single" w:sz="4" w:space="0" w:color="auto"/>
            </w:tcBorders>
            <w:shd w:val="clear" w:color="auto" w:fill="auto"/>
            <w:noWrap/>
            <w:vAlign w:val="center"/>
            <w:hideMark/>
          </w:tcPr>
          <w:p w14:paraId="66D64CF1"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净利率 %</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46529796"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收入YOY</w:t>
            </w:r>
          </w:p>
        </w:tc>
        <w:tc>
          <w:tcPr>
            <w:tcW w:w="419" w:type="pct"/>
            <w:tcBorders>
              <w:top w:val="single" w:sz="4" w:space="0" w:color="auto"/>
              <w:left w:val="nil"/>
              <w:bottom w:val="single" w:sz="4" w:space="0" w:color="auto"/>
              <w:right w:val="single" w:sz="4" w:space="0" w:color="auto"/>
            </w:tcBorders>
            <w:shd w:val="clear" w:color="auto" w:fill="auto"/>
            <w:noWrap/>
            <w:vAlign w:val="center"/>
            <w:hideMark/>
          </w:tcPr>
          <w:p w14:paraId="698E2DC1"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净利率 %</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0E7E4445"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收入YOY</w:t>
            </w:r>
          </w:p>
        </w:tc>
        <w:tc>
          <w:tcPr>
            <w:tcW w:w="346" w:type="pct"/>
            <w:tcBorders>
              <w:top w:val="single" w:sz="4" w:space="0" w:color="auto"/>
              <w:left w:val="nil"/>
              <w:bottom w:val="single" w:sz="4" w:space="0" w:color="auto"/>
              <w:right w:val="single" w:sz="4" w:space="0" w:color="auto"/>
            </w:tcBorders>
            <w:shd w:val="clear" w:color="auto" w:fill="auto"/>
            <w:noWrap/>
            <w:vAlign w:val="center"/>
            <w:hideMark/>
          </w:tcPr>
          <w:p w14:paraId="1D0DC7E9"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净利率 %</w:t>
            </w:r>
          </w:p>
        </w:tc>
        <w:tc>
          <w:tcPr>
            <w:tcW w:w="484" w:type="pct"/>
            <w:tcBorders>
              <w:top w:val="single" w:sz="4" w:space="0" w:color="auto"/>
              <w:left w:val="nil"/>
              <w:bottom w:val="single" w:sz="4" w:space="0" w:color="auto"/>
              <w:right w:val="single" w:sz="4" w:space="0" w:color="auto"/>
            </w:tcBorders>
            <w:shd w:val="clear" w:color="auto" w:fill="auto"/>
            <w:noWrap/>
            <w:vAlign w:val="center"/>
            <w:hideMark/>
          </w:tcPr>
          <w:p w14:paraId="34BAFC01"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收入YOY</w:t>
            </w:r>
          </w:p>
        </w:tc>
        <w:tc>
          <w:tcPr>
            <w:tcW w:w="418" w:type="pct"/>
            <w:tcBorders>
              <w:top w:val="single" w:sz="4" w:space="0" w:color="auto"/>
              <w:left w:val="nil"/>
              <w:bottom w:val="single" w:sz="4" w:space="0" w:color="auto"/>
              <w:right w:val="single" w:sz="4" w:space="0" w:color="auto"/>
            </w:tcBorders>
            <w:shd w:val="clear" w:color="auto" w:fill="auto"/>
            <w:noWrap/>
            <w:vAlign w:val="center"/>
            <w:hideMark/>
          </w:tcPr>
          <w:p w14:paraId="04627B59" w14:textId="77777777" w:rsidR="00CA20F0" w:rsidRPr="00CA20F0" w:rsidRDefault="00CA20F0" w:rsidP="00410A23">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净利率 %</w:t>
            </w:r>
          </w:p>
        </w:tc>
      </w:tr>
      <w:tr w:rsidR="005F5E39" w:rsidRPr="00776864" w14:paraId="6B3613F8" w14:textId="77777777" w:rsidTr="008C6310">
        <w:trPr>
          <w:trHeight w:val="227"/>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B9FF44E"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323家上市公司</w:t>
            </w:r>
          </w:p>
        </w:tc>
        <w:tc>
          <w:tcPr>
            <w:tcW w:w="325" w:type="pct"/>
            <w:tcBorders>
              <w:top w:val="nil"/>
              <w:left w:val="nil"/>
              <w:bottom w:val="single" w:sz="4" w:space="0" w:color="auto"/>
              <w:right w:val="single" w:sz="4" w:space="0" w:color="auto"/>
            </w:tcBorders>
            <w:shd w:val="clear" w:color="auto" w:fill="auto"/>
            <w:noWrap/>
            <w:vAlign w:val="bottom"/>
            <w:hideMark/>
          </w:tcPr>
          <w:p w14:paraId="026C1AF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0854672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386" w:type="pct"/>
            <w:tcBorders>
              <w:top w:val="nil"/>
              <w:left w:val="nil"/>
              <w:bottom w:val="single" w:sz="4" w:space="0" w:color="auto"/>
              <w:right w:val="single" w:sz="4" w:space="0" w:color="auto"/>
            </w:tcBorders>
            <w:shd w:val="clear" w:color="auto" w:fill="auto"/>
            <w:noWrap/>
            <w:vAlign w:val="bottom"/>
            <w:hideMark/>
          </w:tcPr>
          <w:p w14:paraId="2905233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0.11 </w:t>
            </w:r>
          </w:p>
        </w:tc>
        <w:tc>
          <w:tcPr>
            <w:tcW w:w="419" w:type="pct"/>
            <w:tcBorders>
              <w:top w:val="nil"/>
              <w:left w:val="nil"/>
              <w:bottom w:val="single" w:sz="4" w:space="0" w:color="auto"/>
              <w:right w:val="single" w:sz="4" w:space="0" w:color="auto"/>
            </w:tcBorders>
            <w:shd w:val="clear" w:color="auto" w:fill="auto"/>
            <w:noWrap/>
            <w:vAlign w:val="bottom"/>
            <w:hideMark/>
          </w:tcPr>
          <w:p w14:paraId="45242D9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17F4DA4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0.16 </w:t>
            </w:r>
          </w:p>
        </w:tc>
        <w:tc>
          <w:tcPr>
            <w:tcW w:w="419" w:type="pct"/>
            <w:tcBorders>
              <w:top w:val="nil"/>
              <w:left w:val="nil"/>
              <w:bottom w:val="single" w:sz="4" w:space="0" w:color="auto"/>
              <w:right w:val="single" w:sz="4" w:space="0" w:color="auto"/>
            </w:tcBorders>
            <w:shd w:val="clear" w:color="auto" w:fill="auto"/>
            <w:noWrap/>
            <w:vAlign w:val="bottom"/>
            <w:hideMark/>
          </w:tcPr>
          <w:p w14:paraId="276763D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11" w:type="pct"/>
            <w:tcBorders>
              <w:top w:val="nil"/>
              <w:left w:val="nil"/>
              <w:bottom w:val="single" w:sz="4" w:space="0" w:color="auto"/>
              <w:right w:val="single" w:sz="4" w:space="0" w:color="auto"/>
            </w:tcBorders>
            <w:shd w:val="clear" w:color="auto" w:fill="auto"/>
            <w:noWrap/>
            <w:vAlign w:val="bottom"/>
            <w:hideMark/>
          </w:tcPr>
          <w:p w14:paraId="446DD47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0.17 </w:t>
            </w:r>
          </w:p>
        </w:tc>
        <w:tc>
          <w:tcPr>
            <w:tcW w:w="346" w:type="pct"/>
            <w:tcBorders>
              <w:top w:val="nil"/>
              <w:left w:val="nil"/>
              <w:bottom w:val="single" w:sz="4" w:space="0" w:color="auto"/>
              <w:right w:val="single" w:sz="4" w:space="0" w:color="auto"/>
            </w:tcBorders>
            <w:shd w:val="clear" w:color="auto" w:fill="auto"/>
            <w:noWrap/>
            <w:vAlign w:val="bottom"/>
            <w:hideMark/>
          </w:tcPr>
          <w:p w14:paraId="447DD81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84" w:type="pct"/>
            <w:tcBorders>
              <w:top w:val="nil"/>
              <w:left w:val="nil"/>
              <w:bottom w:val="single" w:sz="4" w:space="0" w:color="auto"/>
              <w:right w:val="single" w:sz="4" w:space="0" w:color="auto"/>
            </w:tcBorders>
            <w:shd w:val="clear" w:color="auto" w:fill="auto"/>
            <w:noWrap/>
            <w:vAlign w:val="bottom"/>
            <w:hideMark/>
          </w:tcPr>
          <w:p w14:paraId="2AD8B16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0.16 </w:t>
            </w:r>
          </w:p>
        </w:tc>
        <w:tc>
          <w:tcPr>
            <w:tcW w:w="418" w:type="pct"/>
            <w:tcBorders>
              <w:top w:val="nil"/>
              <w:left w:val="nil"/>
              <w:bottom w:val="single" w:sz="4" w:space="0" w:color="auto"/>
              <w:right w:val="single" w:sz="4" w:space="0" w:color="auto"/>
            </w:tcBorders>
            <w:shd w:val="clear" w:color="auto" w:fill="auto"/>
            <w:noWrap/>
            <w:vAlign w:val="bottom"/>
            <w:hideMark/>
          </w:tcPr>
          <w:p w14:paraId="561B2A6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r>
      <w:tr w:rsidR="005F5E39" w:rsidRPr="00776864" w14:paraId="2128660D"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14A9028A"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化学原料药</w:t>
            </w:r>
          </w:p>
        </w:tc>
        <w:tc>
          <w:tcPr>
            <w:tcW w:w="325" w:type="pct"/>
            <w:tcBorders>
              <w:top w:val="nil"/>
              <w:left w:val="nil"/>
              <w:bottom w:val="single" w:sz="4" w:space="0" w:color="auto"/>
              <w:right w:val="single" w:sz="4" w:space="0" w:color="auto"/>
            </w:tcBorders>
            <w:shd w:val="clear" w:color="auto" w:fill="auto"/>
            <w:noWrap/>
            <w:vAlign w:val="bottom"/>
            <w:hideMark/>
          </w:tcPr>
          <w:p w14:paraId="32D31BE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3.18 </w:t>
            </w:r>
          </w:p>
        </w:tc>
        <w:tc>
          <w:tcPr>
            <w:tcW w:w="443" w:type="pct"/>
            <w:tcBorders>
              <w:top w:val="nil"/>
              <w:left w:val="nil"/>
              <w:bottom w:val="single" w:sz="4" w:space="0" w:color="auto"/>
              <w:right w:val="single" w:sz="4" w:space="0" w:color="auto"/>
            </w:tcBorders>
            <w:shd w:val="clear" w:color="auto" w:fill="auto"/>
            <w:noWrap/>
            <w:hideMark/>
          </w:tcPr>
          <w:p w14:paraId="67E280D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6.46 </w:t>
            </w:r>
          </w:p>
        </w:tc>
        <w:tc>
          <w:tcPr>
            <w:tcW w:w="386" w:type="pct"/>
            <w:tcBorders>
              <w:top w:val="nil"/>
              <w:left w:val="nil"/>
              <w:bottom w:val="single" w:sz="4" w:space="0" w:color="auto"/>
              <w:right w:val="single" w:sz="4" w:space="0" w:color="auto"/>
            </w:tcBorders>
            <w:shd w:val="clear" w:color="auto" w:fill="auto"/>
            <w:noWrap/>
            <w:vAlign w:val="bottom"/>
            <w:hideMark/>
          </w:tcPr>
          <w:p w14:paraId="77750DE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1.56 </w:t>
            </w:r>
          </w:p>
        </w:tc>
        <w:tc>
          <w:tcPr>
            <w:tcW w:w="419" w:type="pct"/>
            <w:tcBorders>
              <w:top w:val="nil"/>
              <w:left w:val="nil"/>
              <w:bottom w:val="single" w:sz="4" w:space="0" w:color="auto"/>
              <w:right w:val="single" w:sz="4" w:space="0" w:color="auto"/>
            </w:tcBorders>
            <w:shd w:val="clear" w:color="auto" w:fill="auto"/>
            <w:noWrap/>
            <w:hideMark/>
          </w:tcPr>
          <w:p w14:paraId="60A3E67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7.45 </w:t>
            </w:r>
          </w:p>
        </w:tc>
        <w:tc>
          <w:tcPr>
            <w:tcW w:w="411" w:type="pct"/>
            <w:tcBorders>
              <w:top w:val="nil"/>
              <w:left w:val="nil"/>
              <w:bottom w:val="single" w:sz="4" w:space="0" w:color="auto"/>
              <w:right w:val="single" w:sz="4" w:space="0" w:color="auto"/>
            </w:tcBorders>
            <w:shd w:val="clear" w:color="auto" w:fill="auto"/>
            <w:noWrap/>
            <w:vAlign w:val="bottom"/>
            <w:hideMark/>
          </w:tcPr>
          <w:p w14:paraId="0ACCFA8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12.52 </w:t>
            </w:r>
          </w:p>
        </w:tc>
        <w:tc>
          <w:tcPr>
            <w:tcW w:w="419" w:type="pct"/>
            <w:tcBorders>
              <w:top w:val="nil"/>
              <w:left w:val="nil"/>
              <w:bottom w:val="single" w:sz="4" w:space="0" w:color="auto"/>
              <w:right w:val="single" w:sz="4" w:space="0" w:color="auto"/>
            </w:tcBorders>
            <w:shd w:val="clear" w:color="auto" w:fill="auto"/>
            <w:noWrap/>
            <w:hideMark/>
          </w:tcPr>
          <w:p w14:paraId="74B4200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9.39 </w:t>
            </w:r>
          </w:p>
        </w:tc>
        <w:tc>
          <w:tcPr>
            <w:tcW w:w="411" w:type="pct"/>
            <w:tcBorders>
              <w:top w:val="nil"/>
              <w:left w:val="nil"/>
              <w:bottom w:val="single" w:sz="4" w:space="0" w:color="auto"/>
              <w:right w:val="single" w:sz="4" w:space="0" w:color="auto"/>
            </w:tcBorders>
            <w:shd w:val="clear" w:color="auto" w:fill="auto"/>
            <w:noWrap/>
            <w:vAlign w:val="bottom"/>
            <w:hideMark/>
          </w:tcPr>
          <w:p w14:paraId="3D3E7B1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26.53 </w:t>
            </w:r>
          </w:p>
        </w:tc>
        <w:tc>
          <w:tcPr>
            <w:tcW w:w="346" w:type="pct"/>
            <w:tcBorders>
              <w:top w:val="nil"/>
              <w:left w:val="nil"/>
              <w:bottom w:val="single" w:sz="4" w:space="0" w:color="auto"/>
              <w:right w:val="single" w:sz="4" w:space="0" w:color="auto"/>
            </w:tcBorders>
            <w:shd w:val="clear" w:color="auto" w:fill="auto"/>
            <w:noWrap/>
            <w:hideMark/>
          </w:tcPr>
          <w:p w14:paraId="210548F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9.54 </w:t>
            </w:r>
          </w:p>
        </w:tc>
        <w:tc>
          <w:tcPr>
            <w:tcW w:w="484" w:type="pct"/>
            <w:tcBorders>
              <w:top w:val="nil"/>
              <w:left w:val="nil"/>
              <w:bottom w:val="single" w:sz="4" w:space="0" w:color="auto"/>
              <w:right w:val="single" w:sz="4" w:space="0" w:color="auto"/>
            </w:tcBorders>
            <w:shd w:val="clear" w:color="auto" w:fill="auto"/>
            <w:noWrap/>
            <w:vAlign w:val="bottom"/>
            <w:hideMark/>
          </w:tcPr>
          <w:p w14:paraId="62CD389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20.70 </w:t>
            </w:r>
          </w:p>
        </w:tc>
        <w:tc>
          <w:tcPr>
            <w:tcW w:w="418" w:type="pct"/>
            <w:tcBorders>
              <w:top w:val="nil"/>
              <w:left w:val="nil"/>
              <w:bottom w:val="single" w:sz="4" w:space="0" w:color="auto"/>
              <w:right w:val="single" w:sz="4" w:space="0" w:color="auto"/>
            </w:tcBorders>
            <w:shd w:val="clear" w:color="auto" w:fill="auto"/>
            <w:noWrap/>
            <w:hideMark/>
          </w:tcPr>
          <w:p w14:paraId="76010BA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7.90 </w:t>
            </w:r>
          </w:p>
        </w:tc>
      </w:tr>
      <w:tr w:rsidR="005F5E39" w:rsidRPr="00776864" w14:paraId="013264A7"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25DFC1B0"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其中：特色原料药</w:t>
            </w:r>
          </w:p>
        </w:tc>
        <w:tc>
          <w:tcPr>
            <w:tcW w:w="325" w:type="pct"/>
            <w:tcBorders>
              <w:top w:val="nil"/>
              <w:left w:val="nil"/>
              <w:bottom w:val="single" w:sz="4" w:space="0" w:color="auto"/>
              <w:right w:val="single" w:sz="4" w:space="0" w:color="auto"/>
            </w:tcBorders>
            <w:shd w:val="clear" w:color="auto" w:fill="auto"/>
            <w:vAlign w:val="center"/>
            <w:hideMark/>
          </w:tcPr>
          <w:p w14:paraId="141642E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6.55 </w:t>
            </w:r>
          </w:p>
        </w:tc>
        <w:tc>
          <w:tcPr>
            <w:tcW w:w="443" w:type="pct"/>
            <w:tcBorders>
              <w:top w:val="nil"/>
              <w:left w:val="nil"/>
              <w:bottom w:val="single" w:sz="4" w:space="0" w:color="auto"/>
              <w:right w:val="single" w:sz="4" w:space="0" w:color="auto"/>
            </w:tcBorders>
            <w:shd w:val="clear" w:color="auto" w:fill="auto"/>
            <w:vAlign w:val="center"/>
            <w:hideMark/>
          </w:tcPr>
          <w:p w14:paraId="3512243D"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6.74 </w:t>
            </w:r>
          </w:p>
        </w:tc>
        <w:tc>
          <w:tcPr>
            <w:tcW w:w="386" w:type="pct"/>
            <w:tcBorders>
              <w:top w:val="nil"/>
              <w:left w:val="nil"/>
              <w:bottom w:val="single" w:sz="4" w:space="0" w:color="auto"/>
              <w:right w:val="single" w:sz="4" w:space="0" w:color="auto"/>
            </w:tcBorders>
            <w:shd w:val="clear" w:color="auto" w:fill="auto"/>
            <w:vAlign w:val="center"/>
            <w:hideMark/>
          </w:tcPr>
          <w:p w14:paraId="1404FD1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9.94 </w:t>
            </w:r>
          </w:p>
        </w:tc>
        <w:tc>
          <w:tcPr>
            <w:tcW w:w="419" w:type="pct"/>
            <w:tcBorders>
              <w:top w:val="nil"/>
              <w:left w:val="nil"/>
              <w:bottom w:val="single" w:sz="4" w:space="0" w:color="auto"/>
              <w:right w:val="single" w:sz="4" w:space="0" w:color="auto"/>
            </w:tcBorders>
            <w:shd w:val="clear" w:color="auto" w:fill="auto"/>
            <w:vAlign w:val="center"/>
            <w:hideMark/>
          </w:tcPr>
          <w:p w14:paraId="1E6E5FC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11.10 </w:t>
            </w:r>
          </w:p>
        </w:tc>
        <w:tc>
          <w:tcPr>
            <w:tcW w:w="411" w:type="pct"/>
            <w:tcBorders>
              <w:top w:val="nil"/>
              <w:left w:val="nil"/>
              <w:bottom w:val="single" w:sz="4" w:space="0" w:color="auto"/>
              <w:right w:val="single" w:sz="4" w:space="0" w:color="auto"/>
            </w:tcBorders>
            <w:shd w:val="clear" w:color="auto" w:fill="auto"/>
            <w:vAlign w:val="center"/>
            <w:hideMark/>
          </w:tcPr>
          <w:p w14:paraId="0B5C476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19.77 </w:t>
            </w:r>
          </w:p>
        </w:tc>
        <w:tc>
          <w:tcPr>
            <w:tcW w:w="419" w:type="pct"/>
            <w:tcBorders>
              <w:top w:val="nil"/>
              <w:left w:val="nil"/>
              <w:bottom w:val="single" w:sz="4" w:space="0" w:color="auto"/>
              <w:right w:val="single" w:sz="4" w:space="0" w:color="auto"/>
            </w:tcBorders>
            <w:shd w:val="clear" w:color="auto" w:fill="auto"/>
            <w:vAlign w:val="center"/>
            <w:hideMark/>
          </w:tcPr>
          <w:p w14:paraId="6E2B2D0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12.03 </w:t>
            </w:r>
          </w:p>
        </w:tc>
        <w:tc>
          <w:tcPr>
            <w:tcW w:w="411" w:type="pct"/>
            <w:tcBorders>
              <w:top w:val="nil"/>
              <w:left w:val="nil"/>
              <w:bottom w:val="single" w:sz="4" w:space="0" w:color="auto"/>
              <w:right w:val="single" w:sz="4" w:space="0" w:color="auto"/>
            </w:tcBorders>
            <w:shd w:val="clear" w:color="auto" w:fill="auto"/>
            <w:vAlign w:val="center"/>
            <w:hideMark/>
          </w:tcPr>
          <w:p w14:paraId="096B48C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18.69 </w:t>
            </w:r>
          </w:p>
        </w:tc>
        <w:tc>
          <w:tcPr>
            <w:tcW w:w="346" w:type="pct"/>
            <w:tcBorders>
              <w:top w:val="nil"/>
              <w:left w:val="nil"/>
              <w:bottom w:val="single" w:sz="4" w:space="0" w:color="auto"/>
              <w:right w:val="single" w:sz="4" w:space="0" w:color="auto"/>
            </w:tcBorders>
            <w:shd w:val="clear" w:color="auto" w:fill="auto"/>
            <w:vAlign w:val="center"/>
            <w:hideMark/>
          </w:tcPr>
          <w:p w14:paraId="73D2B41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10.70 </w:t>
            </w:r>
          </w:p>
        </w:tc>
        <w:tc>
          <w:tcPr>
            <w:tcW w:w="484" w:type="pct"/>
            <w:tcBorders>
              <w:top w:val="nil"/>
              <w:left w:val="nil"/>
              <w:bottom w:val="single" w:sz="4" w:space="0" w:color="auto"/>
              <w:right w:val="single" w:sz="4" w:space="0" w:color="auto"/>
            </w:tcBorders>
            <w:shd w:val="clear" w:color="auto" w:fill="auto"/>
            <w:vAlign w:val="center"/>
            <w:hideMark/>
          </w:tcPr>
          <w:p w14:paraId="75545F2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18.77 </w:t>
            </w:r>
          </w:p>
        </w:tc>
        <w:tc>
          <w:tcPr>
            <w:tcW w:w="418" w:type="pct"/>
            <w:tcBorders>
              <w:top w:val="nil"/>
              <w:left w:val="nil"/>
              <w:bottom w:val="single" w:sz="4" w:space="0" w:color="auto"/>
              <w:right w:val="single" w:sz="4" w:space="0" w:color="auto"/>
            </w:tcBorders>
            <w:shd w:val="clear" w:color="auto" w:fill="auto"/>
            <w:vAlign w:val="center"/>
            <w:hideMark/>
          </w:tcPr>
          <w:p w14:paraId="40D3320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9.02 </w:t>
            </w:r>
          </w:p>
        </w:tc>
      </w:tr>
      <w:tr w:rsidR="005F5E39" w:rsidRPr="00776864" w14:paraId="10BFBC3F"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054BF9B1"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其中：大宗原料药</w:t>
            </w:r>
          </w:p>
        </w:tc>
        <w:tc>
          <w:tcPr>
            <w:tcW w:w="325" w:type="pct"/>
            <w:tcBorders>
              <w:top w:val="nil"/>
              <w:left w:val="nil"/>
              <w:bottom w:val="single" w:sz="4" w:space="0" w:color="auto"/>
              <w:right w:val="single" w:sz="4" w:space="0" w:color="auto"/>
            </w:tcBorders>
            <w:shd w:val="clear" w:color="auto" w:fill="auto"/>
            <w:vAlign w:val="center"/>
            <w:hideMark/>
          </w:tcPr>
          <w:p w14:paraId="4EB6B66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7.80 </w:t>
            </w:r>
          </w:p>
        </w:tc>
        <w:tc>
          <w:tcPr>
            <w:tcW w:w="443" w:type="pct"/>
            <w:tcBorders>
              <w:top w:val="nil"/>
              <w:left w:val="nil"/>
              <w:bottom w:val="single" w:sz="4" w:space="0" w:color="auto"/>
              <w:right w:val="single" w:sz="4" w:space="0" w:color="auto"/>
            </w:tcBorders>
            <w:shd w:val="clear" w:color="auto" w:fill="auto"/>
            <w:vAlign w:val="center"/>
            <w:hideMark/>
          </w:tcPr>
          <w:p w14:paraId="5281184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17.67 </w:t>
            </w:r>
          </w:p>
        </w:tc>
        <w:tc>
          <w:tcPr>
            <w:tcW w:w="386" w:type="pct"/>
            <w:tcBorders>
              <w:top w:val="nil"/>
              <w:left w:val="nil"/>
              <w:bottom w:val="single" w:sz="4" w:space="0" w:color="auto"/>
              <w:right w:val="single" w:sz="4" w:space="0" w:color="auto"/>
            </w:tcBorders>
            <w:shd w:val="clear" w:color="auto" w:fill="auto"/>
            <w:vAlign w:val="center"/>
            <w:hideMark/>
          </w:tcPr>
          <w:p w14:paraId="3D8CF12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color w:val="FF0000"/>
                <w:kern w:val="0"/>
                <w:sz w:val="11"/>
                <w:szCs w:val="11"/>
              </w:rPr>
              <w:t>(13.63)</w:t>
            </w:r>
          </w:p>
        </w:tc>
        <w:tc>
          <w:tcPr>
            <w:tcW w:w="419" w:type="pct"/>
            <w:tcBorders>
              <w:top w:val="nil"/>
              <w:left w:val="nil"/>
              <w:bottom w:val="single" w:sz="4" w:space="0" w:color="auto"/>
              <w:right w:val="single" w:sz="4" w:space="0" w:color="auto"/>
            </w:tcBorders>
            <w:shd w:val="clear" w:color="auto" w:fill="auto"/>
            <w:vAlign w:val="center"/>
            <w:hideMark/>
          </w:tcPr>
          <w:p w14:paraId="630C0FB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13.38 </w:t>
            </w:r>
          </w:p>
        </w:tc>
        <w:tc>
          <w:tcPr>
            <w:tcW w:w="411" w:type="pct"/>
            <w:tcBorders>
              <w:top w:val="nil"/>
              <w:left w:val="nil"/>
              <w:bottom w:val="single" w:sz="4" w:space="0" w:color="auto"/>
              <w:right w:val="single" w:sz="4" w:space="0" w:color="auto"/>
            </w:tcBorders>
            <w:shd w:val="clear" w:color="auto" w:fill="auto"/>
            <w:vAlign w:val="center"/>
            <w:hideMark/>
          </w:tcPr>
          <w:p w14:paraId="60C4330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color w:val="FF0000"/>
                <w:kern w:val="0"/>
                <w:sz w:val="11"/>
                <w:szCs w:val="11"/>
              </w:rPr>
              <w:t>(12.77)</w:t>
            </w:r>
          </w:p>
        </w:tc>
        <w:tc>
          <w:tcPr>
            <w:tcW w:w="419" w:type="pct"/>
            <w:tcBorders>
              <w:top w:val="nil"/>
              <w:left w:val="nil"/>
              <w:bottom w:val="single" w:sz="4" w:space="0" w:color="auto"/>
              <w:right w:val="single" w:sz="4" w:space="0" w:color="auto"/>
            </w:tcBorders>
            <w:shd w:val="clear" w:color="auto" w:fill="auto"/>
            <w:vAlign w:val="center"/>
            <w:hideMark/>
          </w:tcPr>
          <w:p w14:paraId="61E57E6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20.82 </w:t>
            </w:r>
          </w:p>
        </w:tc>
        <w:tc>
          <w:tcPr>
            <w:tcW w:w="411" w:type="pct"/>
            <w:tcBorders>
              <w:top w:val="nil"/>
              <w:left w:val="nil"/>
              <w:bottom w:val="single" w:sz="4" w:space="0" w:color="auto"/>
              <w:right w:val="single" w:sz="4" w:space="0" w:color="auto"/>
            </w:tcBorders>
            <w:shd w:val="clear" w:color="auto" w:fill="auto"/>
            <w:vAlign w:val="center"/>
            <w:hideMark/>
          </w:tcPr>
          <w:p w14:paraId="3C3056B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51.27 </w:t>
            </w:r>
          </w:p>
        </w:tc>
        <w:tc>
          <w:tcPr>
            <w:tcW w:w="346" w:type="pct"/>
            <w:tcBorders>
              <w:top w:val="nil"/>
              <w:left w:val="nil"/>
              <w:bottom w:val="single" w:sz="4" w:space="0" w:color="auto"/>
              <w:right w:val="single" w:sz="4" w:space="0" w:color="auto"/>
            </w:tcBorders>
            <w:shd w:val="clear" w:color="auto" w:fill="auto"/>
            <w:vAlign w:val="center"/>
            <w:hideMark/>
          </w:tcPr>
          <w:p w14:paraId="257AB37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14.71 </w:t>
            </w:r>
          </w:p>
        </w:tc>
        <w:tc>
          <w:tcPr>
            <w:tcW w:w="484" w:type="pct"/>
            <w:tcBorders>
              <w:top w:val="nil"/>
              <w:left w:val="nil"/>
              <w:bottom w:val="single" w:sz="4" w:space="0" w:color="auto"/>
              <w:right w:val="single" w:sz="4" w:space="0" w:color="auto"/>
            </w:tcBorders>
            <w:shd w:val="clear" w:color="auto" w:fill="auto"/>
            <w:vAlign w:val="center"/>
            <w:hideMark/>
          </w:tcPr>
          <w:p w14:paraId="6F44D7E4"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30.48 </w:t>
            </w:r>
          </w:p>
        </w:tc>
        <w:tc>
          <w:tcPr>
            <w:tcW w:w="418" w:type="pct"/>
            <w:tcBorders>
              <w:top w:val="nil"/>
              <w:left w:val="nil"/>
              <w:bottom w:val="single" w:sz="4" w:space="0" w:color="auto"/>
              <w:right w:val="single" w:sz="4" w:space="0" w:color="auto"/>
            </w:tcBorders>
            <w:shd w:val="clear" w:color="auto" w:fill="auto"/>
            <w:vAlign w:val="center"/>
            <w:hideMark/>
          </w:tcPr>
          <w:p w14:paraId="3F1B2DF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7.94 </w:t>
            </w:r>
          </w:p>
        </w:tc>
      </w:tr>
      <w:tr w:rsidR="005F5E39" w:rsidRPr="00776864" w14:paraId="2739EA79"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26A569FF"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制剂</w:t>
            </w:r>
          </w:p>
        </w:tc>
        <w:tc>
          <w:tcPr>
            <w:tcW w:w="325" w:type="pct"/>
            <w:tcBorders>
              <w:top w:val="nil"/>
              <w:left w:val="nil"/>
              <w:bottom w:val="single" w:sz="4" w:space="0" w:color="auto"/>
              <w:right w:val="single" w:sz="4" w:space="0" w:color="auto"/>
            </w:tcBorders>
            <w:shd w:val="clear" w:color="auto" w:fill="auto"/>
            <w:vAlign w:val="center"/>
            <w:hideMark/>
          </w:tcPr>
          <w:p w14:paraId="32E01C7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5.11 </w:t>
            </w:r>
          </w:p>
        </w:tc>
        <w:tc>
          <w:tcPr>
            <w:tcW w:w="443" w:type="pct"/>
            <w:tcBorders>
              <w:top w:val="nil"/>
              <w:left w:val="nil"/>
              <w:bottom w:val="single" w:sz="4" w:space="0" w:color="auto"/>
              <w:right w:val="single" w:sz="4" w:space="0" w:color="auto"/>
            </w:tcBorders>
            <w:shd w:val="clear" w:color="auto" w:fill="auto"/>
            <w:vAlign w:val="center"/>
            <w:hideMark/>
          </w:tcPr>
          <w:p w14:paraId="5AB0463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10.29 </w:t>
            </w:r>
          </w:p>
        </w:tc>
        <w:tc>
          <w:tcPr>
            <w:tcW w:w="386" w:type="pct"/>
            <w:tcBorders>
              <w:top w:val="nil"/>
              <w:left w:val="nil"/>
              <w:bottom w:val="single" w:sz="4" w:space="0" w:color="auto"/>
              <w:right w:val="single" w:sz="4" w:space="0" w:color="auto"/>
            </w:tcBorders>
            <w:shd w:val="clear" w:color="auto" w:fill="auto"/>
            <w:vAlign w:val="center"/>
            <w:hideMark/>
          </w:tcPr>
          <w:p w14:paraId="3781742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5.70 </w:t>
            </w:r>
          </w:p>
        </w:tc>
        <w:tc>
          <w:tcPr>
            <w:tcW w:w="419" w:type="pct"/>
            <w:tcBorders>
              <w:top w:val="nil"/>
              <w:left w:val="nil"/>
              <w:bottom w:val="single" w:sz="4" w:space="0" w:color="auto"/>
              <w:right w:val="single" w:sz="4" w:space="0" w:color="auto"/>
            </w:tcBorders>
            <w:shd w:val="clear" w:color="auto" w:fill="auto"/>
            <w:vAlign w:val="center"/>
            <w:hideMark/>
          </w:tcPr>
          <w:p w14:paraId="7C52F34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11.14 </w:t>
            </w:r>
          </w:p>
        </w:tc>
        <w:tc>
          <w:tcPr>
            <w:tcW w:w="411" w:type="pct"/>
            <w:tcBorders>
              <w:top w:val="nil"/>
              <w:left w:val="nil"/>
              <w:bottom w:val="single" w:sz="4" w:space="0" w:color="auto"/>
              <w:right w:val="single" w:sz="4" w:space="0" w:color="auto"/>
            </w:tcBorders>
            <w:shd w:val="clear" w:color="auto" w:fill="auto"/>
            <w:vAlign w:val="center"/>
            <w:hideMark/>
          </w:tcPr>
          <w:p w14:paraId="154B100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10.45 </w:t>
            </w:r>
          </w:p>
        </w:tc>
        <w:tc>
          <w:tcPr>
            <w:tcW w:w="419" w:type="pct"/>
            <w:tcBorders>
              <w:top w:val="nil"/>
              <w:left w:val="nil"/>
              <w:bottom w:val="single" w:sz="4" w:space="0" w:color="auto"/>
              <w:right w:val="single" w:sz="4" w:space="0" w:color="auto"/>
            </w:tcBorders>
            <w:shd w:val="clear" w:color="auto" w:fill="auto"/>
            <w:vAlign w:val="center"/>
            <w:hideMark/>
          </w:tcPr>
          <w:p w14:paraId="7BB3C44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12.11 </w:t>
            </w:r>
          </w:p>
        </w:tc>
        <w:tc>
          <w:tcPr>
            <w:tcW w:w="411" w:type="pct"/>
            <w:tcBorders>
              <w:top w:val="nil"/>
              <w:left w:val="nil"/>
              <w:bottom w:val="single" w:sz="4" w:space="0" w:color="auto"/>
              <w:right w:val="single" w:sz="4" w:space="0" w:color="auto"/>
            </w:tcBorders>
            <w:shd w:val="clear" w:color="auto" w:fill="auto"/>
            <w:vAlign w:val="center"/>
            <w:hideMark/>
          </w:tcPr>
          <w:p w14:paraId="3A7D8D7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14.14 </w:t>
            </w:r>
          </w:p>
        </w:tc>
        <w:tc>
          <w:tcPr>
            <w:tcW w:w="346" w:type="pct"/>
            <w:tcBorders>
              <w:top w:val="nil"/>
              <w:left w:val="nil"/>
              <w:bottom w:val="single" w:sz="4" w:space="0" w:color="auto"/>
              <w:right w:val="single" w:sz="4" w:space="0" w:color="auto"/>
            </w:tcBorders>
            <w:shd w:val="clear" w:color="auto" w:fill="auto"/>
            <w:vAlign w:val="center"/>
            <w:hideMark/>
          </w:tcPr>
          <w:p w14:paraId="7DA803F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15.79 </w:t>
            </w:r>
          </w:p>
        </w:tc>
        <w:tc>
          <w:tcPr>
            <w:tcW w:w="484" w:type="pct"/>
            <w:tcBorders>
              <w:top w:val="nil"/>
              <w:left w:val="nil"/>
              <w:bottom w:val="single" w:sz="4" w:space="0" w:color="auto"/>
              <w:right w:val="single" w:sz="4" w:space="0" w:color="auto"/>
            </w:tcBorders>
            <w:shd w:val="clear" w:color="auto" w:fill="auto"/>
            <w:vAlign w:val="center"/>
            <w:hideMark/>
          </w:tcPr>
          <w:p w14:paraId="31ADD5E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22.63 </w:t>
            </w:r>
          </w:p>
        </w:tc>
        <w:tc>
          <w:tcPr>
            <w:tcW w:w="418" w:type="pct"/>
            <w:tcBorders>
              <w:top w:val="nil"/>
              <w:left w:val="nil"/>
              <w:bottom w:val="single" w:sz="4" w:space="0" w:color="auto"/>
              <w:right w:val="single" w:sz="4" w:space="0" w:color="auto"/>
            </w:tcBorders>
            <w:shd w:val="clear" w:color="auto" w:fill="auto"/>
            <w:vAlign w:val="center"/>
            <w:hideMark/>
          </w:tcPr>
          <w:p w14:paraId="74F2F1F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8.61 </w:t>
            </w:r>
          </w:p>
        </w:tc>
      </w:tr>
      <w:tr w:rsidR="005F5E39" w:rsidRPr="00776864" w14:paraId="7A74B484"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73E4F819"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生物医药</w:t>
            </w:r>
          </w:p>
        </w:tc>
        <w:tc>
          <w:tcPr>
            <w:tcW w:w="325" w:type="pct"/>
            <w:tcBorders>
              <w:top w:val="nil"/>
              <w:left w:val="nil"/>
              <w:bottom w:val="single" w:sz="4" w:space="0" w:color="auto"/>
              <w:right w:val="single" w:sz="4" w:space="0" w:color="auto"/>
            </w:tcBorders>
            <w:shd w:val="clear" w:color="auto" w:fill="auto"/>
            <w:vAlign w:val="center"/>
            <w:hideMark/>
          </w:tcPr>
          <w:p w14:paraId="320ED69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15.85 </w:t>
            </w:r>
          </w:p>
        </w:tc>
        <w:tc>
          <w:tcPr>
            <w:tcW w:w="443" w:type="pct"/>
            <w:tcBorders>
              <w:top w:val="nil"/>
              <w:left w:val="nil"/>
              <w:bottom w:val="single" w:sz="4" w:space="0" w:color="auto"/>
              <w:right w:val="single" w:sz="4" w:space="0" w:color="auto"/>
            </w:tcBorders>
            <w:shd w:val="clear" w:color="auto" w:fill="auto"/>
            <w:vAlign w:val="center"/>
            <w:hideMark/>
          </w:tcPr>
          <w:p w14:paraId="7E4BFE8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17.24 </w:t>
            </w:r>
          </w:p>
        </w:tc>
        <w:tc>
          <w:tcPr>
            <w:tcW w:w="386" w:type="pct"/>
            <w:tcBorders>
              <w:top w:val="nil"/>
              <w:left w:val="nil"/>
              <w:bottom w:val="single" w:sz="4" w:space="0" w:color="auto"/>
              <w:right w:val="single" w:sz="4" w:space="0" w:color="auto"/>
            </w:tcBorders>
            <w:shd w:val="clear" w:color="auto" w:fill="auto"/>
            <w:vAlign w:val="center"/>
            <w:hideMark/>
          </w:tcPr>
          <w:p w14:paraId="446F80E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11.27 </w:t>
            </w:r>
          </w:p>
        </w:tc>
        <w:tc>
          <w:tcPr>
            <w:tcW w:w="419" w:type="pct"/>
            <w:tcBorders>
              <w:top w:val="nil"/>
              <w:left w:val="nil"/>
              <w:bottom w:val="single" w:sz="4" w:space="0" w:color="auto"/>
              <w:right w:val="single" w:sz="4" w:space="0" w:color="auto"/>
            </w:tcBorders>
            <w:shd w:val="clear" w:color="auto" w:fill="auto"/>
            <w:vAlign w:val="center"/>
            <w:hideMark/>
          </w:tcPr>
          <w:p w14:paraId="04B17A2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20.47 </w:t>
            </w:r>
          </w:p>
        </w:tc>
        <w:tc>
          <w:tcPr>
            <w:tcW w:w="411" w:type="pct"/>
            <w:tcBorders>
              <w:top w:val="nil"/>
              <w:left w:val="nil"/>
              <w:bottom w:val="single" w:sz="4" w:space="0" w:color="auto"/>
              <w:right w:val="single" w:sz="4" w:space="0" w:color="auto"/>
            </w:tcBorders>
            <w:shd w:val="clear" w:color="auto" w:fill="auto"/>
            <w:vAlign w:val="center"/>
            <w:hideMark/>
          </w:tcPr>
          <w:p w14:paraId="27A73E2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11.36 </w:t>
            </w:r>
          </w:p>
        </w:tc>
        <w:tc>
          <w:tcPr>
            <w:tcW w:w="419" w:type="pct"/>
            <w:tcBorders>
              <w:top w:val="nil"/>
              <w:left w:val="nil"/>
              <w:bottom w:val="single" w:sz="4" w:space="0" w:color="auto"/>
              <w:right w:val="single" w:sz="4" w:space="0" w:color="auto"/>
            </w:tcBorders>
            <w:shd w:val="clear" w:color="auto" w:fill="auto"/>
            <w:vAlign w:val="center"/>
            <w:hideMark/>
          </w:tcPr>
          <w:p w14:paraId="560707F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20.57 </w:t>
            </w:r>
          </w:p>
        </w:tc>
        <w:tc>
          <w:tcPr>
            <w:tcW w:w="411" w:type="pct"/>
            <w:tcBorders>
              <w:top w:val="nil"/>
              <w:left w:val="nil"/>
              <w:bottom w:val="single" w:sz="4" w:space="0" w:color="auto"/>
              <w:right w:val="single" w:sz="4" w:space="0" w:color="auto"/>
            </w:tcBorders>
            <w:shd w:val="clear" w:color="auto" w:fill="auto"/>
            <w:vAlign w:val="center"/>
            <w:hideMark/>
          </w:tcPr>
          <w:p w14:paraId="66C8C33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43.72 </w:t>
            </w:r>
          </w:p>
        </w:tc>
        <w:tc>
          <w:tcPr>
            <w:tcW w:w="346" w:type="pct"/>
            <w:tcBorders>
              <w:top w:val="nil"/>
              <w:left w:val="nil"/>
              <w:bottom w:val="single" w:sz="4" w:space="0" w:color="auto"/>
              <w:right w:val="single" w:sz="4" w:space="0" w:color="auto"/>
            </w:tcBorders>
            <w:shd w:val="clear" w:color="auto" w:fill="auto"/>
            <w:vAlign w:val="center"/>
            <w:hideMark/>
          </w:tcPr>
          <w:p w14:paraId="3EF5782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23.49 </w:t>
            </w:r>
          </w:p>
        </w:tc>
        <w:tc>
          <w:tcPr>
            <w:tcW w:w="484" w:type="pct"/>
            <w:tcBorders>
              <w:top w:val="nil"/>
              <w:left w:val="nil"/>
              <w:bottom w:val="single" w:sz="4" w:space="0" w:color="auto"/>
              <w:right w:val="single" w:sz="4" w:space="0" w:color="auto"/>
            </w:tcBorders>
            <w:shd w:val="clear" w:color="auto" w:fill="auto"/>
            <w:vAlign w:val="center"/>
            <w:hideMark/>
          </w:tcPr>
          <w:p w14:paraId="6A0E8CD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31.26 </w:t>
            </w:r>
          </w:p>
        </w:tc>
        <w:tc>
          <w:tcPr>
            <w:tcW w:w="418" w:type="pct"/>
            <w:tcBorders>
              <w:top w:val="nil"/>
              <w:left w:val="nil"/>
              <w:bottom w:val="single" w:sz="4" w:space="0" w:color="auto"/>
              <w:right w:val="single" w:sz="4" w:space="0" w:color="auto"/>
            </w:tcBorders>
            <w:shd w:val="clear" w:color="auto" w:fill="auto"/>
            <w:vAlign w:val="center"/>
            <w:hideMark/>
          </w:tcPr>
          <w:p w14:paraId="4B3CE6F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18.09 </w:t>
            </w:r>
          </w:p>
        </w:tc>
      </w:tr>
      <w:tr w:rsidR="005F5E39" w:rsidRPr="00776864" w14:paraId="182C9929"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6A3E2DA7"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其中：疫苗</w:t>
            </w:r>
          </w:p>
        </w:tc>
        <w:tc>
          <w:tcPr>
            <w:tcW w:w="325" w:type="pct"/>
            <w:tcBorders>
              <w:top w:val="nil"/>
              <w:left w:val="nil"/>
              <w:bottom w:val="single" w:sz="4" w:space="0" w:color="auto"/>
              <w:right w:val="single" w:sz="4" w:space="0" w:color="auto"/>
            </w:tcBorders>
            <w:shd w:val="clear" w:color="auto" w:fill="auto"/>
            <w:vAlign w:val="center"/>
            <w:hideMark/>
          </w:tcPr>
          <w:p w14:paraId="6E6A49B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4.05 </w:t>
            </w:r>
          </w:p>
        </w:tc>
        <w:tc>
          <w:tcPr>
            <w:tcW w:w="443" w:type="pct"/>
            <w:tcBorders>
              <w:top w:val="nil"/>
              <w:left w:val="nil"/>
              <w:bottom w:val="single" w:sz="4" w:space="0" w:color="auto"/>
              <w:right w:val="single" w:sz="4" w:space="0" w:color="auto"/>
            </w:tcBorders>
            <w:shd w:val="clear" w:color="auto" w:fill="auto"/>
            <w:vAlign w:val="center"/>
            <w:hideMark/>
          </w:tcPr>
          <w:p w14:paraId="7E99E5F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15.91 </w:t>
            </w:r>
          </w:p>
        </w:tc>
        <w:tc>
          <w:tcPr>
            <w:tcW w:w="386" w:type="pct"/>
            <w:tcBorders>
              <w:top w:val="nil"/>
              <w:left w:val="nil"/>
              <w:bottom w:val="single" w:sz="4" w:space="0" w:color="auto"/>
              <w:right w:val="single" w:sz="4" w:space="0" w:color="auto"/>
            </w:tcBorders>
            <w:shd w:val="clear" w:color="auto" w:fill="auto"/>
            <w:vAlign w:val="center"/>
            <w:hideMark/>
          </w:tcPr>
          <w:p w14:paraId="7118067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17.04 </w:t>
            </w:r>
          </w:p>
        </w:tc>
        <w:tc>
          <w:tcPr>
            <w:tcW w:w="419" w:type="pct"/>
            <w:tcBorders>
              <w:top w:val="nil"/>
              <w:left w:val="nil"/>
              <w:bottom w:val="single" w:sz="4" w:space="0" w:color="auto"/>
              <w:right w:val="single" w:sz="4" w:space="0" w:color="auto"/>
            </w:tcBorders>
            <w:shd w:val="clear" w:color="auto" w:fill="auto"/>
            <w:vAlign w:val="center"/>
            <w:hideMark/>
          </w:tcPr>
          <w:p w14:paraId="41BD56C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FF0000"/>
                <w:kern w:val="0"/>
                <w:sz w:val="11"/>
                <w:szCs w:val="11"/>
              </w:rPr>
              <w:t>(19.85)</w:t>
            </w:r>
          </w:p>
        </w:tc>
        <w:tc>
          <w:tcPr>
            <w:tcW w:w="411" w:type="pct"/>
            <w:tcBorders>
              <w:top w:val="nil"/>
              <w:left w:val="nil"/>
              <w:bottom w:val="single" w:sz="4" w:space="0" w:color="auto"/>
              <w:right w:val="single" w:sz="4" w:space="0" w:color="auto"/>
            </w:tcBorders>
            <w:shd w:val="clear" w:color="auto" w:fill="auto"/>
            <w:vAlign w:val="center"/>
            <w:hideMark/>
          </w:tcPr>
          <w:p w14:paraId="17B5FB4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FF0000"/>
                <w:kern w:val="0"/>
                <w:sz w:val="11"/>
                <w:szCs w:val="11"/>
              </w:rPr>
              <w:t>(10.75)</w:t>
            </w:r>
          </w:p>
        </w:tc>
        <w:tc>
          <w:tcPr>
            <w:tcW w:w="419" w:type="pct"/>
            <w:tcBorders>
              <w:top w:val="nil"/>
              <w:left w:val="nil"/>
              <w:bottom w:val="single" w:sz="4" w:space="0" w:color="auto"/>
              <w:right w:val="single" w:sz="4" w:space="0" w:color="auto"/>
            </w:tcBorders>
            <w:shd w:val="clear" w:color="auto" w:fill="auto"/>
            <w:vAlign w:val="center"/>
            <w:hideMark/>
          </w:tcPr>
          <w:p w14:paraId="3B75085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28.55 </w:t>
            </w:r>
          </w:p>
        </w:tc>
        <w:tc>
          <w:tcPr>
            <w:tcW w:w="411" w:type="pct"/>
            <w:tcBorders>
              <w:top w:val="nil"/>
              <w:left w:val="nil"/>
              <w:bottom w:val="single" w:sz="4" w:space="0" w:color="auto"/>
              <w:right w:val="single" w:sz="4" w:space="0" w:color="auto"/>
            </w:tcBorders>
            <w:shd w:val="clear" w:color="auto" w:fill="auto"/>
            <w:vAlign w:val="center"/>
            <w:hideMark/>
          </w:tcPr>
          <w:p w14:paraId="13CCD02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66.17 </w:t>
            </w:r>
          </w:p>
        </w:tc>
        <w:tc>
          <w:tcPr>
            <w:tcW w:w="346" w:type="pct"/>
            <w:tcBorders>
              <w:top w:val="nil"/>
              <w:left w:val="nil"/>
              <w:bottom w:val="single" w:sz="4" w:space="0" w:color="auto"/>
              <w:right w:val="single" w:sz="4" w:space="0" w:color="auto"/>
            </w:tcBorders>
            <w:shd w:val="clear" w:color="auto" w:fill="auto"/>
            <w:vAlign w:val="center"/>
            <w:hideMark/>
          </w:tcPr>
          <w:p w14:paraId="335997D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19.12 </w:t>
            </w:r>
          </w:p>
        </w:tc>
        <w:tc>
          <w:tcPr>
            <w:tcW w:w="484" w:type="pct"/>
            <w:tcBorders>
              <w:top w:val="nil"/>
              <w:left w:val="nil"/>
              <w:bottom w:val="single" w:sz="4" w:space="0" w:color="auto"/>
              <w:right w:val="single" w:sz="4" w:space="0" w:color="auto"/>
            </w:tcBorders>
            <w:shd w:val="clear" w:color="auto" w:fill="auto"/>
            <w:vAlign w:val="center"/>
            <w:hideMark/>
          </w:tcPr>
          <w:p w14:paraId="0F231E1A" w14:textId="77777777" w:rsidR="00CA20F0" w:rsidRPr="00CA20F0" w:rsidRDefault="00CA20F0" w:rsidP="00CA20F0">
            <w:pPr>
              <w:widowControl/>
              <w:jc w:val="center"/>
              <w:rPr>
                <w:rFonts w:ascii="微软雅黑" w:eastAsia="微软雅黑" w:hAnsi="微软雅黑" w:cs="宋体"/>
                <w:b/>
                <w:bCs/>
                <w:color w:val="000000"/>
                <w:kern w:val="0"/>
                <w:sz w:val="11"/>
                <w:szCs w:val="11"/>
              </w:rPr>
            </w:pPr>
            <w:r w:rsidRPr="00CA20F0">
              <w:rPr>
                <w:rFonts w:ascii="微软雅黑" w:eastAsia="微软雅黑" w:hAnsi="微软雅黑" w:cs="宋体" w:hint="eastAsia"/>
                <w:b/>
                <w:bCs/>
                <w:color w:val="000000"/>
                <w:kern w:val="0"/>
                <w:sz w:val="11"/>
                <w:szCs w:val="11"/>
              </w:rPr>
              <w:t xml:space="preserve">113.91 </w:t>
            </w:r>
          </w:p>
        </w:tc>
        <w:tc>
          <w:tcPr>
            <w:tcW w:w="418" w:type="pct"/>
            <w:tcBorders>
              <w:top w:val="nil"/>
              <w:left w:val="nil"/>
              <w:bottom w:val="single" w:sz="4" w:space="0" w:color="auto"/>
              <w:right w:val="single" w:sz="4" w:space="0" w:color="auto"/>
            </w:tcBorders>
            <w:shd w:val="clear" w:color="auto" w:fill="auto"/>
            <w:vAlign w:val="center"/>
            <w:hideMark/>
          </w:tcPr>
          <w:p w14:paraId="51467CBF" w14:textId="77777777" w:rsidR="00CA20F0" w:rsidRPr="00CA20F0" w:rsidRDefault="00CA20F0" w:rsidP="00CA20F0">
            <w:pPr>
              <w:widowControl/>
              <w:jc w:val="center"/>
              <w:rPr>
                <w:rFonts w:ascii="微软雅黑" w:eastAsia="微软雅黑" w:hAnsi="微软雅黑" w:cs="宋体"/>
                <w:b/>
                <w:bCs/>
                <w:color w:val="000000"/>
                <w:kern w:val="0"/>
                <w:sz w:val="11"/>
                <w:szCs w:val="11"/>
              </w:rPr>
            </w:pPr>
            <w:r w:rsidRPr="00CA20F0">
              <w:rPr>
                <w:rFonts w:ascii="微软雅黑" w:eastAsia="微软雅黑" w:hAnsi="微软雅黑" w:cs="宋体" w:hint="eastAsia"/>
                <w:b/>
                <w:bCs/>
                <w:color w:val="000000"/>
                <w:kern w:val="0"/>
                <w:sz w:val="11"/>
                <w:szCs w:val="11"/>
              </w:rPr>
              <w:t xml:space="preserve">37.10 </w:t>
            </w:r>
          </w:p>
        </w:tc>
      </w:tr>
      <w:tr w:rsidR="005F5E39" w:rsidRPr="00776864" w14:paraId="2CFE4EDE"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01FC7158"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其中：血液制品</w:t>
            </w:r>
          </w:p>
        </w:tc>
        <w:tc>
          <w:tcPr>
            <w:tcW w:w="325" w:type="pct"/>
            <w:tcBorders>
              <w:top w:val="nil"/>
              <w:left w:val="nil"/>
              <w:bottom w:val="single" w:sz="4" w:space="0" w:color="auto"/>
              <w:right w:val="single" w:sz="4" w:space="0" w:color="auto"/>
            </w:tcBorders>
            <w:shd w:val="clear" w:color="auto" w:fill="auto"/>
            <w:vAlign w:val="center"/>
            <w:hideMark/>
          </w:tcPr>
          <w:p w14:paraId="4C95005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27.40 </w:t>
            </w:r>
          </w:p>
        </w:tc>
        <w:tc>
          <w:tcPr>
            <w:tcW w:w="443" w:type="pct"/>
            <w:tcBorders>
              <w:top w:val="nil"/>
              <w:left w:val="nil"/>
              <w:bottom w:val="single" w:sz="4" w:space="0" w:color="auto"/>
              <w:right w:val="single" w:sz="4" w:space="0" w:color="auto"/>
            </w:tcBorders>
            <w:shd w:val="clear" w:color="auto" w:fill="auto"/>
            <w:vAlign w:val="center"/>
            <w:hideMark/>
          </w:tcPr>
          <w:p w14:paraId="0B3A7BA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28.16 </w:t>
            </w:r>
          </w:p>
        </w:tc>
        <w:tc>
          <w:tcPr>
            <w:tcW w:w="386" w:type="pct"/>
            <w:tcBorders>
              <w:top w:val="nil"/>
              <w:left w:val="nil"/>
              <w:bottom w:val="single" w:sz="4" w:space="0" w:color="auto"/>
              <w:right w:val="single" w:sz="4" w:space="0" w:color="auto"/>
            </w:tcBorders>
            <w:shd w:val="clear" w:color="auto" w:fill="auto"/>
            <w:vAlign w:val="center"/>
            <w:hideMark/>
          </w:tcPr>
          <w:p w14:paraId="5DA7483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15.93 </w:t>
            </w:r>
          </w:p>
        </w:tc>
        <w:tc>
          <w:tcPr>
            <w:tcW w:w="419" w:type="pct"/>
            <w:tcBorders>
              <w:top w:val="nil"/>
              <w:left w:val="nil"/>
              <w:bottom w:val="single" w:sz="4" w:space="0" w:color="auto"/>
              <w:right w:val="single" w:sz="4" w:space="0" w:color="auto"/>
            </w:tcBorders>
            <w:shd w:val="clear" w:color="auto" w:fill="auto"/>
            <w:vAlign w:val="center"/>
            <w:hideMark/>
          </w:tcPr>
          <w:p w14:paraId="7589E11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38.80 </w:t>
            </w:r>
          </w:p>
        </w:tc>
        <w:tc>
          <w:tcPr>
            <w:tcW w:w="411" w:type="pct"/>
            <w:tcBorders>
              <w:top w:val="nil"/>
              <w:left w:val="nil"/>
              <w:bottom w:val="single" w:sz="4" w:space="0" w:color="auto"/>
              <w:right w:val="single" w:sz="4" w:space="0" w:color="auto"/>
            </w:tcBorders>
            <w:shd w:val="clear" w:color="auto" w:fill="auto"/>
            <w:vAlign w:val="center"/>
            <w:hideMark/>
          </w:tcPr>
          <w:p w14:paraId="458DD06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27.63 </w:t>
            </w:r>
          </w:p>
        </w:tc>
        <w:tc>
          <w:tcPr>
            <w:tcW w:w="419" w:type="pct"/>
            <w:tcBorders>
              <w:top w:val="nil"/>
              <w:left w:val="nil"/>
              <w:bottom w:val="single" w:sz="4" w:space="0" w:color="auto"/>
              <w:right w:val="single" w:sz="4" w:space="0" w:color="auto"/>
            </w:tcBorders>
            <w:shd w:val="clear" w:color="auto" w:fill="auto"/>
            <w:vAlign w:val="center"/>
            <w:hideMark/>
          </w:tcPr>
          <w:p w14:paraId="6C81DD1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37.99 </w:t>
            </w:r>
          </w:p>
        </w:tc>
        <w:tc>
          <w:tcPr>
            <w:tcW w:w="411" w:type="pct"/>
            <w:tcBorders>
              <w:top w:val="nil"/>
              <w:left w:val="nil"/>
              <w:bottom w:val="single" w:sz="4" w:space="0" w:color="auto"/>
              <w:right w:val="single" w:sz="4" w:space="0" w:color="auto"/>
            </w:tcBorders>
            <w:shd w:val="clear" w:color="auto" w:fill="auto"/>
            <w:vAlign w:val="center"/>
            <w:hideMark/>
          </w:tcPr>
          <w:p w14:paraId="4D0C4A2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4.33 </w:t>
            </w:r>
          </w:p>
        </w:tc>
        <w:tc>
          <w:tcPr>
            <w:tcW w:w="346" w:type="pct"/>
            <w:tcBorders>
              <w:top w:val="nil"/>
              <w:left w:val="nil"/>
              <w:bottom w:val="single" w:sz="4" w:space="0" w:color="auto"/>
              <w:right w:val="single" w:sz="4" w:space="0" w:color="auto"/>
            </w:tcBorders>
            <w:shd w:val="clear" w:color="auto" w:fill="auto"/>
            <w:vAlign w:val="center"/>
            <w:hideMark/>
          </w:tcPr>
          <w:p w14:paraId="6B8558A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38.38 </w:t>
            </w:r>
          </w:p>
        </w:tc>
        <w:tc>
          <w:tcPr>
            <w:tcW w:w="484" w:type="pct"/>
            <w:tcBorders>
              <w:top w:val="nil"/>
              <w:left w:val="nil"/>
              <w:bottom w:val="single" w:sz="4" w:space="0" w:color="auto"/>
              <w:right w:val="single" w:sz="4" w:space="0" w:color="auto"/>
            </w:tcBorders>
            <w:shd w:val="clear" w:color="auto" w:fill="auto"/>
            <w:vAlign w:val="center"/>
            <w:hideMark/>
          </w:tcPr>
          <w:p w14:paraId="75A748D2"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24.82 </w:t>
            </w:r>
          </w:p>
        </w:tc>
        <w:tc>
          <w:tcPr>
            <w:tcW w:w="418" w:type="pct"/>
            <w:tcBorders>
              <w:top w:val="nil"/>
              <w:left w:val="nil"/>
              <w:bottom w:val="single" w:sz="4" w:space="0" w:color="auto"/>
              <w:right w:val="single" w:sz="4" w:space="0" w:color="auto"/>
            </w:tcBorders>
            <w:shd w:val="clear" w:color="auto" w:fill="auto"/>
            <w:vAlign w:val="center"/>
            <w:hideMark/>
          </w:tcPr>
          <w:p w14:paraId="2DA1A33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9.52 </w:t>
            </w:r>
          </w:p>
        </w:tc>
      </w:tr>
      <w:tr w:rsidR="005F5E39" w:rsidRPr="00776864" w14:paraId="6EBBFE71"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32459BD"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其中：生物制药</w:t>
            </w:r>
          </w:p>
        </w:tc>
        <w:tc>
          <w:tcPr>
            <w:tcW w:w="325" w:type="pct"/>
            <w:tcBorders>
              <w:top w:val="nil"/>
              <w:left w:val="nil"/>
              <w:bottom w:val="single" w:sz="4" w:space="0" w:color="auto"/>
              <w:right w:val="single" w:sz="4" w:space="0" w:color="auto"/>
            </w:tcBorders>
            <w:shd w:val="clear" w:color="auto" w:fill="auto"/>
            <w:vAlign w:val="center"/>
            <w:hideMark/>
          </w:tcPr>
          <w:p w14:paraId="14937F4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21.07 </w:t>
            </w:r>
          </w:p>
        </w:tc>
        <w:tc>
          <w:tcPr>
            <w:tcW w:w="443" w:type="pct"/>
            <w:tcBorders>
              <w:top w:val="nil"/>
              <w:left w:val="nil"/>
              <w:bottom w:val="single" w:sz="4" w:space="0" w:color="auto"/>
              <w:right w:val="single" w:sz="4" w:space="0" w:color="auto"/>
            </w:tcBorders>
            <w:shd w:val="clear" w:color="auto" w:fill="auto"/>
            <w:vAlign w:val="center"/>
            <w:hideMark/>
          </w:tcPr>
          <w:p w14:paraId="7985A10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22.05 </w:t>
            </w:r>
          </w:p>
        </w:tc>
        <w:tc>
          <w:tcPr>
            <w:tcW w:w="386" w:type="pct"/>
            <w:tcBorders>
              <w:top w:val="nil"/>
              <w:left w:val="nil"/>
              <w:bottom w:val="single" w:sz="4" w:space="0" w:color="auto"/>
              <w:right w:val="single" w:sz="4" w:space="0" w:color="auto"/>
            </w:tcBorders>
            <w:shd w:val="clear" w:color="auto" w:fill="auto"/>
            <w:vAlign w:val="center"/>
            <w:hideMark/>
          </w:tcPr>
          <w:p w14:paraId="168051A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10.70 </w:t>
            </w:r>
          </w:p>
        </w:tc>
        <w:tc>
          <w:tcPr>
            <w:tcW w:w="419" w:type="pct"/>
            <w:tcBorders>
              <w:top w:val="nil"/>
              <w:left w:val="nil"/>
              <w:bottom w:val="single" w:sz="4" w:space="0" w:color="auto"/>
              <w:right w:val="single" w:sz="4" w:space="0" w:color="auto"/>
            </w:tcBorders>
            <w:shd w:val="clear" w:color="auto" w:fill="auto"/>
            <w:vAlign w:val="center"/>
            <w:hideMark/>
          </w:tcPr>
          <w:p w14:paraId="53C95D1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30.14 </w:t>
            </w:r>
          </w:p>
        </w:tc>
        <w:tc>
          <w:tcPr>
            <w:tcW w:w="411" w:type="pct"/>
            <w:tcBorders>
              <w:top w:val="nil"/>
              <w:left w:val="nil"/>
              <w:bottom w:val="single" w:sz="4" w:space="0" w:color="auto"/>
              <w:right w:val="single" w:sz="4" w:space="0" w:color="auto"/>
            </w:tcBorders>
            <w:shd w:val="clear" w:color="auto" w:fill="auto"/>
            <w:vAlign w:val="center"/>
            <w:hideMark/>
          </w:tcPr>
          <w:p w14:paraId="6F052AF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29.18 </w:t>
            </w:r>
          </w:p>
        </w:tc>
        <w:tc>
          <w:tcPr>
            <w:tcW w:w="419" w:type="pct"/>
            <w:tcBorders>
              <w:top w:val="nil"/>
              <w:left w:val="nil"/>
              <w:bottom w:val="single" w:sz="4" w:space="0" w:color="auto"/>
              <w:right w:val="single" w:sz="4" w:space="0" w:color="auto"/>
            </w:tcBorders>
            <w:shd w:val="clear" w:color="auto" w:fill="auto"/>
            <w:vAlign w:val="center"/>
            <w:hideMark/>
          </w:tcPr>
          <w:p w14:paraId="344F6B3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30.38 </w:t>
            </w:r>
          </w:p>
        </w:tc>
        <w:tc>
          <w:tcPr>
            <w:tcW w:w="411" w:type="pct"/>
            <w:tcBorders>
              <w:top w:val="nil"/>
              <w:left w:val="nil"/>
              <w:bottom w:val="single" w:sz="4" w:space="0" w:color="auto"/>
              <w:right w:val="single" w:sz="4" w:space="0" w:color="auto"/>
            </w:tcBorders>
            <w:shd w:val="clear" w:color="auto" w:fill="auto"/>
            <w:vAlign w:val="center"/>
            <w:hideMark/>
          </w:tcPr>
          <w:p w14:paraId="65D0796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12.78 </w:t>
            </w:r>
          </w:p>
        </w:tc>
        <w:tc>
          <w:tcPr>
            <w:tcW w:w="346" w:type="pct"/>
            <w:tcBorders>
              <w:top w:val="nil"/>
              <w:left w:val="nil"/>
              <w:bottom w:val="single" w:sz="4" w:space="0" w:color="auto"/>
              <w:right w:val="single" w:sz="4" w:space="0" w:color="auto"/>
            </w:tcBorders>
            <w:shd w:val="clear" w:color="auto" w:fill="auto"/>
            <w:vAlign w:val="center"/>
            <w:hideMark/>
          </w:tcPr>
          <w:p w14:paraId="09CDC07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29.82 </w:t>
            </w:r>
          </w:p>
        </w:tc>
        <w:tc>
          <w:tcPr>
            <w:tcW w:w="484" w:type="pct"/>
            <w:tcBorders>
              <w:top w:val="nil"/>
              <w:left w:val="nil"/>
              <w:bottom w:val="single" w:sz="4" w:space="0" w:color="auto"/>
              <w:right w:val="single" w:sz="4" w:space="0" w:color="auto"/>
            </w:tcBorders>
            <w:shd w:val="clear" w:color="auto" w:fill="auto"/>
            <w:vAlign w:val="center"/>
            <w:hideMark/>
          </w:tcPr>
          <w:p w14:paraId="355CF4C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4.75 </w:t>
            </w:r>
          </w:p>
        </w:tc>
        <w:tc>
          <w:tcPr>
            <w:tcW w:w="418" w:type="pct"/>
            <w:tcBorders>
              <w:top w:val="nil"/>
              <w:left w:val="nil"/>
              <w:bottom w:val="single" w:sz="4" w:space="0" w:color="auto"/>
              <w:right w:val="single" w:sz="4" w:space="0" w:color="auto"/>
            </w:tcBorders>
            <w:shd w:val="clear" w:color="auto" w:fill="auto"/>
            <w:vAlign w:val="center"/>
            <w:hideMark/>
          </w:tcPr>
          <w:p w14:paraId="4A27AA45" w14:textId="77777777" w:rsidR="00CA20F0" w:rsidRPr="00CA20F0" w:rsidRDefault="00CA20F0" w:rsidP="00CA20F0">
            <w:pPr>
              <w:widowControl/>
              <w:jc w:val="center"/>
              <w:rPr>
                <w:rFonts w:ascii="微软雅黑" w:eastAsia="微软雅黑" w:hAnsi="微软雅黑" w:cs="宋体"/>
                <w:b/>
                <w:bCs/>
                <w:color w:val="000000"/>
                <w:kern w:val="0"/>
                <w:sz w:val="11"/>
                <w:szCs w:val="11"/>
              </w:rPr>
            </w:pPr>
            <w:r w:rsidRPr="00CA20F0">
              <w:rPr>
                <w:rFonts w:ascii="微软雅黑" w:eastAsia="微软雅黑" w:hAnsi="微软雅黑" w:cs="宋体" w:hint="eastAsia"/>
                <w:b/>
                <w:bCs/>
                <w:color w:val="000000"/>
                <w:kern w:val="0"/>
                <w:sz w:val="11"/>
                <w:szCs w:val="11"/>
              </w:rPr>
              <w:t xml:space="preserve">20.52 </w:t>
            </w:r>
          </w:p>
        </w:tc>
      </w:tr>
      <w:tr w:rsidR="005F5E39" w:rsidRPr="00776864" w14:paraId="4376B9A1"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D1D2C0A"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中药</w:t>
            </w:r>
          </w:p>
        </w:tc>
        <w:tc>
          <w:tcPr>
            <w:tcW w:w="325" w:type="pct"/>
            <w:tcBorders>
              <w:top w:val="nil"/>
              <w:left w:val="nil"/>
              <w:bottom w:val="single" w:sz="4" w:space="0" w:color="auto"/>
              <w:right w:val="single" w:sz="4" w:space="0" w:color="auto"/>
            </w:tcBorders>
            <w:shd w:val="clear" w:color="auto" w:fill="auto"/>
            <w:noWrap/>
            <w:hideMark/>
          </w:tcPr>
          <w:p w14:paraId="232F4032"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11.42 </w:t>
            </w:r>
          </w:p>
        </w:tc>
        <w:tc>
          <w:tcPr>
            <w:tcW w:w="443" w:type="pct"/>
            <w:tcBorders>
              <w:top w:val="nil"/>
              <w:left w:val="nil"/>
              <w:bottom w:val="single" w:sz="4" w:space="0" w:color="auto"/>
              <w:right w:val="single" w:sz="4" w:space="0" w:color="auto"/>
            </w:tcBorders>
            <w:shd w:val="clear" w:color="auto" w:fill="auto"/>
            <w:noWrap/>
            <w:hideMark/>
          </w:tcPr>
          <w:p w14:paraId="66BE795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12.96 </w:t>
            </w:r>
          </w:p>
        </w:tc>
        <w:tc>
          <w:tcPr>
            <w:tcW w:w="386" w:type="pct"/>
            <w:tcBorders>
              <w:top w:val="nil"/>
              <w:left w:val="nil"/>
              <w:bottom w:val="single" w:sz="4" w:space="0" w:color="auto"/>
              <w:right w:val="single" w:sz="4" w:space="0" w:color="auto"/>
            </w:tcBorders>
            <w:shd w:val="clear" w:color="auto" w:fill="auto"/>
            <w:noWrap/>
            <w:hideMark/>
          </w:tcPr>
          <w:p w14:paraId="344284E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8.86 </w:t>
            </w:r>
          </w:p>
        </w:tc>
        <w:tc>
          <w:tcPr>
            <w:tcW w:w="419" w:type="pct"/>
            <w:tcBorders>
              <w:top w:val="nil"/>
              <w:left w:val="nil"/>
              <w:bottom w:val="single" w:sz="4" w:space="0" w:color="auto"/>
              <w:right w:val="single" w:sz="4" w:space="0" w:color="auto"/>
            </w:tcBorders>
            <w:shd w:val="clear" w:color="auto" w:fill="auto"/>
            <w:noWrap/>
            <w:hideMark/>
          </w:tcPr>
          <w:p w14:paraId="76F2756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13.04 </w:t>
            </w:r>
          </w:p>
        </w:tc>
        <w:tc>
          <w:tcPr>
            <w:tcW w:w="411" w:type="pct"/>
            <w:tcBorders>
              <w:top w:val="nil"/>
              <w:left w:val="nil"/>
              <w:bottom w:val="single" w:sz="4" w:space="0" w:color="auto"/>
              <w:right w:val="single" w:sz="4" w:space="0" w:color="auto"/>
            </w:tcBorders>
            <w:shd w:val="clear" w:color="auto" w:fill="auto"/>
            <w:noWrap/>
            <w:hideMark/>
          </w:tcPr>
          <w:p w14:paraId="4E8DD8B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11.22 </w:t>
            </w:r>
          </w:p>
        </w:tc>
        <w:tc>
          <w:tcPr>
            <w:tcW w:w="419" w:type="pct"/>
            <w:tcBorders>
              <w:top w:val="nil"/>
              <w:left w:val="nil"/>
              <w:bottom w:val="single" w:sz="4" w:space="0" w:color="auto"/>
              <w:right w:val="single" w:sz="4" w:space="0" w:color="auto"/>
            </w:tcBorders>
            <w:shd w:val="clear" w:color="auto" w:fill="auto"/>
            <w:noWrap/>
            <w:hideMark/>
          </w:tcPr>
          <w:p w14:paraId="32BEB8A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13.21 </w:t>
            </w:r>
          </w:p>
        </w:tc>
        <w:tc>
          <w:tcPr>
            <w:tcW w:w="411" w:type="pct"/>
            <w:tcBorders>
              <w:top w:val="nil"/>
              <w:left w:val="nil"/>
              <w:bottom w:val="single" w:sz="4" w:space="0" w:color="auto"/>
              <w:right w:val="single" w:sz="4" w:space="0" w:color="auto"/>
            </w:tcBorders>
            <w:shd w:val="clear" w:color="auto" w:fill="auto"/>
            <w:noWrap/>
            <w:hideMark/>
          </w:tcPr>
          <w:p w14:paraId="59BF651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12.17 </w:t>
            </w:r>
          </w:p>
        </w:tc>
        <w:tc>
          <w:tcPr>
            <w:tcW w:w="346" w:type="pct"/>
            <w:tcBorders>
              <w:top w:val="nil"/>
              <w:left w:val="nil"/>
              <w:bottom w:val="single" w:sz="4" w:space="0" w:color="auto"/>
              <w:right w:val="single" w:sz="4" w:space="0" w:color="auto"/>
            </w:tcBorders>
            <w:shd w:val="clear" w:color="auto" w:fill="auto"/>
            <w:noWrap/>
            <w:hideMark/>
          </w:tcPr>
          <w:p w14:paraId="1E951B1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12.77 </w:t>
            </w:r>
          </w:p>
        </w:tc>
        <w:tc>
          <w:tcPr>
            <w:tcW w:w="484" w:type="pct"/>
            <w:tcBorders>
              <w:top w:val="nil"/>
              <w:left w:val="nil"/>
              <w:bottom w:val="single" w:sz="4" w:space="0" w:color="auto"/>
              <w:right w:val="single" w:sz="4" w:space="0" w:color="auto"/>
            </w:tcBorders>
            <w:shd w:val="clear" w:color="auto" w:fill="auto"/>
            <w:noWrap/>
            <w:hideMark/>
          </w:tcPr>
          <w:p w14:paraId="593BFF2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18.48 </w:t>
            </w:r>
          </w:p>
        </w:tc>
        <w:tc>
          <w:tcPr>
            <w:tcW w:w="418" w:type="pct"/>
            <w:tcBorders>
              <w:top w:val="nil"/>
              <w:left w:val="nil"/>
              <w:bottom w:val="single" w:sz="4" w:space="0" w:color="auto"/>
              <w:right w:val="single" w:sz="4" w:space="0" w:color="auto"/>
            </w:tcBorders>
            <w:shd w:val="clear" w:color="auto" w:fill="auto"/>
            <w:noWrap/>
            <w:hideMark/>
          </w:tcPr>
          <w:p w14:paraId="6DB7E91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10.47 </w:t>
            </w:r>
          </w:p>
        </w:tc>
      </w:tr>
      <w:tr w:rsidR="005F5E39" w:rsidRPr="00776864" w14:paraId="4BFBD838"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CBC230A"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其中：中药饮片</w:t>
            </w:r>
          </w:p>
        </w:tc>
        <w:tc>
          <w:tcPr>
            <w:tcW w:w="325" w:type="pct"/>
            <w:tcBorders>
              <w:top w:val="nil"/>
              <w:left w:val="nil"/>
              <w:bottom w:val="single" w:sz="4" w:space="0" w:color="auto"/>
              <w:right w:val="single" w:sz="4" w:space="0" w:color="auto"/>
            </w:tcBorders>
            <w:shd w:val="clear" w:color="auto" w:fill="auto"/>
            <w:noWrap/>
            <w:hideMark/>
          </w:tcPr>
          <w:p w14:paraId="1899106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19.39 </w:t>
            </w:r>
          </w:p>
        </w:tc>
        <w:tc>
          <w:tcPr>
            <w:tcW w:w="443" w:type="pct"/>
            <w:tcBorders>
              <w:top w:val="nil"/>
              <w:left w:val="nil"/>
              <w:bottom w:val="single" w:sz="4" w:space="0" w:color="auto"/>
              <w:right w:val="single" w:sz="4" w:space="0" w:color="auto"/>
            </w:tcBorders>
            <w:shd w:val="clear" w:color="auto" w:fill="auto"/>
            <w:noWrap/>
            <w:hideMark/>
          </w:tcPr>
          <w:p w14:paraId="4316E3C2"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14.29 </w:t>
            </w:r>
          </w:p>
        </w:tc>
        <w:tc>
          <w:tcPr>
            <w:tcW w:w="386" w:type="pct"/>
            <w:tcBorders>
              <w:top w:val="nil"/>
              <w:left w:val="nil"/>
              <w:bottom w:val="single" w:sz="4" w:space="0" w:color="auto"/>
              <w:right w:val="single" w:sz="4" w:space="0" w:color="auto"/>
            </w:tcBorders>
            <w:shd w:val="clear" w:color="auto" w:fill="auto"/>
            <w:noWrap/>
            <w:hideMark/>
          </w:tcPr>
          <w:p w14:paraId="602C66F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13.28 </w:t>
            </w:r>
          </w:p>
        </w:tc>
        <w:tc>
          <w:tcPr>
            <w:tcW w:w="419" w:type="pct"/>
            <w:tcBorders>
              <w:top w:val="nil"/>
              <w:left w:val="nil"/>
              <w:bottom w:val="single" w:sz="4" w:space="0" w:color="auto"/>
              <w:right w:val="single" w:sz="4" w:space="0" w:color="auto"/>
            </w:tcBorders>
            <w:shd w:val="clear" w:color="auto" w:fill="auto"/>
            <w:noWrap/>
            <w:hideMark/>
          </w:tcPr>
          <w:p w14:paraId="2277C5C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15.26 </w:t>
            </w:r>
          </w:p>
        </w:tc>
        <w:tc>
          <w:tcPr>
            <w:tcW w:w="411" w:type="pct"/>
            <w:tcBorders>
              <w:top w:val="nil"/>
              <w:left w:val="nil"/>
              <w:bottom w:val="single" w:sz="4" w:space="0" w:color="auto"/>
              <w:right w:val="single" w:sz="4" w:space="0" w:color="auto"/>
            </w:tcBorders>
            <w:shd w:val="clear" w:color="auto" w:fill="auto"/>
            <w:noWrap/>
            <w:hideMark/>
          </w:tcPr>
          <w:p w14:paraId="67EA991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19.79 </w:t>
            </w:r>
          </w:p>
        </w:tc>
        <w:tc>
          <w:tcPr>
            <w:tcW w:w="419" w:type="pct"/>
            <w:tcBorders>
              <w:top w:val="nil"/>
              <w:left w:val="nil"/>
              <w:bottom w:val="single" w:sz="4" w:space="0" w:color="auto"/>
              <w:right w:val="single" w:sz="4" w:space="0" w:color="auto"/>
            </w:tcBorders>
            <w:shd w:val="clear" w:color="auto" w:fill="auto"/>
            <w:noWrap/>
            <w:hideMark/>
          </w:tcPr>
          <w:p w14:paraId="2E00CE1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15.42 </w:t>
            </w:r>
          </w:p>
        </w:tc>
        <w:tc>
          <w:tcPr>
            <w:tcW w:w="411" w:type="pct"/>
            <w:tcBorders>
              <w:top w:val="nil"/>
              <w:left w:val="nil"/>
              <w:bottom w:val="single" w:sz="4" w:space="0" w:color="auto"/>
              <w:right w:val="single" w:sz="4" w:space="0" w:color="auto"/>
            </w:tcBorders>
            <w:shd w:val="clear" w:color="auto" w:fill="auto"/>
            <w:noWrap/>
            <w:hideMark/>
          </w:tcPr>
          <w:p w14:paraId="6FF033E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21.51 </w:t>
            </w:r>
          </w:p>
        </w:tc>
        <w:tc>
          <w:tcPr>
            <w:tcW w:w="346" w:type="pct"/>
            <w:tcBorders>
              <w:top w:val="nil"/>
              <w:left w:val="nil"/>
              <w:bottom w:val="single" w:sz="4" w:space="0" w:color="auto"/>
              <w:right w:val="single" w:sz="4" w:space="0" w:color="auto"/>
            </w:tcBorders>
            <w:shd w:val="clear" w:color="auto" w:fill="auto"/>
            <w:noWrap/>
            <w:hideMark/>
          </w:tcPr>
          <w:p w14:paraId="6D04316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15.51 </w:t>
            </w:r>
          </w:p>
        </w:tc>
        <w:tc>
          <w:tcPr>
            <w:tcW w:w="484" w:type="pct"/>
            <w:tcBorders>
              <w:top w:val="nil"/>
              <w:left w:val="nil"/>
              <w:bottom w:val="single" w:sz="4" w:space="0" w:color="auto"/>
              <w:right w:val="single" w:sz="4" w:space="0" w:color="auto"/>
            </w:tcBorders>
            <w:shd w:val="clear" w:color="auto" w:fill="auto"/>
            <w:noWrap/>
            <w:hideMark/>
          </w:tcPr>
          <w:p w14:paraId="54E852C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10.63 </w:t>
            </w:r>
          </w:p>
        </w:tc>
        <w:tc>
          <w:tcPr>
            <w:tcW w:w="418" w:type="pct"/>
            <w:tcBorders>
              <w:top w:val="nil"/>
              <w:left w:val="nil"/>
              <w:bottom w:val="single" w:sz="4" w:space="0" w:color="auto"/>
              <w:right w:val="single" w:sz="4" w:space="0" w:color="auto"/>
            </w:tcBorders>
            <w:shd w:val="clear" w:color="auto" w:fill="auto"/>
            <w:noWrap/>
            <w:hideMark/>
          </w:tcPr>
          <w:p w14:paraId="6FBD4B3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6.76 </w:t>
            </w:r>
          </w:p>
        </w:tc>
      </w:tr>
      <w:tr w:rsidR="005F5E39" w:rsidRPr="00776864" w14:paraId="2A893BFB"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17A2C8C5"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其中：中成药</w:t>
            </w:r>
          </w:p>
        </w:tc>
        <w:tc>
          <w:tcPr>
            <w:tcW w:w="325" w:type="pct"/>
            <w:tcBorders>
              <w:top w:val="nil"/>
              <w:left w:val="nil"/>
              <w:bottom w:val="single" w:sz="4" w:space="0" w:color="auto"/>
              <w:right w:val="single" w:sz="4" w:space="0" w:color="auto"/>
            </w:tcBorders>
            <w:shd w:val="clear" w:color="auto" w:fill="auto"/>
            <w:noWrap/>
            <w:hideMark/>
          </w:tcPr>
          <w:p w14:paraId="5AFCDAA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13.98 </w:t>
            </w:r>
          </w:p>
        </w:tc>
        <w:tc>
          <w:tcPr>
            <w:tcW w:w="443" w:type="pct"/>
            <w:tcBorders>
              <w:top w:val="nil"/>
              <w:left w:val="nil"/>
              <w:bottom w:val="single" w:sz="4" w:space="0" w:color="auto"/>
              <w:right w:val="single" w:sz="4" w:space="0" w:color="auto"/>
            </w:tcBorders>
            <w:shd w:val="clear" w:color="auto" w:fill="auto"/>
            <w:noWrap/>
            <w:hideMark/>
          </w:tcPr>
          <w:p w14:paraId="315DDFA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12.36 </w:t>
            </w:r>
          </w:p>
        </w:tc>
        <w:tc>
          <w:tcPr>
            <w:tcW w:w="386" w:type="pct"/>
            <w:tcBorders>
              <w:top w:val="nil"/>
              <w:left w:val="nil"/>
              <w:bottom w:val="single" w:sz="4" w:space="0" w:color="auto"/>
              <w:right w:val="single" w:sz="4" w:space="0" w:color="auto"/>
            </w:tcBorders>
            <w:shd w:val="clear" w:color="auto" w:fill="auto"/>
            <w:noWrap/>
            <w:hideMark/>
          </w:tcPr>
          <w:p w14:paraId="795A34C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10.28 </w:t>
            </w:r>
          </w:p>
        </w:tc>
        <w:tc>
          <w:tcPr>
            <w:tcW w:w="419" w:type="pct"/>
            <w:tcBorders>
              <w:top w:val="nil"/>
              <w:left w:val="nil"/>
              <w:bottom w:val="single" w:sz="4" w:space="0" w:color="auto"/>
              <w:right w:val="single" w:sz="4" w:space="0" w:color="auto"/>
            </w:tcBorders>
            <w:shd w:val="clear" w:color="auto" w:fill="auto"/>
            <w:noWrap/>
            <w:hideMark/>
          </w:tcPr>
          <w:p w14:paraId="14A8979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8.38 </w:t>
            </w:r>
          </w:p>
        </w:tc>
        <w:tc>
          <w:tcPr>
            <w:tcW w:w="411" w:type="pct"/>
            <w:tcBorders>
              <w:top w:val="nil"/>
              <w:left w:val="nil"/>
              <w:bottom w:val="single" w:sz="4" w:space="0" w:color="auto"/>
              <w:right w:val="single" w:sz="4" w:space="0" w:color="auto"/>
            </w:tcBorders>
            <w:shd w:val="clear" w:color="auto" w:fill="auto"/>
            <w:noWrap/>
            <w:hideMark/>
          </w:tcPr>
          <w:p w14:paraId="22CBF36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14.87 </w:t>
            </w:r>
          </w:p>
        </w:tc>
        <w:tc>
          <w:tcPr>
            <w:tcW w:w="419" w:type="pct"/>
            <w:tcBorders>
              <w:top w:val="nil"/>
              <w:left w:val="nil"/>
              <w:bottom w:val="single" w:sz="4" w:space="0" w:color="auto"/>
              <w:right w:val="single" w:sz="4" w:space="0" w:color="auto"/>
            </w:tcBorders>
            <w:shd w:val="clear" w:color="auto" w:fill="auto"/>
            <w:noWrap/>
            <w:hideMark/>
          </w:tcPr>
          <w:p w14:paraId="0545090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12.15 </w:t>
            </w:r>
          </w:p>
        </w:tc>
        <w:tc>
          <w:tcPr>
            <w:tcW w:w="411" w:type="pct"/>
            <w:tcBorders>
              <w:top w:val="nil"/>
              <w:left w:val="nil"/>
              <w:bottom w:val="single" w:sz="4" w:space="0" w:color="auto"/>
              <w:right w:val="single" w:sz="4" w:space="0" w:color="auto"/>
            </w:tcBorders>
            <w:shd w:val="clear" w:color="auto" w:fill="auto"/>
            <w:noWrap/>
            <w:hideMark/>
          </w:tcPr>
          <w:p w14:paraId="44778F1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14.27 </w:t>
            </w:r>
          </w:p>
        </w:tc>
        <w:tc>
          <w:tcPr>
            <w:tcW w:w="346" w:type="pct"/>
            <w:tcBorders>
              <w:top w:val="nil"/>
              <w:left w:val="nil"/>
              <w:bottom w:val="single" w:sz="4" w:space="0" w:color="auto"/>
              <w:right w:val="single" w:sz="4" w:space="0" w:color="auto"/>
            </w:tcBorders>
            <w:shd w:val="clear" w:color="auto" w:fill="auto"/>
            <w:noWrap/>
            <w:hideMark/>
          </w:tcPr>
          <w:p w14:paraId="39B8EE0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11.69 </w:t>
            </w:r>
          </w:p>
        </w:tc>
        <w:tc>
          <w:tcPr>
            <w:tcW w:w="484" w:type="pct"/>
            <w:tcBorders>
              <w:top w:val="nil"/>
              <w:left w:val="nil"/>
              <w:bottom w:val="single" w:sz="4" w:space="0" w:color="auto"/>
              <w:right w:val="single" w:sz="4" w:space="0" w:color="auto"/>
            </w:tcBorders>
            <w:shd w:val="clear" w:color="auto" w:fill="auto"/>
            <w:noWrap/>
            <w:hideMark/>
          </w:tcPr>
          <w:p w14:paraId="06911EE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20.70 </w:t>
            </w:r>
          </w:p>
        </w:tc>
        <w:tc>
          <w:tcPr>
            <w:tcW w:w="418" w:type="pct"/>
            <w:tcBorders>
              <w:top w:val="nil"/>
              <w:left w:val="nil"/>
              <w:bottom w:val="single" w:sz="4" w:space="0" w:color="auto"/>
              <w:right w:val="single" w:sz="4" w:space="0" w:color="auto"/>
            </w:tcBorders>
            <w:shd w:val="clear" w:color="auto" w:fill="auto"/>
            <w:noWrap/>
            <w:hideMark/>
          </w:tcPr>
          <w:p w14:paraId="085B1D8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9.10 </w:t>
            </w:r>
          </w:p>
        </w:tc>
      </w:tr>
      <w:tr w:rsidR="005F5E39" w:rsidRPr="00776864" w14:paraId="54BF21A0"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6DCEE7E5"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医疗器械</w:t>
            </w:r>
          </w:p>
        </w:tc>
        <w:tc>
          <w:tcPr>
            <w:tcW w:w="325" w:type="pct"/>
            <w:tcBorders>
              <w:top w:val="nil"/>
              <w:left w:val="nil"/>
              <w:bottom w:val="single" w:sz="4" w:space="0" w:color="auto"/>
              <w:right w:val="single" w:sz="4" w:space="0" w:color="auto"/>
            </w:tcBorders>
            <w:shd w:val="clear" w:color="auto" w:fill="auto"/>
            <w:noWrap/>
            <w:hideMark/>
          </w:tcPr>
          <w:p w14:paraId="35A3229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28.00 </w:t>
            </w:r>
          </w:p>
        </w:tc>
        <w:tc>
          <w:tcPr>
            <w:tcW w:w="443" w:type="pct"/>
            <w:tcBorders>
              <w:top w:val="nil"/>
              <w:left w:val="nil"/>
              <w:bottom w:val="single" w:sz="4" w:space="0" w:color="auto"/>
              <w:right w:val="single" w:sz="4" w:space="0" w:color="auto"/>
            </w:tcBorders>
            <w:shd w:val="clear" w:color="auto" w:fill="auto"/>
            <w:noWrap/>
            <w:hideMark/>
          </w:tcPr>
          <w:p w14:paraId="4E73ECE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14.09 </w:t>
            </w:r>
          </w:p>
        </w:tc>
        <w:tc>
          <w:tcPr>
            <w:tcW w:w="386" w:type="pct"/>
            <w:tcBorders>
              <w:top w:val="nil"/>
              <w:left w:val="nil"/>
              <w:bottom w:val="single" w:sz="4" w:space="0" w:color="auto"/>
              <w:right w:val="single" w:sz="4" w:space="0" w:color="auto"/>
            </w:tcBorders>
            <w:shd w:val="clear" w:color="auto" w:fill="auto"/>
            <w:noWrap/>
            <w:hideMark/>
          </w:tcPr>
          <w:p w14:paraId="50551EA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20.23 </w:t>
            </w:r>
          </w:p>
        </w:tc>
        <w:tc>
          <w:tcPr>
            <w:tcW w:w="419" w:type="pct"/>
            <w:tcBorders>
              <w:top w:val="nil"/>
              <w:left w:val="nil"/>
              <w:bottom w:val="single" w:sz="4" w:space="0" w:color="auto"/>
              <w:right w:val="single" w:sz="4" w:space="0" w:color="auto"/>
            </w:tcBorders>
            <w:shd w:val="clear" w:color="auto" w:fill="auto"/>
            <w:noWrap/>
            <w:hideMark/>
          </w:tcPr>
          <w:p w14:paraId="6C85F5B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12.04 </w:t>
            </w:r>
          </w:p>
        </w:tc>
        <w:tc>
          <w:tcPr>
            <w:tcW w:w="411" w:type="pct"/>
            <w:tcBorders>
              <w:top w:val="nil"/>
              <w:left w:val="nil"/>
              <w:bottom w:val="single" w:sz="4" w:space="0" w:color="auto"/>
              <w:right w:val="single" w:sz="4" w:space="0" w:color="auto"/>
            </w:tcBorders>
            <w:shd w:val="clear" w:color="auto" w:fill="auto"/>
            <w:noWrap/>
            <w:hideMark/>
          </w:tcPr>
          <w:p w14:paraId="6A30296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16.82 </w:t>
            </w:r>
          </w:p>
        </w:tc>
        <w:tc>
          <w:tcPr>
            <w:tcW w:w="419" w:type="pct"/>
            <w:tcBorders>
              <w:top w:val="nil"/>
              <w:left w:val="nil"/>
              <w:bottom w:val="single" w:sz="4" w:space="0" w:color="auto"/>
              <w:right w:val="single" w:sz="4" w:space="0" w:color="auto"/>
            </w:tcBorders>
            <w:shd w:val="clear" w:color="auto" w:fill="auto"/>
            <w:noWrap/>
            <w:hideMark/>
          </w:tcPr>
          <w:p w14:paraId="54B1FA1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14.63 </w:t>
            </w:r>
          </w:p>
        </w:tc>
        <w:tc>
          <w:tcPr>
            <w:tcW w:w="411" w:type="pct"/>
            <w:tcBorders>
              <w:top w:val="nil"/>
              <w:left w:val="nil"/>
              <w:bottom w:val="single" w:sz="4" w:space="0" w:color="auto"/>
              <w:right w:val="single" w:sz="4" w:space="0" w:color="auto"/>
            </w:tcBorders>
            <w:shd w:val="clear" w:color="auto" w:fill="auto"/>
            <w:noWrap/>
            <w:hideMark/>
          </w:tcPr>
          <w:p w14:paraId="4AD30BE2"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23.47 </w:t>
            </w:r>
          </w:p>
        </w:tc>
        <w:tc>
          <w:tcPr>
            <w:tcW w:w="346" w:type="pct"/>
            <w:tcBorders>
              <w:top w:val="nil"/>
              <w:left w:val="nil"/>
              <w:bottom w:val="single" w:sz="4" w:space="0" w:color="auto"/>
              <w:right w:val="single" w:sz="4" w:space="0" w:color="auto"/>
            </w:tcBorders>
            <w:shd w:val="clear" w:color="auto" w:fill="auto"/>
            <w:noWrap/>
            <w:hideMark/>
          </w:tcPr>
          <w:p w14:paraId="1D7BAF4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12.30 </w:t>
            </w:r>
          </w:p>
        </w:tc>
        <w:tc>
          <w:tcPr>
            <w:tcW w:w="484" w:type="pct"/>
            <w:tcBorders>
              <w:top w:val="nil"/>
              <w:left w:val="nil"/>
              <w:bottom w:val="single" w:sz="4" w:space="0" w:color="auto"/>
              <w:right w:val="single" w:sz="4" w:space="0" w:color="auto"/>
            </w:tcBorders>
            <w:shd w:val="clear" w:color="auto" w:fill="auto"/>
            <w:noWrap/>
            <w:hideMark/>
          </w:tcPr>
          <w:p w14:paraId="2D00DA6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19.46 </w:t>
            </w:r>
          </w:p>
        </w:tc>
        <w:tc>
          <w:tcPr>
            <w:tcW w:w="418" w:type="pct"/>
            <w:tcBorders>
              <w:top w:val="nil"/>
              <w:left w:val="nil"/>
              <w:bottom w:val="single" w:sz="4" w:space="0" w:color="auto"/>
              <w:right w:val="single" w:sz="4" w:space="0" w:color="auto"/>
            </w:tcBorders>
            <w:shd w:val="clear" w:color="auto" w:fill="auto"/>
            <w:noWrap/>
            <w:hideMark/>
          </w:tcPr>
          <w:p w14:paraId="14C7EC4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16.04 </w:t>
            </w:r>
          </w:p>
        </w:tc>
      </w:tr>
      <w:tr w:rsidR="005F5E39" w:rsidRPr="00776864" w14:paraId="0CB97492"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4379D0D0"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其中：体外诊断</w:t>
            </w:r>
          </w:p>
        </w:tc>
        <w:tc>
          <w:tcPr>
            <w:tcW w:w="325" w:type="pct"/>
            <w:tcBorders>
              <w:top w:val="nil"/>
              <w:left w:val="nil"/>
              <w:bottom w:val="single" w:sz="4" w:space="0" w:color="auto"/>
              <w:right w:val="single" w:sz="4" w:space="0" w:color="auto"/>
            </w:tcBorders>
            <w:shd w:val="clear" w:color="auto" w:fill="auto"/>
            <w:vAlign w:val="center"/>
            <w:hideMark/>
          </w:tcPr>
          <w:p w14:paraId="334CA5A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21.48 </w:t>
            </w:r>
          </w:p>
        </w:tc>
        <w:tc>
          <w:tcPr>
            <w:tcW w:w="443" w:type="pct"/>
            <w:tcBorders>
              <w:top w:val="nil"/>
              <w:left w:val="nil"/>
              <w:bottom w:val="single" w:sz="4" w:space="0" w:color="auto"/>
              <w:right w:val="single" w:sz="4" w:space="0" w:color="auto"/>
            </w:tcBorders>
            <w:shd w:val="clear" w:color="auto" w:fill="auto"/>
            <w:vAlign w:val="center"/>
            <w:hideMark/>
          </w:tcPr>
          <w:p w14:paraId="1E7C260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26.55 </w:t>
            </w:r>
          </w:p>
        </w:tc>
        <w:tc>
          <w:tcPr>
            <w:tcW w:w="386" w:type="pct"/>
            <w:tcBorders>
              <w:top w:val="nil"/>
              <w:left w:val="nil"/>
              <w:bottom w:val="single" w:sz="4" w:space="0" w:color="auto"/>
              <w:right w:val="single" w:sz="4" w:space="0" w:color="auto"/>
            </w:tcBorders>
            <w:shd w:val="clear" w:color="auto" w:fill="auto"/>
            <w:vAlign w:val="center"/>
            <w:hideMark/>
          </w:tcPr>
          <w:p w14:paraId="1BCBA80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19.77 </w:t>
            </w:r>
          </w:p>
        </w:tc>
        <w:tc>
          <w:tcPr>
            <w:tcW w:w="419" w:type="pct"/>
            <w:tcBorders>
              <w:top w:val="nil"/>
              <w:left w:val="nil"/>
              <w:bottom w:val="single" w:sz="4" w:space="0" w:color="auto"/>
              <w:right w:val="single" w:sz="4" w:space="0" w:color="auto"/>
            </w:tcBorders>
            <w:shd w:val="clear" w:color="auto" w:fill="auto"/>
            <w:vAlign w:val="center"/>
            <w:hideMark/>
          </w:tcPr>
          <w:p w14:paraId="6EF99A9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21.35 </w:t>
            </w:r>
          </w:p>
        </w:tc>
        <w:tc>
          <w:tcPr>
            <w:tcW w:w="411" w:type="pct"/>
            <w:tcBorders>
              <w:top w:val="nil"/>
              <w:left w:val="nil"/>
              <w:bottom w:val="single" w:sz="4" w:space="0" w:color="auto"/>
              <w:right w:val="single" w:sz="4" w:space="0" w:color="auto"/>
            </w:tcBorders>
            <w:shd w:val="clear" w:color="auto" w:fill="auto"/>
            <w:vAlign w:val="center"/>
            <w:hideMark/>
          </w:tcPr>
          <w:p w14:paraId="78AD47D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25.46 </w:t>
            </w:r>
          </w:p>
        </w:tc>
        <w:tc>
          <w:tcPr>
            <w:tcW w:w="419" w:type="pct"/>
            <w:tcBorders>
              <w:top w:val="nil"/>
              <w:left w:val="nil"/>
              <w:bottom w:val="single" w:sz="4" w:space="0" w:color="auto"/>
              <w:right w:val="single" w:sz="4" w:space="0" w:color="auto"/>
            </w:tcBorders>
            <w:shd w:val="clear" w:color="auto" w:fill="auto"/>
            <w:vAlign w:val="center"/>
            <w:hideMark/>
          </w:tcPr>
          <w:p w14:paraId="2AAAA00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20.95 </w:t>
            </w:r>
          </w:p>
        </w:tc>
        <w:tc>
          <w:tcPr>
            <w:tcW w:w="411" w:type="pct"/>
            <w:tcBorders>
              <w:top w:val="nil"/>
              <w:left w:val="nil"/>
              <w:bottom w:val="single" w:sz="4" w:space="0" w:color="auto"/>
              <w:right w:val="single" w:sz="4" w:space="0" w:color="auto"/>
            </w:tcBorders>
            <w:shd w:val="clear" w:color="auto" w:fill="auto"/>
            <w:vAlign w:val="center"/>
            <w:hideMark/>
          </w:tcPr>
          <w:p w14:paraId="6ECB30E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26.91 </w:t>
            </w:r>
          </w:p>
        </w:tc>
        <w:tc>
          <w:tcPr>
            <w:tcW w:w="346" w:type="pct"/>
            <w:tcBorders>
              <w:top w:val="nil"/>
              <w:left w:val="nil"/>
              <w:bottom w:val="single" w:sz="4" w:space="0" w:color="auto"/>
              <w:right w:val="single" w:sz="4" w:space="0" w:color="auto"/>
            </w:tcBorders>
            <w:shd w:val="clear" w:color="auto" w:fill="auto"/>
            <w:vAlign w:val="center"/>
            <w:hideMark/>
          </w:tcPr>
          <w:p w14:paraId="041FAC0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18.54 </w:t>
            </w:r>
          </w:p>
        </w:tc>
        <w:tc>
          <w:tcPr>
            <w:tcW w:w="484" w:type="pct"/>
            <w:tcBorders>
              <w:top w:val="nil"/>
              <w:left w:val="nil"/>
              <w:bottom w:val="single" w:sz="4" w:space="0" w:color="auto"/>
              <w:right w:val="single" w:sz="4" w:space="0" w:color="auto"/>
            </w:tcBorders>
            <w:shd w:val="clear" w:color="auto" w:fill="auto"/>
            <w:vAlign w:val="center"/>
            <w:hideMark/>
          </w:tcPr>
          <w:p w14:paraId="4E17D65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23.41 </w:t>
            </w:r>
          </w:p>
        </w:tc>
        <w:tc>
          <w:tcPr>
            <w:tcW w:w="418" w:type="pct"/>
            <w:tcBorders>
              <w:top w:val="nil"/>
              <w:left w:val="nil"/>
              <w:bottom w:val="single" w:sz="4" w:space="0" w:color="auto"/>
              <w:right w:val="single" w:sz="4" w:space="0" w:color="auto"/>
            </w:tcBorders>
            <w:shd w:val="clear" w:color="auto" w:fill="auto"/>
            <w:vAlign w:val="center"/>
            <w:hideMark/>
          </w:tcPr>
          <w:p w14:paraId="0387D315" w14:textId="77777777" w:rsidR="00CA20F0" w:rsidRPr="00CA20F0" w:rsidRDefault="00CA20F0" w:rsidP="00CA20F0">
            <w:pPr>
              <w:widowControl/>
              <w:jc w:val="center"/>
              <w:rPr>
                <w:rFonts w:ascii="微软雅黑" w:eastAsia="微软雅黑" w:hAnsi="微软雅黑" w:cs="宋体"/>
                <w:b/>
                <w:bCs/>
                <w:kern w:val="0"/>
                <w:sz w:val="11"/>
                <w:szCs w:val="11"/>
              </w:rPr>
            </w:pPr>
            <w:r w:rsidRPr="00CA20F0">
              <w:rPr>
                <w:rFonts w:ascii="微软雅黑" w:eastAsia="微软雅黑" w:hAnsi="微软雅黑" w:cs="宋体" w:hint="eastAsia"/>
                <w:b/>
                <w:bCs/>
                <w:kern w:val="0"/>
                <w:sz w:val="11"/>
                <w:szCs w:val="11"/>
              </w:rPr>
              <w:t xml:space="preserve">17.30 </w:t>
            </w:r>
          </w:p>
        </w:tc>
      </w:tr>
      <w:tr w:rsidR="005F5E39" w:rsidRPr="00776864" w14:paraId="1A0B1D71"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41B9B166"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其中：医院基础设备</w:t>
            </w:r>
          </w:p>
        </w:tc>
        <w:tc>
          <w:tcPr>
            <w:tcW w:w="325" w:type="pct"/>
            <w:tcBorders>
              <w:top w:val="nil"/>
              <w:left w:val="nil"/>
              <w:bottom w:val="single" w:sz="4" w:space="0" w:color="auto"/>
              <w:right w:val="single" w:sz="4" w:space="0" w:color="auto"/>
            </w:tcBorders>
            <w:shd w:val="clear" w:color="auto" w:fill="auto"/>
            <w:vAlign w:val="center"/>
            <w:hideMark/>
          </w:tcPr>
          <w:p w14:paraId="0BD75DE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44.57 </w:t>
            </w:r>
          </w:p>
        </w:tc>
        <w:tc>
          <w:tcPr>
            <w:tcW w:w="443" w:type="pct"/>
            <w:tcBorders>
              <w:top w:val="nil"/>
              <w:left w:val="nil"/>
              <w:bottom w:val="single" w:sz="4" w:space="0" w:color="auto"/>
              <w:right w:val="single" w:sz="4" w:space="0" w:color="auto"/>
            </w:tcBorders>
            <w:shd w:val="clear" w:color="auto" w:fill="auto"/>
            <w:vAlign w:val="center"/>
            <w:hideMark/>
          </w:tcPr>
          <w:p w14:paraId="603A94E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10.69 </w:t>
            </w:r>
          </w:p>
        </w:tc>
        <w:tc>
          <w:tcPr>
            <w:tcW w:w="386" w:type="pct"/>
            <w:tcBorders>
              <w:top w:val="nil"/>
              <w:left w:val="nil"/>
              <w:bottom w:val="single" w:sz="4" w:space="0" w:color="auto"/>
              <w:right w:val="single" w:sz="4" w:space="0" w:color="auto"/>
            </w:tcBorders>
            <w:shd w:val="clear" w:color="auto" w:fill="auto"/>
            <w:vAlign w:val="center"/>
            <w:hideMark/>
          </w:tcPr>
          <w:p w14:paraId="426F32E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18.71 </w:t>
            </w:r>
          </w:p>
        </w:tc>
        <w:tc>
          <w:tcPr>
            <w:tcW w:w="419" w:type="pct"/>
            <w:tcBorders>
              <w:top w:val="nil"/>
              <w:left w:val="nil"/>
              <w:bottom w:val="single" w:sz="4" w:space="0" w:color="auto"/>
              <w:right w:val="single" w:sz="4" w:space="0" w:color="auto"/>
            </w:tcBorders>
            <w:shd w:val="clear" w:color="auto" w:fill="auto"/>
            <w:vAlign w:val="center"/>
            <w:hideMark/>
          </w:tcPr>
          <w:p w14:paraId="3F01226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7.76 </w:t>
            </w:r>
          </w:p>
        </w:tc>
        <w:tc>
          <w:tcPr>
            <w:tcW w:w="411" w:type="pct"/>
            <w:tcBorders>
              <w:top w:val="nil"/>
              <w:left w:val="nil"/>
              <w:bottom w:val="single" w:sz="4" w:space="0" w:color="auto"/>
              <w:right w:val="single" w:sz="4" w:space="0" w:color="auto"/>
            </w:tcBorders>
            <w:shd w:val="clear" w:color="auto" w:fill="auto"/>
            <w:vAlign w:val="center"/>
            <w:hideMark/>
          </w:tcPr>
          <w:p w14:paraId="2991E31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15.32 </w:t>
            </w:r>
          </w:p>
        </w:tc>
        <w:tc>
          <w:tcPr>
            <w:tcW w:w="419" w:type="pct"/>
            <w:tcBorders>
              <w:top w:val="nil"/>
              <w:left w:val="nil"/>
              <w:bottom w:val="single" w:sz="4" w:space="0" w:color="auto"/>
              <w:right w:val="single" w:sz="4" w:space="0" w:color="auto"/>
            </w:tcBorders>
            <w:shd w:val="clear" w:color="auto" w:fill="auto"/>
            <w:vAlign w:val="center"/>
            <w:hideMark/>
          </w:tcPr>
          <w:p w14:paraId="5CC1FE7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5.59 </w:t>
            </w:r>
          </w:p>
        </w:tc>
        <w:tc>
          <w:tcPr>
            <w:tcW w:w="411" w:type="pct"/>
            <w:tcBorders>
              <w:top w:val="nil"/>
              <w:left w:val="nil"/>
              <w:bottom w:val="single" w:sz="4" w:space="0" w:color="auto"/>
              <w:right w:val="single" w:sz="4" w:space="0" w:color="auto"/>
            </w:tcBorders>
            <w:shd w:val="clear" w:color="auto" w:fill="auto"/>
            <w:vAlign w:val="center"/>
            <w:hideMark/>
          </w:tcPr>
          <w:p w14:paraId="194BE08B"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16.89 </w:t>
            </w:r>
          </w:p>
        </w:tc>
        <w:tc>
          <w:tcPr>
            <w:tcW w:w="346" w:type="pct"/>
            <w:tcBorders>
              <w:top w:val="nil"/>
              <w:left w:val="nil"/>
              <w:bottom w:val="single" w:sz="4" w:space="0" w:color="auto"/>
              <w:right w:val="single" w:sz="4" w:space="0" w:color="auto"/>
            </w:tcBorders>
            <w:shd w:val="clear" w:color="auto" w:fill="auto"/>
            <w:vAlign w:val="center"/>
            <w:hideMark/>
          </w:tcPr>
          <w:p w14:paraId="0EF1E8A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6.08 </w:t>
            </w:r>
          </w:p>
        </w:tc>
        <w:tc>
          <w:tcPr>
            <w:tcW w:w="484" w:type="pct"/>
            <w:tcBorders>
              <w:top w:val="nil"/>
              <w:left w:val="nil"/>
              <w:bottom w:val="single" w:sz="4" w:space="0" w:color="auto"/>
              <w:right w:val="single" w:sz="4" w:space="0" w:color="auto"/>
            </w:tcBorders>
            <w:shd w:val="clear" w:color="auto" w:fill="auto"/>
            <w:vAlign w:val="center"/>
            <w:hideMark/>
          </w:tcPr>
          <w:p w14:paraId="7176EBF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3.91 </w:t>
            </w:r>
          </w:p>
        </w:tc>
        <w:tc>
          <w:tcPr>
            <w:tcW w:w="418" w:type="pct"/>
            <w:tcBorders>
              <w:top w:val="nil"/>
              <w:left w:val="nil"/>
              <w:bottom w:val="single" w:sz="4" w:space="0" w:color="auto"/>
              <w:right w:val="single" w:sz="4" w:space="0" w:color="auto"/>
            </w:tcBorders>
            <w:shd w:val="clear" w:color="auto" w:fill="auto"/>
            <w:vAlign w:val="center"/>
            <w:hideMark/>
          </w:tcPr>
          <w:p w14:paraId="7A473D64"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5.21 </w:t>
            </w:r>
          </w:p>
        </w:tc>
      </w:tr>
      <w:tr w:rsidR="005F5E39" w:rsidRPr="00776864" w14:paraId="559095CE"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775321F"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其中：家用医疗保健</w:t>
            </w:r>
          </w:p>
        </w:tc>
        <w:tc>
          <w:tcPr>
            <w:tcW w:w="325" w:type="pct"/>
            <w:tcBorders>
              <w:top w:val="nil"/>
              <w:left w:val="nil"/>
              <w:bottom w:val="single" w:sz="4" w:space="0" w:color="auto"/>
              <w:right w:val="single" w:sz="4" w:space="0" w:color="auto"/>
            </w:tcBorders>
            <w:shd w:val="clear" w:color="auto" w:fill="auto"/>
            <w:vAlign w:val="center"/>
            <w:hideMark/>
          </w:tcPr>
          <w:p w14:paraId="2610A05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19.74 </w:t>
            </w:r>
          </w:p>
        </w:tc>
        <w:tc>
          <w:tcPr>
            <w:tcW w:w="443" w:type="pct"/>
            <w:tcBorders>
              <w:top w:val="nil"/>
              <w:left w:val="nil"/>
              <w:bottom w:val="single" w:sz="4" w:space="0" w:color="auto"/>
              <w:right w:val="single" w:sz="4" w:space="0" w:color="auto"/>
            </w:tcBorders>
            <w:shd w:val="clear" w:color="auto" w:fill="auto"/>
            <w:vAlign w:val="center"/>
            <w:hideMark/>
          </w:tcPr>
          <w:p w14:paraId="66E3CB3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8.31 </w:t>
            </w:r>
          </w:p>
        </w:tc>
        <w:tc>
          <w:tcPr>
            <w:tcW w:w="386" w:type="pct"/>
            <w:tcBorders>
              <w:top w:val="nil"/>
              <w:left w:val="nil"/>
              <w:bottom w:val="single" w:sz="4" w:space="0" w:color="auto"/>
              <w:right w:val="single" w:sz="4" w:space="0" w:color="auto"/>
            </w:tcBorders>
            <w:shd w:val="clear" w:color="auto" w:fill="auto"/>
            <w:vAlign w:val="center"/>
            <w:hideMark/>
          </w:tcPr>
          <w:p w14:paraId="4BF91F14"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10.24 </w:t>
            </w:r>
          </w:p>
        </w:tc>
        <w:tc>
          <w:tcPr>
            <w:tcW w:w="419" w:type="pct"/>
            <w:tcBorders>
              <w:top w:val="nil"/>
              <w:left w:val="nil"/>
              <w:bottom w:val="single" w:sz="4" w:space="0" w:color="auto"/>
              <w:right w:val="single" w:sz="4" w:space="0" w:color="auto"/>
            </w:tcBorders>
            <w:shd w:val="clear" w:color="auto" w:fill="auto"/>
            <w:vAlign w:val="center"/>
            <w:hideMark/>
          </w:tcPr>
          <w:p w14:paraId="2F2A316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8.56 </w:t>
            </w:r>
          </w:p>
        </w:tc>
        <w:tc>
          <w:tcPr>
            <w:tcW w:w="411" w:type="pct"/>
            <w:tcBorders>
              <w:top w:val="nil"/>
              <w:left w:val="nil"/>
              <w:bottom w:val="single" w:sz="4" w:space="0" w:color="auto"/>
              <w:right w:val="single" w:sz="4" w:space="0" w:color="auto"/>
            </w:tcBorders>
            <w:shd w:val="clear" w:color="auto" w:fill="auto"/>
            <w:vAlign w:val="center"/>
            <w:hideMark/>
          </w:tcPr>
          <w:p w14:paraId="00B564C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23.40 </w:t>
            </w:r>
          </w:p>
        </w:tc>
        <w:tc>
          <w:tcPr>
            <w:tcW w:w="419" w:type="pct"/>
            <w:tcBorders>
              <w:top w:val="nil"/>
              <w:left w:val="nil"/>
              <w:bottom w:val="single" w:sz="4" w:space="0" w:color="auto"/>
              <w:right w:val="single" w:sz="4" w:space="0" w:color="auto"/>
            </w:tcBorders>
            <w:shd w:val="clear" w:color="auto" w:fill="auto"/>
            <w:vAlign w:val="center"/>
            <w:hideMark/>
          </w:tcPr>
          <w:p w14:paraId="49E7060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11.11 </w:t>
            </w:r>
          </w:p>
        </w:tc>
        <w:tc>
          <w:tcPr>
            <w:tcW w:w="411" w:type="pct"/>
            <w:tcBorders>
              <w:top w:val="nil"/>
              <w:left w:val="nil"/>
              <w:bottom w:val="single" w:sz="4" w:space="0" w:color="auto"/>
              <w:right w:val="single" w:sz="4" w:space="0" w:color="auto"/>
            </w:tcBorders>
            <w:shd w:val="clear" w:color="auto" w:fill="auto"/>
            <w:vAlign w:val="center"/>
            <w:hideMark/>
          </w:tcPr>
          <w:p w14:paraId="3EDED9B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32.70 </w:t>
            </w:r>
          </w:p>
        </w:tc>
        <w:tc>
          <w:tcPr>
            <w:tcW w:w="346" w:type="pct"/>
            <w:tcBorders>
              <w:top w:val="nil"/>
              <w:left w:val="nil"/>
              <w:bottom w:val="single" w:sz="4" w:space="0" w:color="auto"/>
              <w:right w:val="single" w:sz="4" w:space="0" w:color="auto"/>
            </w:tcBorders>
            <w:shd w:val="clear" w:color="auto" w:fill="auto"/>
            <w:vAlign w:val="center"/>
            <w:hideMark/>
          </w:tcPr>
          <w:p w14:paraId="0653160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8.71 </w:t>
            </w:r>
          </w:p>
        </w:tc>
        <w:tc>
          <w:tcPr>
            <w:tcW w:w="484" w:type="pct"/>
            <w:tcBorders>
              <w:top w:val="nil"/>
              <w:left w:val="nil"/>
              <w:bottom w:val="single" w:sz="4" w:space="0" w:color="auto"/>
              <w:right w:val="single" w:sz="4" w:space="0" w:color="auto"/>
            </w:tcBorders>
            <w:shd w:val="clear" w:color="auto" w:fill="auto"/>
            <w:vAlign w:val="center"/>
            <w:hideMark/>
          </w:tcPr>
          <w:p w14:paraId="3C7FD3A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14.34 </w:t>
            </w:r>
          </w:p>
        </w:tc>
        <w:tc>
          <w:tcPr>
            <w:tcW w:w="418" w:type="pct"/>
            <w:tcBorders>
              <w:top w:val="nil"/>
              <w:left w:val="nil"/>
              <w:bottom w:val="single" w:sz="4" w:space="0" w:color="auto"/>
              <w:right w:val="single" w:sz="4" w:space="0" w:color="auto"/>
            </w:tcBorders>
            <w:shd w:val="clear" w:color="auto" w:fill="auto"/>
            <w:vAlign w:val="center"/>
            <w:hideMark/>
          </w:tcPr>
          <w:p w14:paraId="0EE72C0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5.02 </w:t>
            </w:r>
          </w:p>
        </w:tc>
      </w:tr>
      <w:tr w:rsidR="005F5E39" w:rsidRPr="00776864" w14:paraId="420105EF"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26CFDF72"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其中：植入器械</w:t>
            </w:r>
          </w:p>
        </w:tc>
        <w:tc>
          <w:tcPr>
            <w:tcW w:w="325" w:type="pct"/>
            <w:tcBorders>
              <w:top w:val="nil"/>
              <w:left w:val="nil"/>
              <w:bottom w:val="single" w:sz="4" w:space="0" w:color="auto"/>
              <w:right w:val="single" w:sz="4" w:space="0" w:color="auto"/>
            </w:tcBorders>
            <w:shd w:val="clear" w:color="auto" w:fill="auto"/>
            <w:vAlign w:val="center"/>
            <w:hideMark/>
          </w:tcPr>
          <w:p w14:paraId="0FBBE99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27.71 </w:t>
            </w:r>
          </w:p>
        </w:tc>
        <w:tc>
          <w:tcPr>
            <w:tcW w:w="443" w:type="pct"/>
            <w:tcBorders>
              <w:top w:val="nil"/>
              <w:left w:val="nil"/>
              <w:bottom w:val="single" w:sz="4" w:space="0" w:color="auto"/>
              <w:right w:val="single" w:sz="4" w:space="0" w:color="auto"/>
            </w:tcBorders>
            <w:shd w:val="clear" w:color="auto" w:fill="auto"/>
            <w:vAlign w:val="center"/>
            <w:hideMark/>
          </w:tcPr>
          <w:p w14:paraId="36FC084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26.40 </w:t>
            </w:r>
          </w:p>
        </w:tc>
        <w:tc>
          <w:tcPr>
            <w:tcW w:w="386" w:type="pct"/>
            <w:tcBorders>
              <w:top w:val="nil"/>
              <w:left w:val="nil"/>
              <w:bottom w:val="single" w:sz="4" w:space="0" w:color="auto"/>
              <w:right w:val="single" w:sz="4" w:space="0" w:color="auto"/>
            </w:tcBorders>
            <w:shd w:val="clear" w:color="auto" w:fill="auto"/>
            <w:vAlign w:val="center"/>
            <w:hideMark/>
          </w:tcPr>
          <w:p w14:paraId="7DD6C39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58.42 </w:t>
            </w:r>
          </w:p>
        </w:tc>
        <w:tc>
          <w:tcPr>
            <w:tcW w:w="419" w:type="pct"/>
            <w:tcBorders>
              <w:top w:val="nil"/>
              <w:left w:val="nil"/>
              <w:bottom w:val="single" w:sz="4" w:space="0" w:color="auto"/>
              <w:right w:val="single" w:sz="4" w:space="0" w:color="auto"/>
            </w:tcBorders>
            <w:shd w:val="clear" w:color="auto" w:fill="auto"/>
            <w:vAlign w:val="center"/>
            <w:hideMark/>
          </w:tcPr>
          <w:p w14:paraId="331A675A"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20.67 </w:t>
            </w:r>
          </w:p>
        </w:tc>
        <w:tc>
          <w:tcPr>
            <w:tcW w:w="411" w:type="pct"/>
            <w:tcBorders>
              <w:top w:val="nil"/>
              <w:left w:val="nil"/>
              <w:bottom w:val="single" w:sz="4" w:space="0" w:color="auto"/>
              <w:right w:val="single" w:sz="4" w:space="0" w:color="auto"/>
            </w:tcBorders>
            <w:shd w:val="clear" w:color="auto" w:fill="auto"/>
            <w:vAlign w:val="center"/>
            <w:hideMark/>
          </w:tcPr>
          <w:p w14:paraId="16FBA5F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22.94 </w:t>
            </w:r>
          </w:p>
        </w:tc>
        <w:tc>
          <w:tcPr>
            <w:tcW w:w="419" w:type="pct"/>
            <w:tcBorders>
              <w:top w:val="nil"/>
              <w:left w:val="nil"/>
              <w:bottom w:val="single" w:sz="4" w:space="0" w:color="auto"/>
              <w:right w:val="single" w:sz="4" w:space="0" w:color="auto"/>
            </w:tcBorders>
            <w:shd w:val="clear" w:color="auto" w:fill="auto"/>
            <w:vAlign w:val="center"/>
            <w:hideMark/>
          </w:tcPr>
          <w:p w14:paraId="4F1AA608"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20.20 </w:t>
            </w:r>
          </w:p>
        </w:tc>
        <w:tc>
          <w:tcPr>
            <w:tcW w:w="411" w:type="pct"/>
            <w:tcBorders>
              <w:top w:val="nil"/>
              <w:left w:val="nil"/>
              <w:bottom w:val="single" w:sz="4" w:space="0" w:color="auto"/>
              <w:right w:val="single" w:sz="4" w:space="0" w:color="auto"/>
            </w:tcBorders>
            <w:shd w:val="clear" w:color="auto" w:fill="auto"/>
            <w:vAlign w:val="center"/>
            <w:hideMark/>
          </w:tcPr>
          <w:p w14:paraId="4C606EAD"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31.02 </w:t>
            </w:r>
          </w:p>
        </w:tc>
        <w:tc>
          <w:tcPr>
            <w:tcW w:w="346" w:type="pct"/>
            <w:tcBorders>
              <w:top w:val="nil"/>
              <w:left w:val="nil"/>
              <w:bottom w:val="single" w:sz="4" w:space="0" w:color="auto"/>
              <w:right w:val="single" w:sz="4" w:space="0" w:color="auto"/>
            </w:tcBorders>
            <w:shd w:val="clear" w:color="auto" w:fill="auto"/>
            <w:vAlign w:val="center"/>
            <w:hideMark/>
          </w:tcPr>
          <w:p w14:paraId="2A82C0A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25.57 </w:t>
            </w:r>
          </w:p>
        </w:tc>
        <w:tc>
          <w:tcPr>
            <w:tcW w:w="484" w:type="pct"/>
            <w:tcBorders>
              <w:top w:val="nil"/>
              <w:left w:val="nil"/>
              <w:bottom w:val="single" w:sz="4" w:space="0" w:color="auto"/>
              <w:right w:val="single" w:sz="4" w:space="0" w:color="auto"/>
            </w:tcBorders>
            <w:shd w:val="clear" w:color="auto" w:fill="auto"/>
            <w:vAlign w:val="center"/>
            <w:hideMark/>
          </w:tcPr>
          <w:p w14:paraId="7525D6C1"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37.35 </w:t>
            </w:r>
          </w:p>
        </w:tc>
        <w:tc>
          <w:tcPr>
            <w:tcW w:w="418" w:type="pct"/>
            <w:tcBorders>
              <w:top w:val="nil"/>
              <w:left w:val="nil"/>
              <w:bottom w:val="single" w:sz="4" w:space="0" w:color="auto"/>
              <w:right w:val="single" w:sz="4" w:space="0" w:color="auto"/>
            </w:tcBorders>
            <w:shd w:val="clear" w:color="auto" w:fill="auto"/>
            <w:vAlign w:val="center"/>
            <w:hideMark/>
          </w:tcPr>
          <w:p w14:paraId="47AC8F44" w14:textId="77777777" w:rsidR="00CA20F0" w:rsidRPr="00CA20F0" w:rsidRDefault="00CA20F0" w:rsidP="00CA20F0">
            <w:pPr>
              <w:widowControl/>
              <w:jc w:val="center"/>
              <w:rPr>
                <w:rFonts w:ascii="微软雅黑" w:eastAsia="微软雅黑" w:hAnsi="微软雅黑" w:cs="宋体"/>
                <w:b/>
                <w:bCs/>
                <w:kern w:val="0"/>
                <w:sz w:val="11"/>
                <w:szCs w:val="11"/>
              </w:rPr>
            </w:pPr>
            <w:r w:rsidRPr="00CA20F0">
              <w:rPr>
                <w:rFonts w:ascii="微软雅黑" w:eastAsia="微软雅黑" w:hAnsi="微软雅黑" w:cs="宋体" w:hint="eastAsia"/>
                <w:b/>
                <w:bCs/>
                <w:kern w:val="0"/>
                <w:sz w:val="11"/>
                <w:szCs w:val="11"/>
              </w:rPr>
              <w:t xml:space="preserve">23.77 </w:t>
            </w:r>
          </w:p>
        </w:tc>
      </w:tr>
      <w:tr w:rsidR="005F5E39" w:rsidRPr="00776864" w14:paraId="6DB7FC28"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3C4D80AF"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其中：医用耗材</w:t>
            </w:r>
          </w:p>
        </w:tc>
        <w:tc>
          <w:tcPr>
            <w:tcW w:w="325" w:type="pct"/>
            <w:tcBorders>
              <w:top w:val="nil"/>
              <w:left w:val="nil"/>
              <w:bottom w:val="single" w:sz="4" w:space="0" w:color="auto"/>
              <w:right w:val="single" w:sz="4" w:space="0" w:color="auto"/>
            </w:tcBorders>
            <w:shd w:val="clear" w:color="auto" w:fill="auto"/>
            <w:vAlign w:val="center"/>
            <w:hideMark/>
          </w:tcPr>
          <w:p w14:paraId="044E91C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17.52 </w:t>
            </w:r>
          </w:p>
        </w:tc>
        <w:tc>
          <w:tcPr>
            <w:tcW w:w="443" w:type="pct"/>
            <w:tcBorders>
              <w:top w:val="nil"/>
              <w:left w:val="nil"/>
              <w:bottom w:val="single" w:sz="4" w:space="0" w:color="auto"/>
              <w:right w:val="single" w:sz="4" w:space="0" w:color="auto"/>
            </w:tcBorders>
            <w:shd w:val="clear" w:color="auto" w:fill="auto"/>
            <w:vAlign w:val="center"/>
            <w:hideMark/>
          </w:tcPr>
          <w:p w14:paraId="553ADE0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8.77 </w:t>
            </w:r>
          </w:p>
        </w:tc>
        <w:tc>
          <w:tcPr>
            <w:tcW w:w="386" w:type="pct"/>
            <w:tcBorders>
              <w:top w:val="nil"/>
              <w:left w:val="nil"/>
              <w:bottom w:val="single" w:sz="4" w:space="0" w:color="auto"/>
              <w:right w:val="single" w:sz="4" w:space="0" w:color="auto"/>
            </w:tcBorders>
            <w:shd w:val="clear" w:color="auto" w:fill="auto"/>
            <w:vAlign w:val="center"/>
            <w:hideMark/>
          </w:tcPr>
          <w:p w14:paraId="4E64738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6.94 </w:t>
            </w:r>
          </w:p>
        </w:tc>
        <w:tc>
          <w:tcPr>
            <w:tcW w:w="419" w:type="pct"/>
            <w:tcBorders>
              <w:top w:val="nil"/>
              <w:left w:val="nil"/>
              <w:bottom w:val="single" w:sz="4" w:space="0" w:color="auto"/>
              <w:right w:val="single" w:sz="4" w:space="0" w:color="auto"/>
            </w:tcBorders>
            <w:shd w:val="clear" w:color="auto" w:fill="auto"/>
            <w:vAlign w:val="center"/>
            <w:hideMark/>
          </w:tcPr>
          <w:p w14:paraId="7EB0083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10.22 </w:t>
            </w:r>
          </w:p>
        </w:tc>
        <w:tc>
          <w:tcPr>
            <w:tcW w:w="411" w:type="pct"/>
            <w:tcBorders>
              <w:top w:val="nil"/>
              <w:left w:val="nil"/>
              <w:bottom w:val="single" w:sz="4" w:space="0" w:color="auto"/>
              <w:right w:val="single" w:sz="4" w:space="0" w:color="auto"/>
            </w:tcBorders>
            <w:shd w:val="clear" w:color="auto" w:fill="auto"/>
            <w:vAlign w:val="center"/>
            <w:hideMark/>
          </w:tcPr>
          <w:p w14:paraId="4237CC1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4.31 </w:t>
            </w:r>
          </w:p>
        </w:tc>
        <w:tc>
          <w:tcPr>
            <w:tcW w:w="419" w:type="pct"/>
            <w:tcBorders>
              <w:top w:val="nil"/>
              <w:left w:val="nil"/>
              <w:bottom w:val="single" w:sz="4" w:space="0" w:color="auto"/>
              <w:right w:val="single" w:sz="4" w:space="0" w:color="auto"/>
            </w:tcBorders>
            <w:shd w:val="clear" w:color="auto" w:fill="auto"/>
            <w:vAlign w:val="center"/>
            <w:hideMark/>
          </w:tcPr>
          <w:p w14:paraId="719E864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19.91 </w:t>
            </w:r>
          </w:p>
        </w:tc>
        <w:tc>
          <w:tcPr>
            <w:tcW w:w="411" w:type="pct"/>
            <w:tcBorders>
              <w:top w:val="nil"/>
              <w:left w:val="nil"/>
              <w:bottom w:val="single" w:sz="4" w:space="0" w:color="auto"/>
              <w:right w:val="single" w:sz="4" w:space="0" w:color="auto"/>
            </w:tcBorders>
            <w:shd w:val="clear" w:color="auto" w:fill="auto"/>
            <w:vAlign w:val="center"/>
            <w:hideMark/>
          </w:tcPr>
          <w:p w14:paraId="6991EA1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27.30 </w:t>
            </w:r>
          </w:p>
        </w:tc>
        <w:tc>
          <w:tcPr>
            <w:tcW w:w="346" w:type="pct"/>
            <w:tcBorders>
              <w:top w:val="nil"/>
              <w:left w:val="nil"/>
              <w:bottom w:val="single" w:sz="4" w:space="0" w:color="auto"/>
              <w:right w:val="single" w:sz="4" w:space="0" w:color="auto"/>
            </w:tcBorders>
            <w:shd w:val="clear" w:color="auto" w:fill="auto"/>
            <w:vAlign w:val="center"/>
            <w:hideMark/>
          </w:tcPr>
          <w:p w14:paraId="1DCD88B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13.43 </w:t>
            </w:r>
          </w:p>
        </w:tc>
        <w:tc>
          <w:tcPr>
            <w:tcW w:w="484" w:type="pct"/>
            <w:tcBorders>
              <w:top w:val="nil"/>
              <w:left w:val="nil"/>
              <w:bottom w:val="single" w:sz="4" w:space="0" w:color="auto"/>
              <w:right w:val="single" w:sz="4" w:space="0" w:color="auto"/>
            </w:tcBorders>
            <w:shd w:val="clear" w:color="auto" w:fill="auto"/>
            <w:vAlign w:val="center"/>
            <w:hideMark/>
          </w:tcPr>
          <w:p w14:paraId="71017AB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25.02 </w:t>
            </w:r>
          </w:p>
        </w:tc>
        <w:tc>
          <w:tcPr>
            <w:tcW w:w="418" w:type="pct"/>
            <w:tcBorders>
              <w:top w:val="nil"/>
              <w:left w:val="nil"/>
              <w:bottom w:val="single" w:sz="4" w:space="0" w:color="auto"/>
              <w:right w:val="single" w:sz="4" w:space="0" w:color="auto"/>
            </w:tcBorders>
            <w:shd w:val="clear" w:color="auto" w:fill="auto"/>
            <w:vAlign w:val="center"/>
            <w:hideMark/>
          </w:tcPr>
          <w:p w14:paraId="60CE845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13.50 </w:t>
            </w:r>
          </w:p>
        </w:tc>
      </w:tr>
      <w:tr w:rsidR="005F5E39" w:rsidRPr="00776864" w14:paraId="2C005794"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465182B7"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医疗服务</w:t>
            </w:r>
          </w:p>
        </w:tc>
        <w:tc>
          <w:tcPr>
            <w:tcW w:w="325" w:type="pct"/>
            <w:tcBorders>
              <w:top w:val="nil"/>
              <w:left w:val="nil"/>
              <w:bottom w:val="single" w:sz="4" w:space="0" w:color="auto"/>
              <w:right w:val="single" w:sz="4" w:space="0" w:color="auto"/>
            </w:tcBorders>
            <w:shd w:val="clear" w:color="auto" w:fill="auto"/>
            <w:vAlign w:val="center"/>
            <w:hideMark/>
          </w:tcPr>
          <w:p w14:paraId="40108DC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44.29 </w:t>
            </w:r>
          </w:p>
        </w:tc>
        <w:tc>
          <w:tcPr>
            <w:tcW w:w="443" w:type="pct"/>
            <w:tcBorders>
              <w:top w:val="nil"/>
              <w:left w:val="nil"/>
              <w:bottom w:val="single" w:sz="4" w:space="0" w:color="auto"/>
              <w:right w:val="single" w:sz="4" w:space="0" w:color="auto"/>
            </w:tcBorders>
            <w:shd w:val="clear" w:color="auto" w:fill="auto"/>
            <w:vAlign w:val="center"/>
            <w:hideMark/>
          </w:tcPr>
          <w:p w14:paraId="561D042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12.38 </w:t>
            </w:r>
          </w:p>
        </w:tc>
        <w:tc>
          <w:tcPr>
            <w:tcW w:w="386" w:type="pct"/>
            <w:tcBorders>
              <w:top w:val="nil"/>
              <w:left w:val="nil"/>
              <w:bottom w:val="single" w:sz="4" w:space="0" w:color="auto"/>
              <w:right w:val="single" w:sz="4" w:space="0" w:color="auto"/>
            </w:tcBorders>
            <w:shd w:val="clear" w:color="auto" w:fill="auto"/>
            <w:vAlign w:val="center"/>
            <w:hideMark/>
          </w:tcPr>
          <w:p w14:paraId="32364B9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37.96 </w:t>
            </w:r>
          </w:p>
        </w:tc>
        <w:tc>
          <w:tcPr>
            <w:tcW w:w="419" w:type="pct"/>
            <w:tcBorders>
              <w:top w:val="nil"/>
              <w:left w:val="nil"/>
              <w:bottom w:val="single" w:sz="4" w:space="0" w:color="auto"/>
              <w:right w:val="single" w:sz="4" w:space="0" w:color="auto"/>
            </w:tcBorders>
            <w:shd w:val="clear" w:color="auto" w:fill="auto"/>
            <w:vAlign w:val="center"/>
            <w:hideMark/>
          </w:tcPr>
          <w:p w14:paraId="67FE31B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8.59 </w:t>
            </w:r>
          </w:p>
        </w:tc>
        <w:tc>
          <w:tcPr>
            <w:tcW w:w="411" w:type="pct"/>
            <w:tcBorders>
              <w:top w:val="nil"/>
              <w:left w:val="nil"/>
              <w:bottom w:val="single" w:sz="4" w:space="0" w:color="auto"/>
              <w:right w:val="single" w:sz="4" w:space="0" w:color="auto"/>
            </w:tcBorders>
            <w:shd w:val="clear" w:color="auto" w:fill="auto"/>
            <w:vAlign w:val="center"/>
            <w:hideMark/>
          </w:tcPr>
          <w:p w14:paraId="1DC57E1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42.24 </w:t>
            </w:r>
          </w:p>
        </w:tc>
        <w:tc>
          <w:tcPr>
            <w:tcW w:w="419" w:type="pct"/>
            <w:tcBorders>
              <w:top w:val="nil"/>
              <w:left w:val="nil"/>
              <w:bottom w:val="single" w:sz="4" w:space="0" w:color="auto"/>
              <w:right w:val="single" w:sz="4" w:space="0" w:color="auto"/>
            </w:tcBorders>
            <w:shd w:val="clear" w:color="auto" w:fill="auto"/>
            <w:vAlign w:val="center"/>
            <w:hideMark/>
          </w:tcPr>
          <w:p w14:paraId="3C82041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14.43 </w:t>
            </w:r>
          </w:p>
        </w:tc>
        <w:tc>
          <w:tcPr>
            <w:tcW w:w="411" w:type="pct"/>
            <w:tcBorders>
              <w:top w:val="nil"/>
              <w:left w:val="nil"/>
              <w:bottom w:val="single" w:sz="4" w:space="0" w:color="auto"/>
              <w:right w:val="single" w:sz="4" w:space="0" w:color="auto"/>
            </w:tcBorders>
            <w:shd w:val="clear" w:color="auto" w:fill="auto"/>
            <w:vAlign w:val="center"/>
            <w:hideMark/>
          </w:tcPr>
          <w:p w14:paraId="62E34C0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38.03 </w:t>
            </w:r>
          </w:p>
        </w:tc>
        <w:tc>
          <w:tcPr>
            <w:tcW w:w="346" w:type="pct"/>
            <w:tcBorders>
              <w:top w:val="nil"/>
              <w:left w:val="nil"/>
              <w:bottom w:val="single" w:sz="4" w:space="0" w:color="auto"/>
              <w:right w:val="single" w:sz="4" w:space="0" w:color="auto"/>
            </w:tcBorders>
            <w:shd w:val="clear" w:color="auto" w:fill="auto"/>
            <w:vAlign w:val="center"/>
            <w:hideMark/>
          </w:tcPr>
          <w:p w14:paraId="44E9984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6.44 </w:t>
            </w:r>
          </w:p>
        </w:tc>
        <w:tc>
          <w:tcPr>
            <w:tcW w:w="484" w:type="pct"/>
            <w:tcBorders>
              <w:top w:val="nil"/>
              <w:left w:val="nil"/>
              <w:bottom w:val="single" w:sz="4" w:space="0" w:color="auto"/>
              <w:right w:val="single" w:sz="4" w:space="0" w:color="auto"/>
            </w:tcBorders>
            <w:shd w:val="clear" w:color="auto" w:fill="auto"/>
            <w:vAlign w:val="center"/>
            <w:hideMark/>
          </w:tcPr>
          <w:p w14:paraId="50843B9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26.84 </w:t>
            </w:r>
          </w:p>
        </w:tc>
        <w:tc>
          <w:tcPr>
            <w:tcW w:w="418" w:type="pct"/>
            <w:tcBorders>
              <w:top w:val="nil"/>
              <w:left w:val="nil"/>
              <w:bottom w:val="single" w:sz="4" w:space="0" w:color="auto"/>
              <w:right w:val="single" w:sz="4" w:space="0" w:color="auto"/>
            </w:tcBorders>
            <w:shd w:val="clear" w:color="auto" w:fill="auto"/>
            <w:vAlign w:val="center"/>
            <w:hideMark/>
          </w:tcPr>
          <w:p w14:paraId="7BEF724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8.29 </w:t>
            </w:r>
          </w:p>
        </w:tc>
      </w:tr>
      <w:tr w:rsidR="005F5E39" w:rsidRPr="00776864" w14:paraId="15720E55"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242C8263"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lastRenderedPageBreak/>
              <w:t>其中：第三方诊断实验室</w:t>
            </w:r>
          </w:p>
        </w:tc>
        <w:tc>
          <w:tcPr>
            <w:tcW w:w="325" w:type="pct"/>
            <w:tcBorders>
              <w:top w:val="nil"/>
              <w:left w:val="nil"/>
              <w:bottom w:val="single" w:sz="4" w:space="0" w:color="auto"/>
              <w:right w:val="single" w:sz="4" w:space="0" w:color="auto"/>
            </w:tcBorders>
            <w:shd w:val="clear" w:color="auto" w:fill="auto"/>
            <w:vAlign w:val="center"/>
            <w:hideMark/>
          </w:tcPr>
          <w:p w14:paraId="5A92DD9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31.48 </w:t>
            </w:r>
          </w:p>
        </w:tc>
        <w:tc>
          <w:tcPr>
            <w:tcW w:w="443" w:type="pct"/>
            <w:tcBorders>
              <w:top w:val="nil"/>
              <w:left w:val="nil"/>
              <w:bottom w:val="single" w:sz="4" w:space="0" w:color="auto"/>
              <w:right w:val="single" w:sz="4" w:space="0" w:color="auto"/>
            </w:tcBorders>
            <w:shd w:val="clear" w:color="auto" w:fill="auto"/>
            <w:vAlign w:val="center"/>
            <w:hideMark/>
          </w:tcPr>
          <w:p w14:paraId="4F4BCA9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9.58 </w:t>
            </w:r>
          </w:p>
        </w:tc>
        <w:tc>
          <w:tcPr>
            <w:tcW w:w="386" w:type="pct"/>
            <w:tcBorders>
              <w:top w:val="nil"/>
              <w:left w:val="nil"/>
              <w:bottom w:val="single" w:sz="4" w:space="0" w:color="auto"/>
              <w:right w:val="single" w:sz="4" w:space="0" w:color="auto"/>
            </w:tcBorders>
            <w:shd w:val="clear" w:color="auto" w:fill="auto"/>
            <w:vAlign w:val="center"/>
            <w:hideMark/>
          </w:tcPr>
          <w:p w14:paraId="29A7C97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29.45 </w:t>
            </w:r>
          </w:p>
        </w:tc>
        <w:tc>
          <w:tcPr>
            <w:tcW w:w="419" w:type="pct"/>
            <w:tcBorders>
              <w:top w:val="nil"/>
              <w:left w:val="nil"/>
              <w:bottom w:val="single" w:sz="4" w:space="0" w:color="auto"/>
              <w:right w:val="single" w:sz="4" w:space="0" w:color="auto"/>
            </w:tcBorders>
            <w:shd w:val="clear" w:color="auto" w:fill="auto"/>
            <w:vAlign w:val="center"/>
            <w:hideMark/>
          </w:tcPr>
          <w:p w14:paraId="24E7AB9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7.78 </w:t>
            </w:r>
          </w:p>
        </w:tc>
        <w:tc>
          <w:tcPr>
            <w:tcW w:w="411" w:type="pct"/>
            <w:tcBorders>
              <w:top w:val="nil"/>
              <w:left w:val="nil"/>
              <w:bottom w:val="single" w:sz="4" w:space="0" w:color="auto"/>
              <w:right w:val="single" w:sz="4" w:space="0" w:color="auto"/>
            </w:tcBorders>
            <w:shd w:val="clear" w:color="auto" w:fill="auto"/>
            <w:vAlign w:val="center"/>
            <w:hideMark/>
          </w:tcPr>
          <w:p w14:paraId="66ADF0B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60.02 </w:t>
            </w:r>
          </w:p>
        </w:tc>
        <w:tc>
          <w:tcPr>
            <w:tcW w:w="419" w:type="pct"/>
            <w:tcBorders>
              <w:top w:val="nil"/>
              <w:left w:val="nil"/>
              <w:bottom w:val="single" w:sz="4" w:space="0" w:color="auto"/>
              <w:right w:val="single" w:sz="4" w:space="0" w:color="auto"/>
            </w:tcBorders>
            <w:shd w:val="clear" w:color="auto" w:fill="auto"/>
            <w:vAlign w:val="center"/>
            <w:hideMark/>
          </w:tcPr>
          <w:p w14:paraId="39F916F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7.62 </w:t>
            </w:r>
          </w:p>
        </w:tc>
        <w:tc>
          <w:tcPr>
            <w:tcW w:w="411" w:type="pct"/>
            <w:tcBorders>
              <w:top w:val="nil"/>
              <w:left w:val="nil"/>
              <w:bottom w:val="single" w:sz="4" w:space="0" w:color="auto"/>
              <w:right w:val="single" w:sz="4" w:space="0" w:color="auto"/>
            </w:tcBorders>
            <w:shd w:val="clear" w:color="auto" w:fill="auto"/>
            <w:vAlign w:val="center"/>
            <w:hideMark/>
          </w:tcPr>
          <w:p w14:paraId="23F2E43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39.84 </w:t>
            </w:r>
          </w:p>
        </w:tc>
        <w:tc>
          <w:tcPr>
            <w:tcW w:w="346" w:type="pct"/>
            <w:tcBorders>
              <w:top w:val="nil"/>
              <w:left w:val="nil"/>
              <w:bottom w:val="single" w:sz="4" w:space="0" w:color="auto"/>
              <w:right w:val="single" w:sz="4" w:space="0" w:color="auto"/>
            </w:tcBorders>
            <w:shd w:val="clear" w:color="auto" w:fill="auto"/>
            <w:vAlign w:val="center"/>
            <w:hideMark/>
          </w:tcPr>
          <w:p w14:paraId="3828D2D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7.25 </w:t>
            </w:r>
          </w:p>
        </w:tc>
        <w:tc>
          <w:tcPr>
            <w:tcW w:w="484" w:type="pct"/>
            <w:tcBorders>
              <w:top w:val="nil"/>
              <w:left w:val="nil"/>
              <w:bottom w:val="single" w:sz="4" w:space="0" w:color="auto"/>
              <w:right w:val="single" w:sz="4" w:space="0" w:color="auto"/>
            </w:tcBorders>
            <w:shd w:val="clear" w:color="auto" w:fill="auto"/>
            <w:vAlign w:val="center"/>
            <w:hideMark/>
          </w:tcPr>
          <w:p w14:paraId="112D4DF0"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33.06 </w:t>
            </w:r>
          </w:p>
        </w:tc>
        <w:tc>
          <w:tcPr>
            <w:tcW w:w="418" w:type="pct"/>
            <w:tcBorders>
              <w:top w:val="nil"/>
              <w:left w:val="nil"/>
              <w:bottom w:val="single" w:sz="4" w:space="0" w:color="auto"/>
              <w:right w:val="single" w:sz="4" w:space="0" w:color="auto"/>
            </w:tcBorders>
            <w:shd w:val="clear" w:color="auto" w:fill="auto"/>
            <w:vAlign w:val="center"/>
            <w:hideMark/>
          </w:tcPr>
          <w:p w14:paraId="12139CC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7.31 </w:t>
            </w:r>
          </w:p>
        </w:tc>
      </w:tr>
      <w:tr w:rsidR="005F5E39" w:rsidRPr="00776864" w14:paraId="2D74AFEF"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539C8169"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其中：健康体检</w:t>
            </w:r>
          </w:p>
        </w:tc>
        <w:tc>
          <w:tcPr>
            <w:tcW w:w="325" w:type="pct"/>
            <w:tcBorders>
              <w:top w:val="nil"/>
              <w:left w:val="nil"/>
              <w:bottom w:val="single" w:sz="4" w:space="0" w:color="auto"/>
              <w:right w:val="single" w:sz="4" w:space="0" w:color="auto"/>
            </w:tcBorders>
            <w:shd w:val="clear" w:color="auto" w:fill="auto"/>
            <w:noWrap/>
            <w:vAlign w:val="bottom"/>
            <w:hideMark/>
          </w:tcPr>
          <w:p w14:paraId="361D6B4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21A8EC8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386" w:type="pct"/>
            <w:tcBorders>
              <w:top w:val="nil"/>
              <w:left w:val="nil"/>
              <w:bottom w:val="single" w:sz="4" w:space="0" w:color="auto"/>
              <w:right w:val="single" w:sz="4" w:space="0" w:color="auto"/>
            </w:tcBorders>
            <w:shd w:val="clear" w:color="auto" w:fill="auto"/>
            <w:vAlign w:val="center"/>
            <w:hideMark/>
          </w:tcPr>
          <w:p w14:paraId="688745F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46.89 </w:t>
            </w:r>
          </w:p>
        </w:tc>
        <w:tc>
          <w:tcPr>
            <w:tcW w:w="419" w:type="pct"/>
            <w:tcBorders>
              <w:top w:val="nil"/>
              <w:left w:val="nil"/>
              <w:bottom w:val="single" w:sz="4" w:space="0" w:color="auto"/>
              <w:right w:val="single" w:sz="4" w:space="0" w:color="auto"/>
            </w:tcBorders>
            <w:shd w:val="clear" w:color="auto" w:fill="auto"/>
            <w:vAlign w:val="center"/>
            <w:hideMark/>
          </w:tcPr>
          <w:p w14:paraId="289515A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13.62 </w:t>
            </w:r>
          </w:p>
        </w:tc>
        <w:tc>
          <w:tcPr>
            <w:tcW w:w="411" w:type="pct"/>
            <w:tcBorders>
              <w:top w:val="nil"/>
              <w:left w:val="nil"/>
              <w:bottom w:val="single" w:sz="4" w:space="0" w:color="auto"/>
              <w:right w:val="single" w:sz="4" w:space="0" w:color="auto"/>
            </w:tcBorders>
            <w:shd w:val="clear" w:color="auto" w:fill="auto"/>
            <w:vAlign w:val="center"/>
            <w:hideMark/>
          </w:tcPr>
          <w:p w14:paraId="7A6BEB6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46.65 </w:t>
            </w:r>
          </w:p>
        </w:tc>
        <w:tc>
          <w:tcPr>
            <w:tcW w:w="419" w:type="pct"/>
            <w:tcBorders>
              <w:top w:val="nil"/>
              <w:left w:val="nil"/>
              <w:bottom w:val="single" w:sz="4" w:space="0" w:color="auto"/>
              <w:right w:val="single" w:sz="4" w:space="0" w:color="auto"/>
            </w:tcBorders>
            <w:shd w:val="clear" w:color="auto" w:fill="auto"/>
            <w:vAlign w:val="center"/>
            <w:hideMark/>
          </w:tcPr>
          <w:p w14:paraId="19338CF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12.28 </w:t>
            </w:r>
          </w:p>
        </w:tc>
        <w:tc>
          <w:tcPr>
            <w:tcW w:w="411" w:type="pct"/>
            <w:tcBorders>
              <w:top w:val="nil"/>
              <w:left w:val="nil"/>
              <w:bottom w:val="single" w:sz="4" w:space="0" w:color="auto"/>
              <w:right w:val="single" w:sz="4" w:space="0" w:color="auto"/>
            </w:tcBorders>
            <w:shd w:val="clear" w:color="auto" w:fill="auto"/>
            <w:vAlign w:val="center"/>
            <w:hideMark/>
          </w:tcPr>
          <w:p w14:paraId="69B2B30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44.48 </w:t>
            </w:r>
          </w:p>
        </w:tc>
        <w:tc>
          <w:tcPr>
            <w:tcW w:w="346" w:type="pct"/>
            <w:tcBorders>
              <w:top w:val="nil"/>
              <w:left w:val="nil"/>
              <w:bottom w:val="single" w:sz="4" w:space="0" w:color="auto"/>
              <w:right w:val="single" w:sz="4" w:space="0" w:color="auto"/>
            </w:tcBorders>
            <w:shd w:val="clear" w:color="auto" w:fill="auto"/>
            <w:vAlign w:val="center"/>
            <w:hideMark/>
          </w:tcPr>
          <w:p w14:paraId="078AACD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11.14 </w:t>
            </w:r>
          </w:p>
        </w:tc>
        <w:tc>
          <w:tcPr>
            <w:tcW w:w="484" w:type="pct"/>
            <w:tcBorders>
              <w:top w:val="nil"/>
              <w:left w:val="nil"/>
              <w:bottom w:val="single" w:sz="4" w:space="0" w:color="auto"/>
              <w:right w:val="single" w:sz="4" w:space="0" w:color="auto"/>
            </w:tcBorders>
            <w:shd w:val="clear" w:color="auto" w:fill="auto"/>
            <w:vAlign w:val="center"/>
            <w:hideMark/>
          </w:tcPr>
          <w:p w14:paraId="6E16A99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34.64 </w:t>
            </w:r>
          </w:p>
        </w:tc>
        <w:tc>
          <w:tcPr>
            <w:tcW w:w="418" w:type="pct"/>
            <w:tcBorders>
              <w:top w:val="nil"/>
              <w:left w:val="nil"/>
              <w:bottom w:val="single" w:sz="4" w:space="0" w:color="auto"/>
              <w:right w:val="single" w:sz="4" w:space="0" w:color="auto"/>
            </w:tcBorders>
            <w:shd w:val="clear" w:color="auto" w:fill="auto"/>
            <w:vAlign w:val="center"/>
            <w:hideMark/>
          </w:tcPr>
          <w:p w14:paraId="767624F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11.50 </w:t>
            </w:r>
          </w:p>
        </w:tc>
      </w:tr>
      <w:tr w:rsidR="005F5E39" w:rsidRPr="00776864" w14:paraId="6146F692"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708E3113"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其中：医疗服务外包</w:t>
            </w:r>
          </w:p>
        </w:tc>
        <w:tc>
          <w:tcPr>
            <w:tcW w:w="325" w:type="pct"/>
            <w:tcBorders>
              <w:top w:val="nil"/>
              <w:left w:val="nil"/>
              <w:bottom w:val="single" w:sz="4" w:space="0" w:color="auto"/>
              <w:right w:val="single" w:sz="4" w:space="0" w:color="auto"/>
            </w:tcBorders>
            <w:shd w:val="clear" w:color="auto" w:fill="auto"/>
            <w:noWrap/>
            <w:vAlign w:val="bottom"/>
            <w:hideMark/>
          </w:tcPr>
          <w:p w14:paraId="19FD8A2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2EA9FBD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386" w:type="pct"/>
            <w:tcBorders>
              <w:top w:val="nil"/>
              <w:left w:val="nil"/>
              <w:bottom w:val="single" w:sz="4" w:space="0" w:color="auto"/>
              <w:right w:val="single" w:sz="4" w:space="0" w:color="auto"/>
            </w:tcBorders>
            <w:shd w:val="clear" w:color="auto" w:fill="auto"/>
            <w:vAlign w:val="center"/>
            <w:hideMark/>
          </w:tcPr>
          <w:p w14:paraId="4A305D9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554.03 </w:t>
            </w:r>
          </w:p>
        </w:tc>
        <w:tc>
          <w:tcPr>
            <w:tcW w:w="419" w:type="pct"/>
            <w:tcBorders>
              <w:top w:val="nil"/>
              <w:left w:val="nil"/>
              <w:bottom w:val="single" w:sz="4" w:space="0" w:color="auto"/>
              <w:right w:val="single" w:sz="4" w:space="0" w:color="auto"/>
            </w:tcBorders>
            <w:shd w:val="clear" w:color="auto" w:fill="auto"/>
            <w:vAlign w:val="center"/>
            <w:hideMark/>
          </w:tcPr>
          <w:p w14:paraId="3C838A4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5.34 </w:t>
            </w:r>
          </w:p>
        </w:tc>
        <w:tc>
          <w:tcPr>
            <w:tcW w:w="411" w:type="pct"/>
            <w:tcBorders>
              <w:top w:val="nil"/>
              <w:left w:val="nil"/>
              <w:bottom w:val="single" w:sz="4" w:space="0" w:color="auto"/>
              <w:right w:val="single" w:sz="4" w:space="0" w:color="auto"/>
            </w:tcBorders>
            <w:shd w:val="clear" w:color="auto" w:fill="auto"/>
            <w:vAlign w:val="center"/>
            <w:hideMark/>
          </w:tcPr>
          <w:p w14:paraId="1D5C9B8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25.72 </w:t>
            </w:r>
          </w:p>
        </w:tc>
        <w:tc>
          <w:tcPr>
            <w:tcW w:w="419" w:type="pct"/>
            <w:tcBorders>
              <w:top w:val="nil"/>
              <w:left w:val="nil"/>
              <w:bottom w:val="single" w:sz="4" w:space="0" w:color="auto"/>
              <w:right w:val="single" w:sz="4" w:space="0" w:color="auto"/>
            </w:tcBorders>
            <w:shd w:val="clear" w:color="auto" w:fill="auto"/>
            <w:vAlign w:val="center"/>
            <w:hideMark/>
          </w:tcPr>
          <w:p w14:paraId="04C6C2A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57.29 </w:t>
            </w:r>
          </w:p>
        </w:tc>
        <w:tc>
          <w:tcPr>
            <w:tcW w:w="411" w:type="pct"/>
            <w:tcBorders>
              <w:top w:val="nil"/>
              <w:left w:val="nil"/>
              <w:bottom w:val="single" w:sz="4" w:space="0" w:color="auto"/>
              <w:right w:val="single" w:sz="4" w:space="0" w:color="auto"/>
            </w:tcBorders>
            <w:shd w:val="clear" w:color="auto" w:fill="auto"/>
            <w:vAlign w:val="center"/>
            <w:hideMark/>
          </w:tcPr>
          <w:p w14:paraId="5825BD1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63.23 </w:t>
            </w:r>
          </w:p>
        </w:tc>
        <w:tc>
          <w:tcPr>
            <w:tcW w:w="346" w:type="pct"/>
            <w:tcBorders>
              <w:top w:val="nil"/>
              <w:left w:val="nil"/>
              <w:bottom w:val="single" w:sz="4" w:space="0" w:color="auto"/>
              <w:right w:val="single" w:sz="4" w:space="0" w:color="auto"/>
            </w:tcBorders>
            <w:shd w:val="clear" w:color="auto" w:fill="auto"/>
            <w:vAlign w:val="center"/>
            <w:hideMark/>
          </w:tcPr>
          <w:p w14:paraId="3AD3AE9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8.71 </w:t>
            </w:r>
          </w:p>
        </w:tc>
        <w:tc>
          <w:tcPr>
            <w:tcW w:w="484" w:type="pct"/>
            <w:tcBorders>
              <w:top w:val="nil"/>
              <w:left w:val="nil"/>
              <w:bottom w:val="single" w:sz="4" w:space="0" w:color="auto"/>
              <w:right w:val="single" w:sz="4" w:space="0" w:color="auto"/>
            </w:tcBorders>
            <w:shd w:val="clear" w:color="auto" w:fill="auto"/>
            <w:vAlign w:val="center"/>
            <w:hideMark/>
          </w:tcPr>
          <w:p w14:paraId="65DE8AA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4.15 </w:t>
            </w:r>
          </w:p>
        </w:tc>
        <w:tc>
          <w:tcPr>
            <w:tcW w:w="418" w:type="pct"/>
            <w:tcBorders>
              <w:top w:val="nil"/>
              <w:left w:val="nil"/>
              <w:bottom w:val="single" w:sz="4" w:space="0" w:color="auto"/>
              <w:right w:val="single" w:sz="4" w:space="0" w:color="auto"/>
            </w:tcBorders>
            <w:shd w:val="clear" w:color="auto" w:fill="auto"/>
            <w:vAlign w:val="center"/>
            <w:hideMark/>
          </w:tcPr>
          <w:p w14:paraId="257A562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9.11 </w:t>
            </w:r>
          </w:p>
        </w:tc>
      </w:tr>
      <w:tr w:rsidR="005F5E39" w:rsidRPr="00776864" w14:paraId="2BC54BC9"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7A6E1CEC"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CRO</w:t>
            </w:r>
          </w:p>
        </w:tc>
        <w:tc>
          <w:tcPr>
            <w:tcW w:w="325" w:type="pct"/>
            <w:tcBorders>
              <w:top w:val="nil"/>
              <w:left w:val="nil"/>
              <w:bottom w:val="single" w:sz="4" w:space="0" w:color="auto"/>
              <w:right w:val="single" w:sz="4" w:space="0" w:color="auto"/>
            </w:tcBorders>
            <w:shd w:val="clear" w:color="auto" w:fill="auto"/>
            <w:vAlign w:val="center"/>
            <w:hideMark/>
          </w:tcPr>
          <w:p w14:paraId="6D587A6D"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81.77 </w:t>
            </w:r>
          </w:p>
        </w:tc>
        <w:tc>
          <w:tcPr>
            <w:tcW w:w="443" w:type="pct"/>
            <w:tcBorders>
              <w:top w:val="nil"/>
              <w:left w:val="nil"/>
              <w:bottom w:val="single" w:sz="4" w:space="0" w:color="auto"/>
              <w:right w:val="single" w:sz="4" w:space="0" w:color="auto"/>
            </w:tcBorders>
            <w:shd w:val="clear" w:color="auto" w:fill="auto"/>
            <w:vAlign w:val="center"/>
            <w:hideMark/>
          </w:tcPr>
          <w:p w14:paraId="765D88A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21.53 </w:t>
            </w:r>
          </w:p>
        </w:tc>
        <w:tc>
          <w:tcPr>
            <w:tcW w:w="386" w:type="pct"/>
            <w:tcBorders>
              <w:top w:val="nil"/>
              <w:left w:val="nil"/>
              <w:bottom w:val="single" w:sz="4" w:space="0" w:color="auto"/>
              <w:right w:val="single" w:sz="4" w:space="0" w:color="auto"/>
            </w:tcBorders>
            <w:shd w:val="clear" w:color="auto" w:fill="auto"/>
            <w:vAlign w:val="center"/>
            <w:hideMark/>
          </w:tcPr>
          <w:p w14:paraId="7D4F6B04"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46.93 </w:t>
            </w:r>
          </w:p>
        </w:tc>
        <w:tc>
          <w:tcPr>
            <w:tcW w:w="419" w:type="pct"/>
            <w:tcBorders>
              <w:top w:val="nil"/>
              <w:left w:val="nil"/>
              <w:bottom w:val="single" w:sz="4" w:space="0" w:color="auto"/>
              <w:right w:val="single" w:sz="4" w:space="0" w:color="auto"/>
            </w:tcBorders>
            <w:shd w:val="clear" w:color="auto" w:fill="auto"/>
            <w:vAlign w:val="center"/>
            <w:hideMark/>
          </w:tcPr>
          <w:p w14:paraId="6AC9734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17.80 </w:t>
            </w:r>
          </w:p>
        </w:tc>
        <w:tc>
          <w:tcPr>
            <w:tcW w:w="411" w:type="pct"/>
            <w:tcBorders>
              <w:top w:val="nil"/>
              <w:left w:val="nil"/>
              <w:bottom w:val="single" w:sz="4" w:space="0" w:color="auto"/>
              <w:right w:val="single" w:sz="4" w:space="0" w:color="auto"/>
            </w:tcBorders>
            <w:shd w:val="clear" w:color="auto" w:fill="auto"/>
            <w:vAlign w:val="center"/>
            <w:hideMark/>
          </w:tcPr>
          <w:p w14:paraId="4D57A017"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19.97 </w:t>
            </w:r>
          </w:p>
        </w:tc>
        <w:tc>
          <w:tcPr>
            <w:tcW w:w="419" w:type="pct"/>
            <w:tcBorders>
              <w:top w:val="nil"/>
              <w:left w:val="nil"/>
              <w:bottom w:val="single" w:sz="4" w:space="0" w:color="auto"/>
              <w:right w:val="single" w:sz="4" w:space="0" w:color="auto"/>
            </w:tcBorders>
            <w:shd w:val="clear" w:color="auto" w:fill="auto"/>
            <w:vAlign w:val="center"/>
            <w:hideMark/>
          </w:tcPr>
          <w:p w14:paraId="35A5689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6.93 </w:t>
            </w:r>
          </w:p>
        </w:tc>
        <w:tc>
          <w:tcPr>
            <w:tcW w:w="411" w:type="pct"/>
            <w:tcBorders>
              <w:top w:val="nil"/>
              <w:left w:val="nil"/>
              <w:bottom w:val="single" w:sz="4" w:space="0" w:color="auto"/>
              <w:right w:val="single" w:sz="4" w:space="0" w:color="auto"/>
            </w:tcBorders>
            <w:shd w:val="clear" w:color="auto" w:fill="auto"/>
            <w:vAlign w:val="center"/>
            <w:hideMark/>
          </w:tcPr>
          <w:p w14:paraId="25AA920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16.47 </w:t>
            </w:r>
          </w:p>
        </w:tc>
        <w:tc>
          <w:tcPr>
            <w:tcW w:w="346" w:type="pct"/>
            <w:tcBorders>
              <w:top w:val="nil"/>
              <w:left w:val="nil"/>
              <w:bottom w:val="single" w:sz="4" w:space="0" w:color="auto"/>
              <w:right w:val="single" w:sz="4" w:space="0" w:color="auto"/>
            </w:tcBorders>
            <w:shd w:val="clear" w:color="auto" w:fill="auto"/>
            <w:vAlign w:val="center"/>
            <w:hideMark/>
          </w:tcPr>
          <w:p w14:paraId="1BB18F62"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color w:val="FF0000"/>
                <w:kern w:val="0"/>
                <w:sz w:val="11"/>
                <w:szCs w:val="11"/>
              </w:rPr>
              <w:t>(6.97)</w:t>
            </w:r>
          </w:p>
        </w:tc>
        <w:tc>
          <w:tcPr>
            <w:tcW w:w="484" w:type="pct"/>
            <w:tcBorders>
              <w:top w:val="nil"/>
              <w:left w:val="nil"/>
              <w:bottom w:val="single" w:sz="4" w:space="0" w:color="auto"/>
              <w:right w:val="single" w:sz="4" w:space="0" w:color="auto"/>
            </w:tcBorders>
            <w:shd w:val="clear" w:color="auto" w:fill="auto"/>
            <w:vAlign w:val="center"/>
            <w:hideMark/>
          </w:tcPr>
          <w:p w14:paraId="05D65ED9" w14:textId="77777777" w:rsidR="00CA20F0" w:rsidRPr="00CA20F0" w:rsidRDefault="00CA20F0" w:rsidP="00CA20F0">
            <w:pPr>
              <w:widowControl/>
              <w:jc w:val="center"/>
              <w:rPr>
                <w:rFonts w:ascii="微软雅黑" w:eastAsia="微软雅黑" w:hAnsi="微软雅黑" w:cs="宋体"/>
                <w:b/>
                <w:bCs/>
                <w:kern w:val="0"/>
                <w:sz w:val="11"/>
                <w:szCs w:val="11"/>
              </w:rPr>
            </w:pPr>
            <w:r w:rsidRPr="00CA20F0">
              <w:rPr>
                <w:rFonts w:ascii="微软雅黑" w:eastAsia="微软雅黑" w:hAnsi="微软雅黑" w:cs="宋体" w:hint="eastAsia"/>
                <w:b/>
                <w:bCs/>
                <w:kern w:val="0"/>
                <w:sz w:val="11"/>
                <w:szCs w:val="11"/>
              </w:rPr>
              <w:t xml:space="preserve">29.17 </w:t>
            </w:r>
          </w:p>
        </w:tc>
        <w:tc>
          <w:tcPr>
            <w:tcW w:w="418" w:type="pct"/>
            <w:tcBorders>
              <w:top w:val="nil"/>
              <w:left w:val="nil"/>
              <w:bottom w:val="single" w:sz="4" w:space="0" w:color="auto"/>
              <w:right w:val="single" w:sz="4" w:space="0" w:color="auto"/>
            </w:tcBorders>
            <w:shd w:val="clear" w:color="auto" w:fill="auto"/>
            <w:vAlign w:val="center"/>
            <w:hideMark/>
          </w:tcPr>
          <w:p w14:paraId="0C015FCF"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10.23 </w:t>
            </w:r>
          </w:p>
        </w:tc>
      </w:tr>
      <w:tr w:rsidR="005F5E39" w:rsidRPr="00776864" w14:paraId="07C7C581"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4AF931B7"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CMO</w:t>
            </w:r>
          </w:p>
        </w:tc>
        <w:tc>
          <w:tcPr>
            <w:tcW w:w="325" w:type="pct"/>
            <w:tcBorders>
              <w:top w:val="nil"/>
              <w:left w:val="nil"/>
              <w:bottom w:val="single" w:sz="4" w:space="0" w:color="auto"/>
              <w:right w:val="single" w:sz="4" w:space="0" w:color="auto"/>
            </w:tcBorders>
            <w:shd w:val="clear" w:color="auto" w:fill="auto"/>
            <w:vAlign w:val="center"/>
            <w:hideMark/>
          </w:tcPr>
          <w:p w14:paraId="54F50F3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11.23 </w:t>
            </w:r>
          </w:p>
        </w:tc>
        <w:tc>
          <w:tcPr>
            <w:tcW w:w="443" w:type="pct"/>
            <w:tcBorders>
              <w:top w:val="nil"/>
              <w:left w:val="nil"/>
              <w:bottom w:val="single" w:sz="4" w:space="0" w:color="auto"/>
              <w:right w:val="single" w:sz="4" w:space="0" w:color="auto"/>
            </w:tcBorders>
            <w:shd w:val="clear" w:color="auto" w:fill="auto"/>
            <w:vAlign w:val="center"/>
            <w:hideMark/>
          </w:tcPr>
          <w:p w14:paraId="5854E993"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11.42 </w:t>
            </w:r>
          </w:p>
        </w:tc>
        <w:tc>
          <w:tcPr>
            <w:tcW w:w="386" w:type="pct"/>
            <w:tcBorders>
              <w:top w:val="nil"/>
              <w:left w:val="nil"/>
              <w:bottom w:val="single" w:sz="4" w:space="0" w:color="auto"/>
              <w:right w:val="single" w:sz="4" w:space="0" w:color="auto"/>
            </w:tcBorders>
            <w:shd w:val="clear" w:color="auto" w:fill="auto"/>
            <w:vAlign w:val="center"/>
            <w:hideMark/>
          </w:tcPr>
          <w:p w14:paraId="4C918245"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11.45 </w:t>
            </w:r>
          </w:p>
        </w:tc>
        <w:tc>
          <w:tcPr>
            <w:tcW w:w="419" w:type="pct"/>
            <w:tcBorders>
              <w:top w:val="nil"/>
              <w:left w:val="nil"/>
              <w:bottom w:val="single" w:sz="4" w:space="0" w:color="auto"/>
              <w:right w:val="single" w:sz="4" w:space="0" w:color="auto"/>
            </w:tcBorders>
            <w:shd w:val="clear" w:color="auto" w:fill="auto"/>
            <w:vAlign w:val="center"/>
            <w:hideMark/>
          </w:tcPr>
          <w:p w14:paraId="053F710E"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17.01 </w:t>
            </w:r>
          </w:p>
        </w:tc>
        <w:tc>
          <w:tcPr>
            <w:tcW w:w="411" w:type="pct"/>
            <w:tcBorders>
              <w:top w:val="nil"/>
              <w:left w:val="nil"/>
              <w:bottom w:val="single" w:sz="4" w:space="0" w:color="auto"/>
              <w:right w:val="single" w:sz="4" w:space="0" w:color="auto"/>
            </w:tcBorders>
            <w:shd w:val="clear" w:color="auto" w:fill="auto"/>
            <w:vAlign w:val="center"/>
            <w:hideMark/>
          </w:tcPr>
          <w:p w14:paraId="6DE0CD59"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25.69 </w:t>
            </w:r>
          </w:p>
        </w:tc>
        <w:tc>
          <w:tcPr>
            <w:tcW w:w="419" w:type="pct"/>
            <w:tcBorders>
              <w:top w:val="nil"/>
              <w:left w:val="nil"/>
              <w:bottom w:val="single" w:sz="4" w:space="0" w:color="auto"/>
              <w:right w:val="single" w:sz="4" w:space="0" w:color="auto"/>
            </w:tcBorders>
            <w:shd w:val="clear" w:color="auto" w:fill="auto"/>
            <w:vAlign w:val="center"/>
            <w:hideMark/>
          </w:tcPr>
          <w:p w14:paraId="6432B01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17.27 </w:t>
            </w:r>
          </w:p>
        </w:tc>
        <w:tc>
          <w:tcPr>
            <w:tcW w:w="411" w:type="pct"/>
            <w:tcBorders>
              <w:top w:val="nil"/>
              <w:left w:val="nil"/>
              <w:bottom w:val="single" w:sz="4" w:space="0" w:color="auto"/>
              <w:right w:val="single" w:sz="4" w:space="0" w:color="auto"/>
            </w:tcBorders>
            <w:shd w:val="clear" w:color="auto" w:fill="auto"/>
            <w:vAlign w:val="center"/>
            <w:hideMark/>
          </w:tcPr>
          <w:p w14:paraId="079942D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11.76 </w:t>
            </w:r>
          </w:p>
        </w:tc>
        <w:tc>
          <w:tcPr>
            <w:tcW w:w="346" w:type="pct"/>
            <w:tcBorders>
              <w:top w:val="nil"/>
              <w:left w:val="nil"/>
              <w:bottom w:val="single" w:sz="4" w:space="0" w:color="auto"/>
              <w:right w:val="single" w:sz="4" w:space="0" w:color="auto"/>
            </w:tcBorders>
            <w:shd w:val="clear" w:color="auto" w:fill="auto"/>
            <w:vAlign w:val="center"/>
            <w:hideMark/>
          </w:tcPr>
          <w:p w14:paraId="1DA5CA3C"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16.43 </w:t>
            </w:r>
          </w:p>
        </w:tc>
        <w:tc>
          <w:tcPr>
            <w:tcW w:w="484" w:type="pct"/>
            <w:tcBorders>
              <w:top w:val="nil"/>
              <w:left w:val="nil"/>
              <w:bottom w:val="single" w:sz="4" w:space="0" w:color="auto"/>
              <w:right w:val="single" w:sz="4" w:space="0" w:color="auto"/>
            </w:tcBorders>
            <w:shd w:val="clear" w:color="auto" w:fill="auto"/>
            <w:vAlign w:val="center"/>
            <w:hideMark/>
          </w:tcPr>
          <w:p w14:paraId="7C4C2600"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20.63 </w:t>
            </w:r>
          </w:p>
        </w:tc>
        <w:tc>
          <w:tcPr>
            <w:tcW w:w="418" w:type="pct"/>
            <w:tcBorders>
              <w:top w:val="nil"/>
              <w:left w:val="nil"/>
              <w:bottom w:val="single" w:sz="4" w:space="0" w:color="auto"/>
              <w:right w:val="single" w:sz="4" w:space="0" w:color="auto"/>
            </w:tcBorders>
            <w:shd w:val="clear" w:color="auto" w:fill="auto"/>
            <w:vAlign w:val="center"/>
            <w:hideMark/>
          </w:tcPr>
          <w:p w14:paraId="105AD5C6" w14:textId="77777777" w:rsidR="00CA20F0" w:rsidRPr="00CA20F0" w:rsidRDefault="00CA20F0" w:rsidP="00CA20F0">
            <w:pPr>
              <w:widowControl/>
              <w:jc w:val="center"/>
              <w:rPr>
                <w:rFonts w:ascii="微软雅黑" w:eastAsia="微软雅黑" w:hAnsi="微软雅黑" w:cs="宋体"/>
                <w:kern w:val="0"/>
                <w:sz w:val="11"/>
                <w:szCs w:val="11"/>
              </w:rPr>
            </w:pPr>
            <w:r w:rsidRPr="00CA20F0">
              <w:rPr>
                <w:rFonts w:ascii="微软雅黑" w:eastAsia="微软雅黑" w:hAnsi="微软雅黑" w:cs="宋体" w:hint="eastAsia"/>
                <w:kern w:val="0"/>
                <w:sz w:val="11"/>
                <w:szCs w:val="11"/>
              </w:rPr>
              <w:t xml:space="preserve">16.95 </w:t>
            </w:r>
          </w:p>
        </w:tc>
      </w:tr>
      <w:tr w:rsidR="005F5E39" w:rsidRPr="00776864" w14:paraId="0A4A9FA8"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15F09EA9" w14:textId="77777777" w:rsidR="00CA20F0" w:rsidRPr="00CA20F0" w:rsidRDefault="00CA20F0" w:rsidP="00CA20F0">
            <w:pPr>
              <w:widowControl/>
              <w:jc w:val="lef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医药商业</w:t>
            </w:r>
          </w:p>
        </w:tc>
        <w:tc>
          <w:tcPr>
            <w:tcW w:w="325" w:type="pct"/>
            <w:tcBorders>
              <w:top w:val="nil"/>
              <w:left w:val="nil"/>
              <w:bottom w:val="single" w:sz="4" w:space="0" w:color="auto"/>
              <w:right w:val="single" w:sz="4" w:space="0" w:color="auto"/>
            </w:tcBorders>
            <w:shd w:val="clear" w:color="auto" w:fill="auto"/>
            <w:vAlign w:val="center"/>
            <w:hideMark/>
          </w:tcPr>
          <w:p w14:paraId="4B03871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18.10 </w:t>
            </w:r>
          </w:p>
        </w:tc>
        <w:tc>
          <w:tcPr>
            <w:tcW w:w="443" w:type="pct"/>
            <w:tcBorders>
              <w:top w:val="nil"/>
              <w:left w:val="nil"/>
              <w:bottom w:val="single" w:sz="4" w:space="0" w:color="auto"/>
              <w:right w:val="single" w:sz="4" w:space="0" w:color="auto"/>
            </w:tcBorders>
            <w:shd w:val="clear" w:color="auto" w:fill="auto"/>
            <w:vAlign w:val="center"/>
            <w:hideMark/>
          </w:tcPr>
          <w:p w14:paraId="61628B6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2.78 </w:t>
            </w:r>
          </w:p>
        </w:tc>
        <w:tc>
          <w:tcPr>
            <w:tcW w:w="386" w:type="pct"/>
            <w:tcBorders>
              <w:top w:val="nil"/>
              <w:left w:val="nil"/>
              <w:bottom w:val="single" w:sz="4" w:space="0" w:color="auto"/>
              <w:right w:val="single" w:sz="4" w:space="0" w:color="auto"/>
            </w:tcBorders>
            <w:shd w:val="clear" w:color="auto" w:fill="auto"/>
            <w:vAlign w:val="center"/>
            <w:hideMark/>
          </w:tcPr>
          <w:p w14:paraId="1C8B70B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14.92 </w:t>
            </w:r>
          </w:p>
        </w:tc>
        <w:tc>
          <w:tcPr>
            <w:tcW w:w="419" w:type="pct"/>
            <w:tcBorders>
              <w:top w:val="nil"/>
              <w:left w:val="nil"/>
              <w:bottom w:val="single" w:sz="4" w:space="0" w:color="auto"/>
              <w:right w:val="single" w:sz="4" w:space="0" w:color="auto"/>
            </w:tcBorders>
            <w:shd w:val="clear" w:color="auto" w:fill="auto"/>
            <w:vAlign w:val="center"/>
            <w:hideMark/>
          </w:tcPr>
          <w:p w14:paraId="2C6F3AE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3.05 </w:t>
            </w:r>
          </w:p>
        </w:tc>
        <w:tc>
          <w:tcPr>
            <w:tcW w:w="411" w:type="pct"/>
            <w:tcBorders>
              <w:top w:val="nil"/>
              <w:left w:val="nil"/>
              <w:bottom w:val="single" w:sz="4" w:space="0" w:color="auto"/>
              <w:right w:val="single" w:sz="4" w:space="0" w:color="auto"/>
            </w:tcBorders>
            <w:shd w:val="clear" w:color="auto" w:fill="auto"/>
            <w:vAlign w:val="center"/>
            <w:hideMark/>
          </w:tcPr>
          <w:p w14:paraId="42345CE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16.86 </w:t>
            </w:r>
          </w:p>
        </w:tc>
        <w:tc>
          <w:tcPr>
            <w:tcW w:w="419" w:type="pct"/>
            <w:tcBorders>
              <w:top w:val="nil"/>
              <w:left w:val="nil"/>
              <w:bottom w:val="single" w:sz="4" w:space="0" w:color="auto"/>
              <w:right w:val="single" w:sz="4" w:space="0" w:color="auto"/>
            </w:tcBorders>
            <w:shd w:val="clear" w:color="auto" w:fill="auto"/>
            <w:vAlign w:val="center"/>
            <w:hideMark/>
          </w:tcPr>
          <w:p w14:paraId="6DDCFCB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3.11 </w:t>
            </w:r>
          </w:p>
        </w:tc>
        <w:tc>
          <w:tcPr>
            <w:tcW w:w="411" w:type="pct"/>
            <w:tcBorders>
              <w:top w:val="nil"/>
              <w:left w:val="nil"/>
              <w:bottom w:val="single" w:sz="4" w:space="0" w:color="auto"/>
              <w:right w:val="single" w:sz="4" w:space="0" w:color="auto"/>
            </w:tcBorders>
            <w:shd w:val="clear" w:color="auto" w:fill="auto"/>
            <w:vAlign w:val="center"/>
            <w:hideMark/>
          </w:tcPr>
          <w:p w14:paraId="51D7901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14.10 </w:t>
            </w:r>
          </w:p>
        </w:tc>
        <w:tc>
          <w:tcPr>
            <w:tcW w:w="346" w:type="pct"/>
            <w:tcBorders>
              <w:top w:val="nil"/>
              <w:left w:val="nil"/>
              <w:bottom w:val="single" w:sz="4" w:space="0" w:color="auto"/>
              <w:right w:val="single" w:sz="4" w:space="0" w:color="auto"/>
            </w:tcBorders>
            <w:shd w:val="clear" w:color="auto" w:fill="auto"/>
            <w:vAlign w:val="center"/>
            <w:hideMark/>
          </w:tcPr>
          <w:p w14:paraId="55BF57DC"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3.48 </w:t>
            </w:r>
          </w:p>
        </w:tc>
        <w:tc>
          <w:tcPr>
            <w:tcW w:w="484" w:type="pct"/>
            <w:tcBorders>
              <w:top w:val="nil"/>
              <w:left w:val="nil"/>
              <w:bottom w:val="single" w:sz="4" w:space="0" w:color="auto"/>
              <w:right w:val="single" w:sz="4" w:space="0" w:color="auto"/>
            </w:tcBorders>
            <w:shd w:val="clear" w:color="auto" w:fill="auto"/>
            <w:vAlign w:val="center"/>
            <w:hideMark/>
          </w:tcPr>
          <w:p w14:paraId="289A71C8"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17.91 </w:t>
            </w:r>
          </w:p>
        </w:tc>
        <w:tc>
          <w:tcPr>
            <w:tcW w:w="418" w:type="pct"/>
            <w:tcBorders>
              <w:top w:val="nil"/>
              <w:left w:val="nil"/>
              <w:bottom w:val="single" w:sz="4" w:space="0" w:color="auto"/>
              <w:right w:val="single" w:sz="4" w:space="0" w:color="auto"/>
            </w:tcBorders>
            <w:shd w:val="clear" w:color="auto" w:fill="auto"/>
            <w:vAlign w:val="center"/>
            <w:hideMark/>
          </w:tcPr>
          <w:p w14:paraId="480BDDD9"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3.26 </w:t>
            </w:r>
          </w:p>
        </w:tc>
      </w:tr>
      <w:tr w:rsidR="005F5E39" w:rsidRPr="00776864" w14:paraId="3909C133"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6BDBB0FE"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其中：医疗器械分销</w:t>
            </w:r>
          </w:p>
        </w:tc>
        <w:tc>
          <w:tcPr>
            <w:tcW w:w="325" w:type="pct"/>
            <w:tcBorders>
              <w:top w:val="nil"/>
              <w:left w:val="nil"/>
              <w:bottom w:val="single" w:sz="4" w:space="0" w:color="auto"/>
              <w:right w:val="single" w:sz="4" w:space="0" w:color="auto"/>
            </w:tcBorders>
            <w:shd w:val="clear" w:color="auto" w:fill="auto"/>
            <w:noWrap/>
            <w:vAlign w:val="bottom"/>
            <w:hideMark/>
          </w:tcPr>
          <w:p w14:paraId="6621EC9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3E7F5C6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　</w:t>
            </w:r>
          </w:p>
        </w:tc>
        <w:tc>
          <w:tcPr>
            <w:tcW w:w="386" w:type="pct"/>
            <w:tcBorders>
              <w:top w:val="nil"/>
              <w:left w:val="nil"/>
              <w:bottom w:val="single" w:sz="4" w:space="0" w:color="auto"/>
              <w:right w:val="single" w:sz="4" w:space="0" w:color="auto"/>
            </w:tcBorders>
            <w:shd w:val="clear" w:color="auto" w:fill="auto"/>
            <w:vAlign w:val="center"/>
            <w:hideMark/>
          </w:tcPr>
          <w:p w14:paraId="3709216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256.85 </w:t>
            </w:r>
          </w:p>
        </w:tc>
        <w:tc>
          <w:tcPr>
            <w:tcW w:w="419" w:type="pct"/>
            <w:tcBorders>
              <w:top w:val="nil"/>
              <w:left w:val="nil"/>
              <w:bottom w:val="single" w:sz="4" w:space="0" w:color="auto"/>
              <w:right w:val="single" w:sz="4" w:space="0" w:color="auto"/>
            </w:tcBorders>
            <w:shd w:val="clear" w:color="auto" w:fill="auto"/>
            <w:vAlign w:val="center"/>
            <w:hideMark/>
          </w:tcPr>
          <w:p w14:paraId="74525C07"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11.79 </w:t>
            </w:r>
          </w:p>
        </w:tc>
        <w:tc>
          <w:tcPr>
            <w:tcW w:w="411" w:type="pct"/>
            <w:tcBorders>
              <w:top w:val="nil"/>
              <w:left w:val="nil"/>
              <w:bottom w:val="single" w:sz="4" w:space="0" w:color="auto"/>
              <w:right w:val="single" w:sz="4" w:space="0" w:color="auto"/>
            </w:tcBorders>
            <w:shd w:val="clear" w:color="auto" w:fill="auto"/>
            <w:vAlign w:val="center"/>
            <w:hideMark/>
          </w:tcPr>
          <w:p w14:paraId="16A177ED"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14.39 </w:t>
            </w:r>
          </w:p>
        </w:tc>
        <w:tc>
          <w:tcPr>
            <w:tcW w:w="419" w:type="pct"/>
            <w:tcBorders>
              <w:top w:val="nil"/>
              <w:left w:val="nil"/>
              <w:bottom w:val="single" w:sz="4" w:space="0" w:color="auto"/>
              <w:right w:val="single" w:sz="4" w:space="0" w:color="auto"/>
            </w:tcBorders>
            <w:shd w:val="clear" w:color="auto" w:fill="auto"/>
            <w:vAlign w:val="center"/>
            <w:hideMark/>
          </w:tcPr>
          <w:p w14:paraId="4B826A7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FF0000"/>
                <w:kern w:val="0"/>
                <w:sz w:val="11"/>
                <w:szCs w:val="11"/>
              </w:rPr>
              <w:t>(1.01)</w:t>
            </w:r>
          </w:p>
        </w:tc>
        <w:tc>
          <w:tcPr>
            <w:tcW w:w="411" w:type="pct"/>
            <w:tcBorders>
              <w:top w:val="nil"/>
              <w:left w:val="nil"/>
              <w:bottom w:val="single" w:sz="4" w:space="0" w:color="auto"/>
              <w:right w:val="single" w:sz="4" w:space="0" w:color="auto"/>
            </w:tcBorders>
            <w:shd w:val="clear" w:color="auto" w:fill="auto"/>
            <w:vAlign w:val="center"/>
            <w:hideMark/>
          </w:tcPr>
          <w:p w14:paraId="653BD10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36.16 </w:t>
            </w:r>
          </w:p>
        </w:tc>
        <w:tc>
          <w:tcPr>
            <w:tcW w:w="346" w:type="pct"/>
            <w:tcBorders>
              <w:top w:val="nil"/>
              <w:left w:val="nil"/>
              <w:bottom w:val="single" w:sz="4" w:space="0" w:color="auto"/>
              <w:right w:val="single" w:sz="4" w:space="0" w:color="auto"/>
            </w:tcBorders>
            <w:shd w:val="clear" w:color="auto" w:fill="auto"/>
            <w:vAlign w:val="center"/>
            <w:hideMark/>
          </w:tcPr>
          <w:p w14:paraId="42CF5D1A"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1.62 </w:t>
            </w:r>
          </w:p>
        </w:tc>
        <w:tc>
          <w:tcPr>
            <w:tcW w:w="484" w:type="pct"/>
            <w:tcBorders>
              <w:top w:val="nil"/>
              <w:left w:val="nil"/>
              <w:bottom w:val="single" w:sz="4" w:space="0" w:color="auto"/>
              <w:right w:val="single" w:sz="4" w:space="0" w:color="auto"/>
            </w:tcBorders>
            <w:shd w:val="clear" w:color="auto" w:fill="auto"/>
            <w:vAlign w:val="center"/>
            <w:hideMark/>
          </w:tcPr>
          <w:p w14:paraId="28337A93"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33.35 </w:t>
            </w:r>
          </w:p>
        </w:tc>
        <w:tc>
          <w:tcPr>
            <w:tcW w:w="418" w:type="pct"/>
            <w:tcBorders>
              <w:top w:val="nil"/>
              <w:left w:val="nil"/>
              <w:bottom w:val="single" w:sz="4" w:space="0" w:color="auto"/>
              <w:right w:val="single" w:sz="4" w:space="0" w:color="auto"/>
            </w:tcBorders>
            <w:shd w:val="clear" w:color="auto" w:fill="auto"/>
            <w:vAlign w:val="center"/>
            <w:hideMark/>
          </w:tcPr>
          <w:p w14:paraId="59F221DB"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2.01 </w:t>
            </w:r>
          </w:p>
        </w:tc>
      </w:tr>
      <w:tr w:rsidR="005F5E39" w:rsidRPr="00776864" w14:paraId="5FB05A2F" w14:textId="77777777" w:rsidTr="008C6310">
        <w:trPr>
          <w:trHeight w:val="300"/>
        </w:trPr>
        <w:tc>
          <w:tcPr>
            <w:tcW w:w="938" w:type="pct"/>
            <w:tcBorders>
              <w:top w:val="nil"/>
              <w:left w:val="single" w:sz="4" w:space="0" w:color="auto"/>
              <w:bottom w:val="single" w:sz="4" w:space="0" w:color="auto"/>
              <w:right w:val="single" w:sz="4" w:space="0" w:color="auto"/>
            </w:tcBorders>
            <w:shd w:val="clear" w:color="auto" w:fill="auto"/>
            <w:noWrap/>
            <w:vAlign w:val="bottom"/>
            <w:hideMark/>
          </w:tcPr>
          <w:p w14:paraId="464597EB" w14:textId="77777777" w:rsidR="00CA20F0" w:rsidRPr="00CA20F0" w:rsidRDefault="00CA20F0" w:rsidP="00CA20F0">
            <w:pPr>
              <w:widowControl/>
              <w:jc w:val="right"/>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其中：医药分销</w:t>
            </w:r>
          </w:p>
        </w:tc>
        <w:tc>
          <w:tcPr>
            <w:tcW w:w="325" w:type="pct"/>
            <w:tcBorders>
              <w:top w:val="nil"/>
              <w:left w:val="nil"/>
              <w:bottom w:val="single" w:sz="4" w:space="0" w:color="auto"/>
              <w:right w:val="single" w:sz="4" w:space="0" w:color="auto"/>
            </w:tcBorders>
            <w:shd w:val="clear" w:color="auto" w:fill="auto"/>
            <w:vAlign w:val="center"/>
            <w:hideMark/>
          </w:tcPr>
          <w:p w14:paraId="76E1FCC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18.28 </w:t>
            </w:r>
          </w:p>
        </w:tc>
        <w:tc>
          <w:tcPr>
            <w:tcW w:w="443" w:type="pct"/>
            <w:tcBorders>
              <w:top w:val="nil"/>
              <w:left w:val="nil"/>
              <w:bottom w:val="single" w:sz="4" w:space="0" w:color="auto"/>
              <w:right w:val="single" w:sz="4" w:space="0" w:color="auto"/>
            </w:tcBorders>
            <w:shd w:val="clear" w:color="auto" w:fill="auto"/>
            <w:vAlign w:val="center"/>
            <w:hideMark/>
          </w:tcPr>
          <w:p w14:paraId="56AAE8B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2.65 </w:t>
            </w:r>
          </w:p>
        </w:tc>
        <w:tc>
          <w:tcPr>
            <w:tcW w:w="386" w:type="pct"/>
            <w:tcBorders>
              <w:top w:val="nil"/>
              <w:left w:val="nil"/>
              <w:bottom w:val="single" w:sz="4" w:space="0" w:color="auto"/>
              <w:right w:val="single" w:sz="4" w:space="0" w:color="auto"/>
            </w:tcBorders>
            <w:shd w:val="clear" w:color="auto" w:fill="auto"/>
            <w:vAlign w:val="center"/>
            <w:hideMark/>
          </w:tcPr>
          <w:p w14:paraId="75AE4B2E"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14.30 </w:t>
            </w:r>
          </w:p>
        </w:tc>
        <w:tc>
          <w:tcPr>
            <w:tcW w:w="419" w:type="pct"/>
            <w:tcBorders>
              <w:top w:val="nil"/>
              <w:left w:val="nil"/>
              <w:bottom w:val="single" w:sz="4" w:space="0" w:color="auto"/>
              <w:right w:val="single" w:sz="4" w:space="0" w:color="auto"/>
            </w:tcBorders>
            <w:shd w:val="clear" w:color="auto" w:fill="auto"/>
            <w:vAlign w:val="center"/>
            <w:hideMark/>
          </w:tcPr>
          <w:p w14:paraId="3A872556"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2.88 </w:t>
            </w:r>
          </w:p>
        </w:tc>
        <w:tc>
          <w:tcPr>
            <w:tcW w:w="411" w:type="pct"/>
            <w:tcBorders>
              <w:top w:val="nil"/>
              <w:left w:val="nil"/>
              <w:bottom w:val="single" w:sz="4" w:space="0" w:color="auto"/>
              <w:right w:val="single" w:sz="4" w:space="0" w:color="auto"/>
            </w:tcBorders>
            <w:shd w:val="clear" w:color="auto" w:fill="auto"/>
            <w:vAlign w:val="center"/>
            <w:hideMark/>
          </w:tcPr>
          <w:p w14:paraId="6DB0375F"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16.94 </w:t>
            </w:r>
          </w:p>
        </w:tc>
        <w:tc>
          <w:tcPr>
            <w:tcW w:w="419" w:type="pct"/>
            <w:tcBorders>
              <w:top w:val="nil"/>
              <w:left w:val="nil"/>
              <w:bottom w:val="single" w:sz="4" w:space="0" w:color="auto"/>
              <w:right w:val="single" w:sz="4" w:space="0" w:color="auto"/>
            </w:tcBorders>
            <w:shd w:val="clear" w:color="auto" w:fill="auto"/>
            <w:vAlign w:val="center"/>
            <w:hideMark/>
          </w:tcPr>
          <w:p w14:paraId="1C491D4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3.15 </w:t>
            </w:r>
          </w:p>
        </w:tc>
        <w:tc>
          <w:tcPr>
            <w:tcW w:w="411" w:type="pct"/>
            <w:tcBorders>
              <w:top w:val="nil"/>
              <w:left w:val="nil"/>
              <w:bottom w:val="single" w:sz="4" w:space="0" w:color="auto"/>
              <w:right w:val="single" w:sz="4" w:space="0" w:color="auto"/>
            </w:tcBorders>
            <w:shd w:val="clear" w:color="auto" w:fill="auto"/>
            <w:vAlign w:val="center"/>
            <w:hideMark/>
          </w:tcPr>
          <w:p w14:paraId="3BF486F4"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12.42 </w:t>
            </w:r>
          </w:p>
        </w:tc>
        <w:tc>
          <w:tcPr>
            <w:tcW w:w="346" w:type="pct"/>
            <w:tcBorders>
              <w:top w:val="nil"/>
              <w:left w:val="nil"/>
              <w:bottom w:val="single" w:sz="4" w:space="0" w:color="auto"/>
              <w:right w:val="single" w:sz="4" w:space="0" w:color="auto"/>
            </w:tcBorders>
            <w:shd w:val="clear" w:color="auto" w:fill="auto"/>
            <w:vAlign w:val="center"/>
            <w:hideMark/>
          </w:tcPr>
          <w:p w14:paraId="2EEA22E5"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3.46 </w:t>
            </w:r>
          </w:p>
        </w:tc>
        <w:tc>
          <w:tcPr>
            <w:tcW w:w="484" w:type="pct"/>
            <w:tcBorders>
              <w:top w:val="nil"/>
              <w:left w:val="nil"/>
              <w:bottom w:val="single" w:sz="4" w:space="0" w:color="auto"/>
              <w:right w:val="single" w:sz="4" w:space="0" w:color="auto"/>
            </w:tcBorders>
            <w:shd w:val="clear" w:color="auto" w:fill="auto"/>
            <w:vAlign w:val="center"/>
            <w:hideMark/>
          </w:tcPr>
          <w:p w14:paraId="67498661" w14:textId="77777777" w:rsidR="00CA20F0" w:rsidRPr="00CA20F0" w:rsidRDefault="00CA20F0" w:rsidP="00CA20F0">
            <w:pPr>
              <w:widowControl/>
              <w:jc w:val="center"/>
              <w:rPr>
                <w:rFonts w:ascii="微软雅黑" w:eastAsia="微软雅黑" w:hAnsi="微软雅黑" w:cs="宋体"/>
                <w:color w:val="000000"/>
                <w:kern w:val="0"/>
                <w:sz w:val="11"/>
                <w:szCs w:val="11"/>
              </w:rPr>
            </w:pPr>
            <w:r w:rsidRPr="00CA20F0">
              <w:rPr>
                <w:rFonts w:ascii="微软雅黑" w:eastAsia="微软雅黑" w:hAnsi="微软雅黑" w:cs="宋体" w:hint="eastAsia"/>
                <w:color w:val="000000"/>
                <w:kern w:val="0"/>
                <w:sz w:val="11"/>
                <w:szCs w:val="11"/>
              </w:rPr>
              <w:t xml:space="preserve">17.06 </w:t>
            </w:r>
          </w:p>
        </w:tc>
        <w:tc>
          <w:tcPr>
            <w:tcW w:w="418" w:type="pct"/>
            <w:tcBorders>
              <w:top w:val="nil"/>
              <w:left w:val="nil"/>
              <w:bottom w:val="single" w:sz="4" w:space="0" w:color="auto"/>
              <w:right w:val="single" w:sz="4" w:space="0" w:color="auto"/>
            </w:tcBorders>
            <w:shd w:val="clear" w:color="auto" w:fill="auto"/>
            <w:vAlign w:val="center"/>
            <w:hideMark/>
          </w:tcPr>
          <w:p w14:paraId="0AB51341" w14:textId="62FF231E" w:rsidR="00CA20F0" w:rsidRPr="00584479" w:rsidRDefault="00CA20F0" w:rsidP="00584479">
            <w:pPr>
              <w:pStyle w:val="a3"/>
              <w:widowControl/>
              <w:numPr>
                <w:ilvl w:val="1"/>
                <w:numId w:val="4"/>
              </w:numPr>
              <w:ind w:firstLineChars="0"/>
              <w:jc w:val="center"/>
              <w:rPr>
                <w:rFonts w:ascii="微软雅黑" w:eastAsia="微软雅黑" w:hAnsi="微软雅黑" w:cs="宋体"/>
                <w:color w:val="000000"/>
                <w:kern w:val="0"/>
                <w:sz w:val="11"/>
                <w:szCs w:val="11"/>
              </w:rPr>
            </w:pPr>
          </w:p>
        </w:tc>
      </w:tr>
    </w:tbl>
    <w:p w14:paraId="4F385869" w14:textId="7EEA9C2E" w:rsidR="00F9627B" w:rsidRPr="00241FED" w:rsidRDefault="00F63D41" w:rsidP="004845E8">
      <w:pPr>
        <w:pStyle w:val="1"/>
        <w:spacing w:before="0" w:after="0" w:line="240" w:lineRule="auto"/>
        <w:rPr>
          <w:rFonts w:ascii="楷体" w:eastAsia="楷体" w:hAnsi="楷体"/>
          <w:sz w:val="28"/>
          <w:szCs w:val="28"/>
        </w:rPr>
      </w:pPr>
      <w:r>
        <w:rPr>
          <w:rFonts w:ascii="楷体" w:eastAsia="楷体" w:hAnsi="楷体" w:hint="eastAsia"/>
          <w:sz w:val="28"/>
          <w:szCs w:val="28"/>
        </w:rPr>
        <w:t>2.</w:t>
      </w:r>
      <w:r w:rsidR="00F9627B" w:rsidRPr="00241FED">
        <w:rPr>
          <w:rFonts w:ascii="楷体" w:eastAsia="楷体" w:hAnsi="楷体" w:hint="eastAsia"/>
          <w:sz w:val="28"/>
          <w:szCs w:val="28"/>
        </w:rPr>
        <w:t>细分</w:t>
      </w:r>
      <w:r w:rsidR="004845E8">
        <w:rPr>
          <w:rFonts w:ascii="楷体" w:eastAsia="楷体" w:hAnsi="楷体" w:hint="eastAsia"/>
          <w:sz w:val="28"/>
          <w:szCs w:val="28"/>
        </w:rPr>
        <w:t>市场</w:t>
      </w:r>
      <w:r w:rsidR="00F9627B" w:rsidRPr="00241FED">
        <w:rPr>
          <w:rFonts w:ascii="楷体" w:eastAsia="楷体" w:hAnsi="楷体" w:hint="eastAsia"/>
          <w:sz w:val="28"/>
          <w:szCs w:val="28"/>
        </w:rPr>
        <w:t>分析</w:t>
      </w:r>
    </w:p>
    <w:p w14:paraId="1F178D7C" w14:textId="398A110D" w:rsidR="00FD2A09" w:rsidRPr="00241FED" w:rsidRDefault="009618E9" w:rsidP="00FB77D1">
      <w:pPr>
        <w:pStyle w:val="2"/>
        <w:spacing w:before="0" w:after="0" w:line="240" w:lineRule="auto"/>
        <w:rPr>
          <w:rFonts w:ascii="楷体" w:eastAsia="楷体" w:hAnsi="楷体"/>
          <w:sz w:val="24"/>
          <w:szCs w:val="24"/>
        </w:rPr>
      </w:pPr>
      <w:r>
        <w:rPr>
          <w:rFonts w:ascii="楷体" w:eastAsia="楷体" w:hAnsi="楷体" w:hint="eastAsia"/>
          <w:sz w:val="24"/>
          <w:szCs w:val="24"/>
        </w:rPr>
        <w:t>2.1</w:t>
      </w:r>
      <w:r>
        <w:rPr>
          <w:rFonts w:ascii="楷体" w:eastAsia="楷体" w:hAnsi="楷体"/>
          <w:sz w:val="24"/>
          <w:szCs w:val="24"/>
        </w:rPr>
        <w:t xml:space="preserve"> </w:t>
      </w:r>
      <w:r w:rsidR="00FD2A09" w:rsidRPr="00241FED">
        <w:rPr>
          <w:rFonts w:ascii="楷体" w:eastAsia="楷体" w:hAnsi="楷体" w:hint="eastAsia"/>
          <w:sz w:val="24"/>
          <w:szCs w:val="24"/>
        </w:rPr>
        <w:t>化</w:t>
      </w:r>
      <w:proofErr w:type="gramStart"/>
      <w:r w:rsidR="00FD2A09" w:rsidRPr="00241FED">
        <w:rPr>
          <w:rFonts w:ascii="楷体" w:eastAsia="楷体" w:hAnsi="楷体" w:hint="eastAsia"/>
          <w:sz w:val="24"/>
          <w:szCs w:val="24"/>
        </w:rPr>
        <w:t>药产业</w:t>
      </w:r>
      <w:proofErr w:type="gramEnd"/>
      <w:r w:rsidR="00FD2A09" w:rsidRPr="00241FED">
        <w:rPr>
          <w:rFonts w:ascii="楷体" w:eastAsia="楷体" w:hAnsi="楷体" w:hint="eastAsia"/>
          <w:sz w:val="24"/>
          <w:szCs w:val="24"/>
        </w:rPr>
        <w:t>价值链</w:t>
      </w:r>
    </w:p>
    <w:p w14:paraId="36D6832F" w14:textId="028ADC25" w:rsidR="002B0304" w:rsidRPr="00661CAD" w:rsidRDefault="00661CAD" w:rsidP="00661CAD">
      <w:pPr>
        <w:pStyle w:val="a3"/>
        <w:ind w:left="732" w:firstLineChars="0" w:firstLine="0"/>
        <w:jc w:val="center"/>
        <w:rPr>
          <w:rFonts w:ascii="楷体" w:eastAsia="楷体" w:hAnsi="楷体"/>
          <w:sz w:val="18"/>
          <w:szCs w:val="20"/>
        </w:rPr>
      </w:pPr>
      <w:r>
        <w:rPr>
          <w:noProof/>
        </w:rPr>
        <w:drawing>
          <wp:inline distT="0" distB="0" distL="0" distR="0" wp14:anchorId="242C1677" wp14:editId="78B0BEFF">
            <wp:extent cx="4519840" cy="9585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1981" cy="961091"/>
                    </a:xfrm>
                    <a:prstGeom prst="rect">
                      <a:avLst/>
                    </a:prstGeom>
                  </pic:spPr>
                </pic:pic>
              </a:graphicData>
            </a:graphic>
          </wp:inline>
        </w:drawing>
      </w:r>
    </w:p>
    <w:p w14:paraId="5CAEA2C6" w14:textId="4315EDF2" w:rsidR="00211F95" w:rsidRDefault="00211F95" w:rsidP="005C5AB6">
      <w:pPr>
        <w:pStyle w:val="a3"/>
        <w:ind w:firstLine="360"/>
        <w:rPr>
          <w:rFonts w:ascii="楷体" w:eastAsia="楷体" w:hAnsi="楷体"/>
          <w:sz w:val="18"/>
          <w:szCs w:val="20"/>
        </w:rPr>
      </w:pPr>
      <w:r w:rsidRPr="00D60463">
        <w:rPr>
          <w:rFonts w:ascii="楷体" w:eastAsia="楷体" w:hAnsi="楷体" w:hint="eastAsia"/>
          <w:sz w:val="18"/>
          <w:szCs w:val="20"/>
        </w:rPr>
        <w:t>化学制药行业的毛利率呈现</w:t>
      </w:r>
      <w:r w:rsidR="00EB4ABD" w:rsidRPr="00D60463">
        <w:rPr>
          <w:rFonts w:ascii="楷体" w:eastAsia="楷体" w:hAnsi="楷体" w:hint="eastAsia"/>
          <w:sz w:val="18"/>
          <w:szCs w:val="20"/>
        </w:rPr>
        <w:t>从上游到下游递增的趋势，原料药的毛利率低于化学制剂而高于中间体</w:t>
      </w:r>
      <w:r w:rsidR="00EA763B" w:rsidRPr="00D60463">
        <w:rPr>
          <w:rFonts w:ascii="楷体" w:eastAsia="楷体" w:hAnsi="楷体" w:hint="eastAsia"/>
          <w:sz w:val="18"/>
          <w:szCs w:val="20"/>
        </w:rPr>
        <w:t>，越靠近下游原料药，中间体的毛利率越高。</w:t>
      </w:r>
    </w:p>
    <w:p w14:paraId="3B562A2A" w14:textId="5CA17361" w:rsidR="002B0304" w:rsidRPr="00D60463" w:rsidRDefault="002B0304" w:rsidP="00661CAD">
      <w:pPr>
        <w:pStyle w:val="a3"/>
        <w:ind w:left="732"/>
        <w:jc w:val="center"/>
        <w:rPr>
          <w:rFonts w:ascii="楷体" w:eastAsia="楷体" w:hAnsi="楷体"/>
          <w:sz w:val="18"/>
          <w:szCs w:val="20"/>
        </w:rPr>
      </w:pPr>
      <w:r>
        <w:rPr>
          <w:noProof/>
        </w:rPr>
        <w:drawing>
          <wp:inline distT="0" distB="0" distL="0" distR="0" wp14:anchorId="38D43325" wp14:editId="22625845">
            <wp:extent cx="3216108" cy="1283368"/>
            <wp:effectExtent l="0" t="0" r="3810" b="12065"/>
            <wp:docPr id="6" name="图表 6">
              <a:extLst xmlns:a="http://schemas.openxmlformats.org/drawingml/2006/main">
                <a:ext uri="{FF2B5EF4-FFF2-40B4-BE49-F238E27FC236}">
                  <a16:creationId xmlns:a16="http://schemas.microsoft.com/office/drawing/2014/main" id="{C27D7605-B251-4E6F-A20E-901CB57AD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71C803" w14:textId="4EAEEE4F" w:rsidR="00F9627B" w:rsidRPr="00DE3B48" w:rsidRDefault="00134D18" w:rsidP="005A61E0">
      <w:pPr>
        <w:pStyle w:val="3"/>
        <w:spacing w:before="0" w:after="0" w:line="240" w:lineRule="auto"/>
        <w:rPr>
          <w:rFonts w:ascii="楷体" w:eastAsia="楷体" w:hAnsi="楷体"/>
          <w:sz w:val="24"/>
          <w:szCs w:val="24"/>
        </w:rPr>
      </w:pPr>
      <w:r w:rsidRPr="00DE3B48">
        <w:rPr>
          <w:rFonts w:ascii="楷体" w:eastAsia="楷体" w:hAnsi="楷体" w:hint="eastAsia"/>
          <w:sz w:val="22"/>
          <w:szCs w:val="22"/>
        </w:rPr>
        <w:t>2.</w:t>
      </w:r>
      <w:r w:rsidR="005A61E0" w:rsidRPr="00DE3B48">
        <w:rPr>
          <w:rFonts w:ascii="楷体" w:eastAsia="楷体" w:hAnsi="楷体" w:hint="eastAsia"/>
          <w:sz w:val="22"/>
          <w:szCs w:val="22"/>
        </w:rPr>
        <w:t>1.1</w:t>
      </w:r>
      <w:r w:rsidRPr="00DE3B48">
        <w:rPr>
          <w:rFonts w:ascii="楷体" w:eastAsia="楷体" w:hAnsi="楷体"/>
          <w:sz w:val="24"/>
          <w:szCs w:val="24"/>
        </w:rPr>
        <w:t xml:space="preserve"> </w:t>
      </w:r>
      <w:r w:rsidR="00095531" w:rsidRPr="00DE3B48">
        <w:rPr>
          <w:rFonts w:ascii="楷体" w:eastAsia="楷体" w:hAnsi="楷体" w:hint="eastAsia"/>
          <w:sz w:val="22"/>
          <w:szCs w:val="22"/>
        </w:rPr>
        <w:t>原料药</w:t>
      </w:r>
      <w:r w:rsidR="00F9627B" w:rsidRPr="00DE3B48">
        <w:rPr>
          <w:rFonts w:ascii="楷体" w:eastAsia="楷体" w:hAnsi="楷体" w:hint="eastAsia"/>
          <w:sz w:val="22"/>
          <w:szCs w:val="22"/>
        </w:rPr>
        <w:t>市场</w:t>
      </w:r>
      <w:r w:rsidR="008A021B" w:rsidRPr="00DE3B48">
        <w:rPr>
          <w:rFonts w:ascii="楷体" w:eastAsia="楷体" w:hAnsi="楷体" w:hint="eastAsia"/>
          <w:sz w:val="22"/>
          <w:szCs w:val="22"/>
        </w:rPr>
        <w:t>景气周期下行，收入及利润增速下滑</w:t>
      </w:r>
    </w:p>
    <w:p w14:paraId="227E6E5E" w14:textId="2A0D12C7" w:rsidR="00EE16FF" w:rsidRDefault="0079150E" w:rsidP="005C5AB6">
      <w:pPr>
        <w:ind w:firstLineChars="200" w:firstLine="360"/>
        <w:rPr>
          <w:rFonts w:ascii="楷体" w:eastAsia="楷体" w:hAnsi="楷体"/>
          <w:sz w:val="18"/>
          <w:szCs w:val="20"/>
        </w:rPr>
      </w:pPr>
      <w:r w:rsidRPr="007C430F">
        <w:rPr>
          <w:rFonts w:ascii="楷体" w:eastAsia="楷体" w:hAnsi="楷体" w:hint="eastAsia"/>
          <w:sz w:val="18"/>
          <w:szCs w:val="20"/>
        </w:rPr>
        <w:t>国内原料药行业短期正处于景气周期下行趋势、单价下降导致收入与利润的</w:t>
      </w:r>
      <w:proofErr w:type="gramStart"/>
      <w:r w:rsidRPr="007C430F">
        <w:rPr>
          <w:rFonts w:ascii="楷体" w:eastAsia="楷体" w:hAnsi="楷体" w:hint="eastAsia"/>
          <w:sz w:val="18"/>
          <w:szCs w:val="20"/>
        </w:rPr>
        <w:t>增速短期</w:t>
      </w:r>
      <w:proofErr w:type="gramEnd"/>
      <w:r w:rsidRPr="007C430F">
        <w:rPr>
          <w:rFonts w:ascii="楷体" w:eastAsia="楷体" w:hAnsi="楷体" w:hint="eastAsia"/>
          <w:sz w:val="18"/>
          <w:szCs w:val="20"/>
        </w:rPr>
        <w:t>呈下滑态势</w:t>
      </w:r>
      <w:r w:rsidR="007C430F" w:rsidRPr="007C430F">
        <w:rPr>
          <w:rFonts w:ascii="楷体" w:eastAsia="楷体" w:hAnsi="楷体" w:hint="eastAsia"/>
          <w:sz w:val="18"/>
          <w:szCs w:val="20"/>
        </w:rPr>
        <w:t>。</w:t>
      </w:r>
    </w:p>
    <w:p w14:paraId="529625F2" w14:textId="6E23D7C4" w:rsidR="00F30CCF" w:rsidRPr="00F656E6" w:rsidRDefault="00F30CCF" w:rsidP="00F656E6">
      <w:pPr>
        <w:ind w:firstLineChars="600" w:firstLine="964"/>
        <w:jc w:val="left"/>
        <w:rPr>
          <w:rFonts w:ascii="楷体" w:eastAsia="楷体" w:hAnsi="楷体" w:hint="eastAsia"/>
          <w:b/>
          <w:bCs/>
          <w:sz w:val="16"/>
          <w:szCs w:val="18"/>
        </w:rPr>
      </w:pPr>
      <w:r w:rsidRPr="00F656E6">
        <w:rPr>
          <w:rFonts w:ascii="楷体" w:eastAsia="楷体" w:hAnsi="楷体" w:hint="eastAsia"/>
          <w:b/>
          <w:bCs/>
          <w:sz w:val="16"/>
          <w:szCs w:val="18"/>
        </w:rPr>
        <w:t>2</w:t>
      </w:r>
      <w:r w:rsidRPr="00F656E6">
        <w:rPr>
          <w:rFonts w:ascii="楷体" w:eastAsia="楷体" w:hAnsi="楷体"/>
          <w:b/>
          <w:bCs/>
          <w:sz w:val="16"/>
          <w:szCs w:val="18"/>
        </w:rPr>
        <w:t>014-2018</w:t>
      </w:r>
      <w:r w:rsidRPr="00F656E6">
        <w:rPr>
          <w:rFonts w:ascii="楷体" w:eastAsia="楷体" w:hAnsi="楷体" w:hint="eastAsia"/>
          <w:b/>
          <w:bCs/>
          <w:sz w:val="16"/>
          <w:szCs w:val="18"/>
        </w:rPr>
        <w:t>年原料药市场规模</w:t>
      </w:r>
      <w:r w:rsidR="00F656E6">
        <w:rPr>
          <w:rFonts w:ascii="楷体" w:eastAsia="楷体" w:hAnsi="楷体" w:hint="eastAsia"/>
          <w:b/>
          <w:bCs/>
          <w:sz w:val="16"/>
          <w:szCs w:val="18"/>
        </w:rPr>
        <w:t xml:space="preserve"> </w:t>
      </w:r>
      <w:r w:rsidR="00F656E6">
        <w:rPr>
          <w:rFonts w:ascii="楷体" w:eastAsia="楷体" w:hAnsi="楷体"/>
          <w:b/>
          <w:bCs/>
          <w:sz w:val="16"/>
          <w:szCs w:val="18"/>
        </w:rPr>
        <w:t xml:space="preserve">                      </w:t>
      </w:r>
      <w:r w:rsidR="00F656E6">
        <w:rPr>
          <w:rFonts w:ascii="楷体" w:eastAsia="楷体" w:hAnsi="楷体" w:hint="eastAsia"/>
          <w:b/>
          <w:bCs/>
          <w:sz w:val="16"/>
          <w:szCs w:val="18"/>
        </w:rPr>
        <w:t>2014-2018年原料药市场毛利率及净利率</w:t>
      </w:r>
    </w:p>
    <w:p w14:paraId="3004B772" w14:textId="6FF80187" w:rsidR="00F3352B" w:rsidRPr="00D60463" w:rsidRDefault="00F30CCF" w:rsidP="00D60463">
      <w:pPr>
        <w:pStyle w:val="a3"/>
        <w:ind w:left="732" w:firstLineChars="0" w:firstLine="0"/>
        <w:jc w:val="center"/>
        <w:rPr>
          <w:rFonts w:ascii="楷体" w:eastAsia="楷体" w:hAnsi="楷体"/>
          <w:sz w:val="18"/>
          <w:szCs w:val="20"/>
        </w:rPr>
      </w:pPr>
      <w:r>
        <w:rPr>
          <w:noProof/>
        </w:rPr>
        <w:drawing>
          <wp:anchor distT="0" distB="0" distL="114300" distR="114300" simplePos="0" relativeHeight="251666432" behindDoc="0" locked="0" layoutInCell="1" allowOverlap="1" wp14:anchorId="185F7F26" wp14:editId="6E7217EF">
            <wp:simplePos x="0" y="0"/>
            <wp:positionH relativeFrom="column">
              <wp:posOffset>2863182</wp:posOffset>
            </wp:positionH>
            <wp:positionV relativeFrom="paragraph">
              <wp:posOffset>61862</wp:posOffset>
            </wp:positionV>
            <wp:extent cx="2165684" cy="1367589"/>
            <wp:effectExtent l="0" t="0" r="6350" b="4445"/>
            <wp:wrapNone/>
            <wp:docPr id="1" name="图表 1">
              <a:extLst xmlns:a="http://schemas.openxmlformats.org/drawingml/2006/main">
                <a:ext uri="{FF2B5EF4-FFF2-40B4-BE49-F238E27FC236}">
                  <a16:creationId xmlns:a16="http://schemas.microsoft.com/office/drawing/2014/main" id="{DE96B20F-A31D-4EA9-985B-8103AC79C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8410FF">
        <w:rPr>
          <w:noProof/>
        </w:rPr>
        <w:drawing>
          <wp:anchor distT="0" distB="0" distL="114300" distR="114300" simplePos="0" relativeHeight="251658240" behindDoc="0" locked="0" layoutInCell="1" allowOverlap="1" wp14:anchorId="67985804" wp14:editId="3AE0FB83">
            <wp:simplePos x="0" y="0"/>
            <wp:positionH relativeFrom="column">
              <wp:posOffset>344070</wp:posOffset>
            </wp:positionH>
            <wp:positionV relativeFrom="paragraph">
              <wp:posOffset>41910</wp:posOffset>
            </wp:positionV>
            <wp:extent cx="2370221" cy="1427647"/>
            <wp:effectExtent l="0" t="0" r="11430" b="1270"/>
            <wp:wrapNone/>
            <wp:docPr id="9" name="图表 9">
              <a:extLst xmlns:a="http://schemas.openxmlformats.org/drawingml/2006/main">
                <a:ext uri="{FF2B5EF4-FFF2-40B4-BE49-F238E27FC236}">
                  <a16:creationId xmlns:a16="http://schemas.microsoft.com/office/drawing/2014/main" id="{02D15653-D192-4D93-9798-63FF3F1416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6AE19795" w14:textId="1867EE4C" w:rsidR="00A61C05" w:rsidRPr="00D60463" w:rsidRDefault="00A61C05" w:rsidP="00D60463">
      <w:pPr>
        <w:pStyle w:val="a3"/>
        <w:ind w:left="732" w:firstLineChars="0" w:firstLine="0"/>
        <w:jc w:val="center"/>
        <w:rPr>
          <w:rFonts w:ascii="楷体" w:eastAsia="楷体" w:hAnsi="楷体"/>
          <w:sz w:val="18"/>
          <w:szCs w:val="20"/>
        </w:rPr>
      </w:pPr>
    </w:p>
    <w:p w14:paraId="7292D1EF" w14:textId="77777777" w:rsidR="0079150E" w:rsidRPr="00D60463" w:rsidRDefault="0079150E" w:rsidP="00D60463">
      <w:pPr>
        <w:pStyle w:val="a3"/>
        <w:ind w:left="732" w:firstLineChars="0" w:firstLine="0"/>
        <w:rPr>
          <w:rFonts w:ascii="楷体" w:eastAsia="楷体" w:hAnsi="楷体"/>
          <w:sz w:val="18"/>
          <w:szCs w:val="20"/>
        </w:rPr>
      </w:pPr>
    </w:p>
    <w:p w14:paraId="6601068D" w14:textId="6A966CF2" w:rsidR="00A61C05" w:rsidRDefault="00A61C05" w:rsidP="00D60463">
      <w:pPr>
        <w:pStyle w:val="a3"/>
        <w:ind w:left="732" w:firstLineChars="0" w:firstLine="0"/>
        <w:jc w:val="center"/>
        <w:rPr>
          <w:rFonts w:ascii="楷体" w:eastAsia="楷体" w:hAnsi="楷体"/>
          <w:sz w:val="18"/>
          <w:szCs w:val="20"/>
        </w:rPr>
      </w:pPr>
    </w:p>
    <w:p w14:paraId="27DE7807" w14:textId="496C1D57" w:rsidR="008410FF" w:rsidRDefault="008410FF" w:rsidP="00D60463">
      <w:pPr>
        <w:pStyle w:val="a3"/>
        <w:ind w:left="732" w:firstLineChars="0" w:firstLine="0"/>
        <w:jc w:val="center"/>
        <w:rPr>
          <w:rFonts w:ascii="楷体" w:eastAsia="楷体" w:hAnsi="楷体"/>
          <w:sz w:val="18"/>
          <w:szCs w:val="20"/>
        </w:rPr>
      </w:pPr>
    </w:p>
    <w:p w14:paraId="53AE5EE2" w14:textId="637ADA7E" w:rsidR="008410FF" w:rsidRDefault="008410FF" w:rsidP="00D60463">
      <w:pPr>
        <w:pStyle w:val="a3"/>
        <w:ind w:left="732" w:firstLineChars="0" w:firstLine="0"/>
        <w:jc w:val="center"/>
        <w:rPr>
          <w:rFonts w:ascii="楷体" w:eastAsia="楷体" w:hAnsi="楷体"/>
          <w:sz w:val="18"/>
          <w:szCs w:val="20"/>
        </w:rPr>
      </w:pPr>
    </w:p>
    <w:p w14:paraId="27CCCD50" w14:textId="68C0E12F" w:rsidR="008410FF" w:rsidRDefault="008410FF" w:rsidP="00F93E29">
      <w:pPr>
        <w:rPr>
          <w:rFonts w:ascii="楷体" w:eastAsia="楷体" w:hAnsi="楷体"/>
          <w:sz w:val="18"/>
          <w:szCs w:val="20"/>
        </w:rPr>
      </w:pPr>
    </w:p>
    <w:p w14:paraId="4A8BB851" w14:textId="77777777" w:rsidR="00F93E29" w:rsidRPr="00F93E29" w:rsidRDefault="00F93E29" w:rsidP="00F93E29">
      <w:pPr>
        <w:rPr>
          <w:rFonts w:ascii="楷体" w:eastAsia="楷体" w:hAnsi="楷体"/>
          <w:sz w:val="18"/>
          <w:szCs w:val="20"/>
        </w:rPr>
      </w:pPr>
    </w:p>
    <w:p w14:paraId="1BA2EF50" w14:textId="3674D240" w:rsidR="00F13529" w:rsidRPr="00DE3B48" w:rsidRDefault="00DE3B48" w:rsidP="00DE3B48">
      <w:pPr>
        <w:pStyle w:val="3"/>
        <w:spacing w:before="0" w:after="0" w:line="240" w:lineRule="auto"/>
        <w:rPr>
          <w:rFonts w:ascii="楷体" w:eastAsia="楷体" w:hAnsi="楷体"/>
          <w:sz w:val="22"/>
          <w:szCs w:val="22"/>
        </w:rPr>
      </w:pPr>
      <w:r w:rsidRPr="00DE3B48">
        <w:rPr>
          <w:rFonts w:ascii="楷体" w:eastAsia="楷体" w:hAnsi="楷体" w:hint="eastAsia"/>
          <w:sz w:val="22"/>
          <w:szCs w:val="22"/>
        </w:rPr>
        <w:t>2.1.2</w:t>
      </w:r>
      <w:r w:rsidRPr="00DE3B48">
        <w:rPr>
          <w:rFonts w:ascii="楷体" w:eastAsia="楷体" w:hAnsi="楷体"/>
          <w:sz w:val="22"/>
          <w:szCs w:val="22"/>
        </w:rPr>
        <w:t xml:space="preserve"> </w:t>
      </w:r>
      <w:r w:rsidR="00650A94" w:rsidRPr="00DE3B48">
        <w:rPr>
          <w:rFonts w:ascii="楷体" w:eastAsia="楷体" w:hAnsi="楷体" w:hint="eastAsia"/>
          <w:sz w:val="22"/>
          <w:szCs w:val="22"/>
        </w:rPr>
        <w:t>原料药</w:t>
      </w:r>
      <w:r>
        <w:rPr>
          <w:rFonts w:ascii="楷体" w:eastAsia="楷体" w:hAnsi="楷体" w:hint="eastAsia"/>
          <w:sz w:val="22"/>
          <w:szCs w:val="22"/>
        </w:rPr>
        <w:t>仍然具备增长动力</w:t>
      </w:r>
    </w:p>
    <w:p w14:paraId="18AA621F" w14:textId="7477DAC3" w:rsidR="00F13529" w:rsidRPr="00D60463" w:rsidRDefault="00F13529" w:rsidP="005C5AB6">
      <w:pPr>
        <w:pStyle w:val="a3"/>
        <w:ind w:firstLine="360"/>
        <w:rPr>
          <w:rFonts w:ascii="楷体" w:eastAsia="楷体" w:hAnsi="楷体"/>
          <w:sz w:val="18"/>
          <w:szCs w:val="20"/>
        </w:rPr>
      </w:pPr>
      <w:r w:rsidRPr="00DE3B48">
        <w:rPr>
          <w:rFonts w:ascii="楷体" w:eastAsia="楷体" w:hAnsi="楷体"/>
          <w:sz w:val="18"/>
          <w:szCs w:val="20"/>
        </w:rPr>
        <w:t xml:space="preserve">我国作为全球原料药主要生产和出口国之一，原料药市场依靠出口和内需两部分驱动。 出口部分， 2019 年全球原料药市场规模达到 1,822 亿美元， 在人口规模扩张、老龄化趋势加剧和专利悬崖到来共同驱动下，预期未来五年将维持 6.1%的复合增速，同时原料药产能仍在持续由欧美发达国家向发展中国家尤其是中印转移，我国原料药出口规模持续增长；内需部分，我国目前仍是全球人口最多国家且由于我国 45-60 </w:t>
      </w:r>
      <w:proofErr w:type="gramStart"/>
      <w:r w:rsidRPr="00DE3B48">
        <w:rPr>
          <w:rFonts w:ascii="楷体" w:eastAsia="楷体" w:hAnsi="楷体"/>
          <w:sz w:val="18"/>
          <w:szCs w:val="20"/>
        </w:rPr>
        <w:t>岁人口高</w:t>
      </w:r>
      <w:proofErr w:type="gramEnd"/>
      <w:r w:rsidRPr="00DE3B48">
        <w:rPr>
          <w:rFonts w:ascii="楷体" w:eastAsia="楷体" w:hAnsi="楷体"/>
          <w:sz w:val="18"/>
          <w:szCs w:val="20"/>
        </w:rPr>
        <w:t>占比的人口结构，未来老龄化人口比例将迅速攀升，据世界银行预计， 2050 年中国 65 岁及以上人口比例将达到 26%大人口基数+人口老龄化加剧提升医疗卫生需求，原料药市场内需增加，此外，随着</w:t>
      </w:r>
      <w:proofErr w:type="gramStart"/>
      <w:r w:rsidRPr="00DE3B48">
        <w:rPr>
          <w:rFonts w:ascii="楷体" w:eastAsia="楷体" w:hAnsi="楷体"/>
          <w:sz w:val="18"/>
          <w:szCs w:val="20"/>
        </w:rPr>
        <w:t>医</w:t>
      </w:r>
      <w:proofErr w:type="gramEnd"/>
      <w:r w:rsidRPr="00DE3B48">
        <w:rPr>
          <w:rFonts w:ascii="楷体" w:eastAsia="楷体" w:hAnsi="楷体"/>
          <w:sz w:val="18"/>
          <w:szCs w:val="20"/>
        </w:rPr>
        <w:t>保目录覆盖品种数量增加、调整常态化及药品集采的推进用药负担整体减小，药品可及性增加，用药</w:t>
      </w:r>
      <w:r w:rsidRPr="00DE3B48">
        <w:rPr>
          <w:rFonts w:ascii="楷体" w:eastAsia="楷体" w:hAnsi="楷体"/>
          <w:sz w:val="18"/>
          <w:szCs w:val="20"/>
        </w:rPr>
        <w:lastRenderedPageBreak/>
        <w:t>需求逐步被满足，更多疗效确切品种实现迅速放量，从而拉动原料药放量。在出口推动叠加内需增加下我国原料药行业增长具备长期动力。</w:t>
      </w:r>
    </w:p>
    <w:p w14:paraId="61DAA6C3" w14:textId="5AF5989A" w:rsidR="001F301E" w:rsidRPr="005C5AB6" w:rsidRDefault="001F68AA" w:rsidP="005C5AB6">
      <w:pPr>
        <w:pStyle w:val="3"/>
        <w:spacing w:before="0" w:after="0" w:line="240" w:lineRule="auto"/>
        <w:rPr>
          <w:rFonts w:ascii="楷体" w:eastAsia="楷体" w:hAnsi="楷体"/>
          <w:sz w:val="22"/>
          <w:szCs w:val="22"/>
        </w:rPr>
      </w:pPr>
      <w:r w:rsidRPr="005C5AB6">
        <w:rPr>
          <w:rFonts w:ascii="楷体" w:eastAsia="楷体" w:hAnsi="楷体" w:hint="eastAsia"/>
          <w:sz w:val="22"/>
          <w:szCs w:val="22"/>
        </w:rPr>
        <w:t>2.1.3</w:t>
      </w:r>
      <w:r w:rsidRPr="005C5AB6">
        <w:rPr>
          <w:rFonts w:ascii="楷体" w:eastAsia="楷体" w:hAnsi="楷体"/>
          <w:sz w:val="22"/>
          <w:szCs w:val="22"/>
        </w:rPr>
        <w:t xml:space="preserve"> </w:t>
      </w:r>
      <w:r w:rsidRPr="005C5AB6">
        <w:rPr>
          <w:rFonts w:ascii="楷体" w:eastAsia="楷体" w:hAnsi="楷体" w:hint="eastAsia"/>
          <w:sz w:val="22"/>
          <w:szCs w:val="22"/>
        </w:rPr>
        <w:t>国内优质原料药企业迎来黄金发展期</w:t>
      </w:r>
    </w:p>
    <w:p w14:paraId="4E3C9B6F" w14:textId="77777777" w:rsidR="003A536C" w:rsidRPr="001620F1" w:rsidRDefault="001F301E" w:rsidP="003A536C">
      <w:pPr>
        <w:ind w:firstLineChars="200" w:firstLine="360"/>
        <w:rPr>
          <w:rFonts w:ascii="楷体" w:eastAsia="楷体" w:hAnsi="楷体"/>
          <w:sz w:val="18"/>
          <w:szCs w:val="18"/>
        </w:rPr>
      </w:pPr>
      <w:r w:rsidRPr="001620F1">
        <w:rPr>
          <w:rFonts w:ascii="楷体" w:eastAsia="楷体" w:hAnsi="楷体"/>
          <w:sz w:val="18"/>
          <w:szCs w:val="18"/>
        </w:rPr>
        <w:t xml:space="preserve">环保收紧提升行业壁垒，国内优质原料药企业迎来黄金发展期： </w:t>
      </w:r>
      <w:r w:rsidR="00342455" w:rsidRPr="001620F1">
        <w:rPr>
          <w:rFonts w:ascii="楷体" w:eastAsia="楷体" w:hAnsi="楷体"/>
          <w:sz w:val="18"/>
          <w:szCs w:val="18"/>
        </w:rPr>
        <w:t xml:space="preserve">原料药属于重污染行业，生产过程涉及大量化学反应，产生的废水、废气、废渣量大且成分复杂，处理存在一定难度，是环保核查重点对象。 </w:t>
      </w:r>
      <w:r w:rsidRPr="001620F1">
        <w:rPr>
          <w:rFonts w:ascii="楷体" w:eastAsia="楷体" w:hAnsi="楷体"/>
          <w:sz w:val="18"/>
          <w:szCs w:val="18"/>
        </w:rPr>
        <w:t>2016 年以来，</w:t>
      </w:r>
      <w:r w:rsidR="00342455" w:rsidRPr="001620F1">
        <w:rPr>
          <w:rFonts w:ascii="楷体" w:eastAsia="楷体" w:hAnsi="楷体" w:hint="eastAsia"/>
          <w:sz w:val="18"/>
          <w:szCs w:val="18"/>
        </w:rPr>
        <w:t>由于</w:t>
      </w:r>
      <w:r w:rsidRPr="001620F1">
        <w:rPr>
          <w:rFonts w:ascii="楷体" w:eastAsia="楷体" w:hAnsi="楷体"/>
          <w:sz w:val="18"/>
          <w:szCs w:val="18"/>
        </w:rPr>
        <w:t>环保持续收紧，大量不合</w:t>
      </w:r>
      <w:proofErr w:type="gramStart"/>
      <w:r w:rsidRPr="001620F1">
        <w:rPr>
          <w:rFonts w:ascii="楷体" w:eastAsia="楷体" w:hAnsi="楷体"/>
          <w:sz w:val="18"/>
          <w:szCs w:val="18"/>
        </w:rPr>
        <w:t>规</w:t>
      </w:r>
      <w:proofErr w:type="gramEnd"/>
      <w:r w:rsidRPr="001620F1">
        <w:rPr>
          <w:rFonts w:ascii="楷体" w:eastAsia="楷体" w:hAnsi="楷体"/>
          <w:sz w:val="18"/>
          <w:szCs w:val="18"/>
        </w:rPr>
        <w:t>中小企业退出原料药市场，原料药项目审批严格， 同时考虑满足容积率、亩产税收配套环保设施建设等要求及土地成本，完全新建一个原料药工厂投资至少在亿元以上，行业进入壁垒提高，整体竞争格局优化</w:t>
      </w:r>
      <w:r w:rsidR="00342455" w:rsidRPr="001620F1">
        <w:rPr>
          <w:rFonts w:ascii="楷体" w:eastAsia="楷体" w:hAnsi="楷体" w:hint="eastAsia"/>
          <w:sz w:val="18"/>
          <w:szCs w:val="18"/>
        </w:rPr>
        <w:t>。</w:t>
      </w:r>
    </w:p>
    <w:p w14:paraId="16A481E5" w14:textId="26816CEE" w:rsidR="001E1775" w:rsidRPr="001620F1" w:rsidRDefault="00750176" w:rsidP="003A536C">
      <w:pPr>
        <w:ind w:firstLineChars="200" w:firstLine="360"/>
        <w:rPr>
          <w:rFonts w:ascii="楷体" w:eastAsia="楷体" w:hAnsi="楷体"/>
          <w:sz w:val="18"/>
          <w:szCs w:val="18"/>
        </w:rPr>
      </w:pPr>
      <w:r w:rsidRPr="001620F1">
        <w:rPr>
          <w:rFonts w:ascii="楷体" w:eastAsia="楷体" w:hAnsi="楷体" w:hint="eastAsia"/>
          <w:sz w:val="18"/>
          <w:szCs w:val="18"/>
        </w:rPr>
        <w:t>另外，由于政策的影响，原料药在产业链中的地位提升，</w:t>
      </w:r>
      <w:r w:rsidR="001E1775" w:rsidRPr="001620F1">
        <w:rPr>
          <w:rFonts w:ascii="楷体" w:eastAsia="楷体" w:hAnsi="楷体" w:hint="eastAsia"/>
          <w:sz w:val="18"/>
          <w:szCs w:val="18"/>
        </w:rPr>
        <w:t>原料药上下游议价能力</w:t>
      </w:r>
      <w:r w:rsidRPr="001620F1">
        <w:rPr>
          <w:rFonts w:ascii="楷体" w:eastAsia="楷体" w:hAnsi="楷体" w:hint="eastAsia"/>
          <w:sz w:val="18"/>
          <w:szCs w:val="18"/>
        </w:rPr>
        <w:t>提升</w:t>
      </w:r>
      <w:r w:rsidR="004018A6" w:rsidRPr="001620F1">
        <w:rPr>
          <w:rFonts w:ascii="楷体" w:eastAsia="楷体" w:hAnsi="楷体" w:hint="eastAsia"/>
          <w:sz w:val="18"/>
          <w:szCs w:val="18"/>
        </w:rPr>
        <w:t>：</w:t>
      </w:r>
      <w:proofErr w:type="gramStart"/>
      <w:r w:rsidR="001E1775" w:rsidRPr="001620F1">
        <w:rPr>
          <w:rFonts w:ascii="楷体" w:eastAsia="楷体" w:hAnsi="楷体" w:cs="宋体"/>
          <w:color w:val="000000"/>
          <w:kern w:val="0"/>
          <w:sz w:val="18"/>
          <w:szCs w:val="18"/>
        </w:rPr>
        <w:t>审政策</w:t>
      </w:r>
      <w:proofErr w:type="gramEnd"/>
      <w:r w:rsidR="001E1775" w:rsidRPr="001620F1">
        <w:rPr>
          <w:rFonts w:ascii="楷体" w:eastAsia="楷体" w:hAnsi="楷体" w:cs="宋体"/>
          <w:color w:val="000000"/>
          <w:kern w:val="0"/>
          <w:sz w:val="18"/>
          <w:szCs w:val="18"/>
        </w:rPr>
        <w:t>改革+集采常态化， 成本控制成为仿制</w:t>
      </w:r>
      <w:proofErr w:type="gramStart"/>
      <w:r w:rsidR="001E1775" w:rsidRPr="001620F1">
        <w:rPr>
          <w:rFonts w:ascii="楷体" w:eastAsia="楷体" w:hAnsi="楷体" w:cs="宋体"/>
          <w:color w:val="000000"/>
          <w:kern w:val="0"/>
          <w:sz w:val="18"/>
          <w:szCs w:val="18"/>
        </w:rPr>
        <w:t>药企业</w:t>
      </w:r>
      <w:proofErr w:type="gramEnd"/>
      <w:r w:rsidR="001E1775" w:rsidRPr="001620F1">
        <w:rPr>
          <w:rFonts w:ascii="楷体" w:eastAsia="楷体" w:hAnsi="楷体" w:cs="宋体"/>
          <w:color w:val="000000"/>
          <w:kern w:val="0"/>
          <w:sz w:val="18"/>
          <w:szCs w:val="18"/>
        </w:rPr>
        <w:t>核心竞争力之一，原料药质量直接关系制剂审批且原料药厂商不可随意更换，原料药行业在产业链中地位提升，对优质原料药</w:t>
      </w:r>
      <w:proofErr w:type="gramStart"/>
      <w:r w:rsidR="001E1775" w:rsidRPr="001620F1">
        <w:rPr>
          <w:rFonts w:ascii="楷体" w:eastAsia="楷体" w:hAnsi="楷体" w:cs="宋体"/>
          <w:color w:val="000000"/>
          <w:kern w:val="0"/>
          <w:sz w:val="18"/>
          <w:szCs w:val="18"/>
        </w:rPr>
        <w:t>企需求</w:t>
      </w:r>
      <w:proofErr w:type="gramEnd"/>
      <w:r w:rsidR="001E1775" w:rsidRPr="001620F1">
        <w:rPr>
          <w:rFonts w:ascii="楷体" w:eastAsia="楷体" w:hAnsi="楷体" w:cs="宋体"/>
          <w:color w:val="000000"/>
          <w:kern w:val="0"/>
          <w:sz w:val="18"/>
          <w:szCs w:val="18"/>
        </w:rPr>
        <w:t>增加，而行业长期低迷造成“高质量、低成本、稳供应”优质原料药企稀缺，市场份额持续向现存优质原料药企业集中，同时集</w:t>
      </w:r>
      <w:proofErr w:type="gramStart"/>
      <w:r w:rsidR="001E1775" w:rsidRPr="001620F1">
        <w:rPr>
          <w:rFonts w:ascii="楷体" w:eastAsia="楷体" w:hAnsi="楷体" w:cs="宋体"/>
          <w:color w:val="000000"/>
          <w:kern w:val="0"/>
          <w:sz w:val="18"/>
          <w:szCs w:val="18"/>
        </w:rPr>
        <w:t>采背景</w:t>
      </w:r>
      <w:proofErr w:type="gramEnd"/>
      <w:r w:rsidR="001E1775" w:rsidRPr="001620F1">
        <w:rPr>
          <w:rFonts w:ascii="楷体" w:eastAsia="楷体" w:hAnsi="楷体" w:cs="宋体"/>
          <w:color w:val="000000"/>
          <w:kern w:val="0"/>
          <w:sz w:val="18"/>
          <w:szCs w:val="18"/>
        </w:rPr>
        <w:t>下，疗效优异的新一代药物通过降价实现迅速放量加速对老一代药物替代，拉动相应原料药放量，此部分原料药大多掌握在制剂企业或优质原料药企业手中，优质原料药企业产品有望持续放量。</w:t>
      </w:r>
    </w:p>
    <w:tbl>
      <w:tblPr>
        <w:tblStyle w:val="a6"/>
        <w:tblW w:w="0" w:type="auto"/>
        <w:jc w:val="center"/>
        <w:tblLook w:val="04A0" w:firstRow="1" w:lastRow="0" w:firstColumn="1" w:lastColumn="0" w:noHBand="0" w:noVBand="1"/>
      </w:tblPr>
      <w:tblGrid>
        <w:gridCol w:w="969"/>
        <w:gridCol w:w="2861"/>
        <w:gridCol w:w="4466"/>
      </w:tblGrid>
      <w:tr w:rsidR="00D2463A" w:rsidRPr="00E663C0" w14:paraId="0C57BBB9" w14:textId="77777777" w:rsidTr="00B17145">
        <w:trPr>
          <w:jc w:val="center"/>
        </w:trPr>
        <w:tc>
          <w:tcPr>
            <w:tcW w:w="986" w:type="dxa"/>
            <w:vAlign w:val="center"/>
          </w:tcPr>
          <w:p w14:paraId="2E140FC5" w14:textId="1892825C" w:rsidR="00D2463A" w:rsidRPr="00E663C0" w:rsidRDefault="00D2463A"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时间</w:t>
            </w:r>
          </w:p>
        </w:tc>
        <w:tc>
          <w:tcPr>
            <w:tcW w:w="2977" w:type="dxa"/>
            <w:vAlign w:val="center"/>
          </w:tcPr>
          <w:p w14:paraId="52ADD5B4" w14:textId="10E223ED" w:rsidR="00D2463A" w:rsidRPr="00E663C0" w:rsidRDefault="00D2463A"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政策文件</w:t>
            </w:r>
          </w:p>
        </w:tc>
        <w:tc>
          <w:tcPr>
            <w:tcW w:w="4677" w:type="dxa"/>
            <w:vAlign w:val="center"/>
          </w:tcPr>
          <w:p w14:paraId="71EC2BC3" w14:textId="3597776D" w:rsidR="00D2463A" w:rsidRPr="00E663C0" w:rsidRDefault="00D2463A"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涉及原料药内容</w:t>
            </w:r>
          </w:p>
        </w:tc>
      </w:tr>
      <w:tr w:rsidR="00D2463A" w:rsidRPr="00E663C0" w14:paraId="54A66B7A" w14:textId="77777777" w:rsidTr="00B17145">
        <w:trPr>
          <w:jc w:val="center"/>
        </w:trPr>
        <w:tc>
          <w:tcPr>
            <w:tcW w:w="986" w:type="dxa"/>
            <w:vAlign w:val="center"/>
          </w:tcPr>
          <w:p w14:paraId="1CC960A1" w14:textId="1148084B" w:rsidR="00D2463A" w:rsidRPr="00E663C0" w:rsidRDefault="00D2463A"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2010/7</w:t>
            </w:r>
          </w:p>
        </w:tc>
        <w:tc>
          <w:tcPr>
            <w:tcW w:w="2977" w:type="dxa"/>
            <w:vAlign w:val="center"/>
          </w:tcPr>
          <w:p w14:paraId="748CD1B5" w14:textId="5EC59456" w:rsidR="00D2463A" w:rsidRPr="00E663C0" w:rsidRDefault="0042474E" w:rsidP="00B17145">
            <w:pPr>
              <w:widowControl/>
              <w:rPr>
                <w:rFonts w:ascii="楷体" w:eastAsia="楷体" w:hAnsi="楷体"/>
                <w:sz w:val="13"/>
                <w:szCs w:val="15"/>
              </w:rPr>
            </w:pPr>
            <w:r w:rsidRPr="00E663C0">
              <w:rPr>
                <w:rStyle w:val="fontstyle01"/>
                <w:rFonts w:ascii="楷体" w:eastAsia="楷体" w:hAnsi="楷体" w:hint="default"/>
                <w:sz w:val="13"/>
                <w:szCs w:val="15"/>
              </w:rPr>
              <w:t>《制药工业水污染物排放标准》</w:t>
            </w:r>
          </w:p>
        </w:tc>
        <w:tc>
          <w:tcPr>
            <w:tcW w:w="4677" w:type="dxa"/>
          </w:tcPr>
          <w:p w14:paraId="5956090F" w14:textId="74FD66BF" w:rsidR="00D2463A" w:rsidRPr="008C6310" w:rsidRDefault="008C6310" w:rsidP="00B17145">
            <w:pPr>
              <w:widowControl/>
              <w:rPr>
                <w:rStyle w:val="fontstyle01"/>
                <w:rFonts w:ascii="楷体" w:eastAsia="楷体" w:hAnsi="楷体" w:hint="default"/>
                <w:sz w:val="13"/>
                <w:szCs w:val="15"/>
              </w:rPr>
            </w:pPr>
            <w:r w:rsidRPr="008C6310">
              <w:rPr>
                <w:rStyle w:val="fontstyle01"/>
                <w:rFonts w:ascii="楷体" w:eastAsia="楷体" w:hAnsi="楷体" w:hint="default"/>
                <w:sz w:val="13"/>
                <w:szCs w:val="15"/>
              </w:rPr>
              <w:t>提高原料药行业废水排放标准</w:t>
            </w:r>
          </w:p>
        </w:tc>
      </w:tr>
      <w:tr w:rsidR="00D2463A" w:rsidRPr="00E663C0" w14:paraId="18EB200F" w14:textId="77777777" w:rsidTr="00B17145">
        <w:trPr>
          <w:jc w:val="center"/>
        </w:trPr>
        <w:tc>
          <w:tcPr>
            <w:tcW w:w="986" w:type="dxa"/>
            <w:vAlign w:val="center"/>
          </w:tcPr>
          <w:p w14:paraId="0F75F7CC" w14:textId="2AF5DCE8" w:rsidR="00D2463A" w:rsidRPr="00E663C0" w:rsidRDefault="00D2463A"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2013/9</w:t>
            </w:r>
          </w:p>
        </w:tc>
        <w:tc>
          <w:tcPr>
            <w:tcW w:w="2977" w:type="dxa"/>
            <w:vAlign w:val="center"/>
          </w:tcPr>
          <w:p w14:paraId="3BB003BC" w14:textId="3F040550" w:rsidR="00D2463A" w:rsidRPr="008C6310" w:rsidRDefault="0042474E"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《大气污染防治行动计划》（大气十条）</w:t>
            </w:r>
          </w:p>
        </w:tc>
        <w:tc>
          <w:tcPr>
            <w:tcW w:w="4677" w:type="dxa"/>
          </w:tcPr>
          <w:p w14:paraId="6A8C06BB" w14:textId="291DF122" w:rsidR="00D2463A" w:rsidRPr="008C6310" w:rsidRDefault="008C6310" w:rsidP="00B17145">
            <w:pPr>
              <w:widowControl/>
              <w:rPr>
                <w:rStyle w:val="fontstyle01"/>
                <w:rFonts w:ascii="楷体" w:eastAsia="楷体" w:hAnsi="楷体" w:hint="default"/>
                <w:sz w:val="13"/>
                <w:szCs w:val="15"/>
              </w:rPr>
            </w:pPr>
            <w:r w:rsidRPr="008C6310">
              <w:rPr>
                <w:rStyle w:val="fontstyle01"/>
                <w:rFonts w:ascii="楷体" w:eastAsia="楷体" w:hAnsi="楷体" w:hint="default"/>
                <w:sz w:val="13"/>
                <w:szCs w:val="15"/>
              </w:rPr>
              <w:t>在制药产业聚集区，通过集中建设热电联产机组逐步淘汰分散燃煤锅炉</w:t>
            </w:r>
          </w:p>
        </w:tc>
      </w:tr>
      <w:tr w:rsidR="000F7B13" w:rsidRPr="00E663C0" w14:paraId="395FE48F" w14:textId="77777777" w:rsidTr="00B17145">
        <w:trPr>
          <w:jc w:val="center"/>
        </w:trPr>
        <w:tc>
          <w:tcPr>
            <w:tcW w:w="986" w:type="dxa"/>
            <w:vAlign w:val="center"/>
          </w:tcPr>
          <w:p w14:paraId="3C72938F" w14:textId="71F07325" w:rsidR="000F7B13" w:rsidRPr="00E663C0" w:rsidRDefault="00501B0B"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2015/4</w:t>
            </w:r>
          </w:p>
        </w:tc>
        <w:tc>
          <w:tcPr>
            <w:tcW w:w="2977" w:type="dxa"/>
            <w:vAlign w:val="center"/>
          </w:tcPr>
          <w:p w14:paraId="12939ADC" w14:textId="73CFB310" w:rsidR="000F7B13" w:rsidRPr="00E663C0" w:rsidRDefault="0042474E" w:rsidP="00B17145">
            <w:pPr>
              <w:widowControl/>
              <w:rPr>
                <w:rFonts w:ascii="楷体" w:eastAsia="楷体" w:hAnsi="楷体"/>
                <w:sz w:val="13"/>
                <w:szCs w:val="15"/>
              </w:rPr>
            </w:pPr>
            <w:r w:rsidRPr="00E663C0">
              <w:rPr>
                <w:rStyle w:val="fontstyle01"/>
                <w:rFonts w:ascii="楷体" w:eastAsia="楷体" w:hAnsi="楷体" w:hint="default"/>
                <w:sz w:val="13"/>
                <w:szCs w:val="15"/>
              </w:rPr>
              <w:t>《水污染防治行动计划》（水十条）</w:t>
            </w:r>
          </w:p>
        </w:tc>
        <w:tc>
          <w:tcPr>
            <w:tcW w:w="4677" w:type="dxa"/>
          </w:tcPr>
          <w:p w14:paraId="43A8AF75" w14:textId="3F48347F" w:rsidR="000F7B13" w:rsidRPr="008C6310" w:rsidRDefault="008C6310" w:rsidP="00B17145">
            <w:pPr>
              <w:widowControl/>
              <w:rPr>
                <w:rStyle w:val="fontstyle01"/>
                <w:rFonts w:ascii="楷体" w:eastAsia="楷体" w:hAnsi="楷体" w:hint="default"/>
                <w:sz w:val="13"/>
                <w:szCs w:val="15"/>
              </w:rPr>
            </w:pPr>
            <w:r w:rsidRPr="008C6310">
              <w:rPr>
                <w:rStyle w:val="fontstyle01"/>
                <w:rFonts w:ascii="楷体" w:eastAsia="楷体" w:hAnsi="楷体" w:hint="default"/>
                <w:sz w:val="13"/>
                <w:szCs w:val="15"/>
              </w:rPr>
              <w:t>原料药制造为十大重点整治行业之一</w:t>
            </w:r>
          </w:p>
        </w:tc>
      </w:tr>
      <w:tr w:rsidR="000F7B13" w:rsidRPr="00E663C0" w14:paraId="29E3701F" w14:textId="77777777" w:rsidTr="00B17145">
        <w:trPr>
          <w:jc w:val="center"/>
        </w:trPr>
        <w:tc>
          <w:tcPr>
            <w:tcW w:w="986" w:type="dxa"/>
            <w:vAlign w:val="center"/>
          </w:tcPr>
          <w:p w14:paraId="5DA590E3" w14:textId="3B75B19C" w:rsidR="000F7B13" w:rsidRPr="00E663C0" w:rsidRDefault="00501B0B"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2016/11</w:t>
            </w:r>
          </w:p>
        </w:tc>
        <w:tc>
          <w:tcPr>
            <w:tcW w:w="2977" w:type="dxa"/>
            <w:vAlign w:val="center"/>
          </w:tcPr>
          <w:p w14:paraId="33B437E5" w14:textId="103D11C4" w:rsidR="000F7B13" w:rsidRPr="008C6310" w:rsidRDefault="0042474E"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《医药工业发展规划指南》</w:t>
            </w:r>
          </w:p>
        </w:tc>
        <w:tc>
          <w:tcPr>
            <w:tcW w:w="4677" w:type="dxa"/>
          </w:tcPr>
          <w:p w14:paraId="23D12775" w14:textId="4D7805D5" w:rsidR="000F7B13" w:rsidRPr="008C6310" w:rsidRDefault="008C6310" w:rsidP="00B17145">
            <w:pPr>
              <w:widowControl/>
              <w:rPr>
                <w:rStyle w:val="fontstyle01"/>
                <w:rFonts w:ascii="楷体" w:eastAsia="楷体" w:hAnsi="楷体" w:hint="default"/>
                <w:sz w:val="13"/>
                <w:szCs w:val="15"/>
              </w:rPr>
            </w:pPr>
            <w:r w:rsidRPr="008C6310">
              <w:rPr>
                <w:rStyle w:val="fontstyle01"/>
                <w:rFonts w:ascii="楷体" w:eastAsia="楷体" w:hAnsi="楷体" w:hint="default"/>
                <w:sz w:val="13"/>
                <w:szCs w:val="15"/>
              </w:rPr>
              <w:t>提高化学原料药绿色生产水平</w:t>
            </w:r>
          </w:p>
        </w:tc>
      </w:tr>
      <w:tr w:rsidR="000F7B13" w:rsidRPr="00E663C0" w14:paraId="6C577D9D" w14:textId="77777777" w:rsidTr="00B17145">
        <w:trPr>
          <w:jc w:val="center"/>
        </w:trPr>
        <w:tc>
          <w:tcPr>
            <w:tcW w:w="986" w:type="dxa"/>
            <w:vAlign w:val="center"/>
          </w:tcPr>
          <w:p w14:paraId="5EF101A2" w14:textId="7CE28E6F" w:rsidR="000F7B13" w:rsidRPr="00E663C0" w:rsidRDefault="00501B0B"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2017/10</w:t>
            </w:r>
          </w:p>
        </w:tc>
        <w:tc>
          <w:tcPr>
            <w:tcW w:w="2977" w:type="dxa"/>
            <w:vAlign w:val="center"/>
          </w:tcPr>
          <w:p w14:paraId="5ED881F6" w14:textId="6F6D9EFE" w:rsidR="000F7B13" w:rsidRPr="008C6310" w:rsidRDefault="0042474E"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 xml:space="preserve">《重点流域水污染防治规划（ </w:t>
            </w:r>
            <w:r w:rsidRPr="008C6310">
              <w:rPr>
                <w:rStyle w:val="fontstyle01"/>
                <w:rFonts w:ascii="楷体" w:eastAsia="楷体" w:hint="default"/>
                <w:sz w:val="13"/>
                <w:szCs w:val="15"/>
              </w:rPr>
              <w:t>2016-2020</w:t>
            </w:r>
            <w:r w:rsidRPr="00E663C0">
              <w:rPr>
                <w:rStyle w:val="fontstyle01"/>
                <w:rFonts w:ascii="楷体" w:eastAsia="楷体" w:hAnsi="楷体" w:hint="default"/>
                <w:sz w:val="13"/>
                <w:szCs w:val="15"/>
              </w:rPr>
              <w:t>）》</w:t>
            </w:r>
          </w:p>
        </w:tc>
        <w:tc>
          <w:tcPr>
            <w:tcW w:w="4677" w:type="dxa"/>
          </w:tcPr>
          <w:p w14:paraId="32FE999A" w14:textId="1DB38EEF" w:rsidR="000F7B13" w:rsidRPr="008C6310" w:rsidRDefault="008C6310" w:rsidP="00B17145">
            <w:pPr>
              <w:widowControl/>
              <w:rPr>
                <w:rStyle w:val="fontstyle01"/>
                <w:rFonts w:ascii="楷体" w:eastAsia="楷体" w:hAnsi="楷体" w:hint="default"/>
                <w:sz w:val="13"/>
                <w:szCs w:val="15"/>
              </w:rPr>
            </w:pPr>
            <w:r w:rsidRPr="008C6310">
              <w:rPr>
                <w:rStyle w:val="fontstyle01"/>
                <w:rFonts w:ascii="楷体" w:eastAsia="楷体" w:hAnsi="楷体" w:hint="default"/>
                <w:sz w:val="13"/>
                <w:szCs w:val="15"/>
              </w:rPr>
              <w:t>沿海地区严格控制新建医药项目</w:t>
            </w:r>
          </w:p>
        </w:tc>
      </w:tr>
      <w:tr w:rsidR="000F7B13" w:rsidRPr="00E663C0" w14:paraId="67C76D79" w14:textId="77777777" w:rsidTr="00B17145">
        <w:trPr>
          <w:jc w:val="center"/>
        </w:trPr>
        <w:tc>
          <w:tcPr>
            <w:tcW w:w="986" w:type="dxa"/>
            <w:vAlign w:val="center"/>
          </w:tcPr>
          <w:p w14:paraId="03F4311A" w14:textId="40FE1A4D" w:rsidR="000F7B13" w:rsidRPr="00E663C0" w:rsidRDefault="00501B0B"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2018/1</w:t>
            </w:r>
          </w:p>
        </w:tc>
        <w:tc>
          <w:tcPr>
            <w:tcW w:w="2977" w:type="dxa"/>
            <w:vAlign w:val="center"/>
          </w:tcPr>
          <w:p w14:paraId="4A0C56A3" w14:textId="62CF8CA2" w:rsidR="000F7B13" w:rsidRPr="00B17145" w:rsidRDefault="00634644"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《环境保护税法》</w:t>
            </w:r>
          </w:p>
        </w:tc>
        <w:tc>
          <w:tcPr>
            <w:tcW w:w="4677" w:type="dxa"/>
          </w:tcPr>
          <w:p w14:paraId="56647ACA" w14:textId="6893CEE0" w:rsidR="000F7B13" w:rsidRPr="00B17145" w:rsidRDefault="00B17145" w:rsidP="00B17145">
            <w:pPr>
              <w:widowControl/>
              <w:rPr>
                <w:rStyle w:val="fontstyle01"/>
                <w:rFonts w:ascii="楷体" w:eastAsia="楷体" w:hAnsi="楷体" w:hint="default"/>
                <w:sz w:val="13"/>
                <w:szCs w:val="15"/>
              </w:rPr>
            </w:pPr>
            <w:r w:rsidRPr="00B17145">
              <w:rPr>
                <w:rStyle w:val="fontstyle01"/>
                <w:rFonts w:ascii="楷体" w:eastAsia="楷体" w:hAnsi="楷体" w:hint="default"/>
                <w:sz w:val="13"/>
                <w:szCs w:val="15"/>
              </w:rPr>
              <w:t>正式开征环境保护税</w:t>
            </w:r>
          </w:p>
        </w:tc>
      </w:tr>
      <w:tr w:rsidR="000F7B13" w:rsidRPr="00E663C0" w14:paraId="7DAD47EC" w14:textId="77777777" w:rsidTr="00B17145">
        <w:trPr>
          <w:jc w:val="center"/>
        </w:trPr>
        <w:tc>
          <w:tcPr>
            <w:tcW w:w="986" w:type="dxa"/>
            <w:vAlign w:val="center"/>
          </w:tcPr>
          <w:p w14:paraId="68EB9CC8" w14:textId="7AC8743C" w:rsidR="000F7B13" w:rsidRPr="00E663C0" w:rsidRDefault="00501B0B"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2018/</w:t>
            </w:r>
            <w:r w:rsidR="00634644" w:rsidRPr="00E663C0">
              <w:rPr>
                <w:rFonts w:ascii="楷体" w:eastAsia="楷体" w:hAnsi="楷体" w:hint="eastAsia"/>
                <w:sz w:val="13"/>
                <w:szCs w:val="15"/>
              </w:rPr>
              <w:t>1</w:t>
            </w:r>
          </w:p>
        </w:tc>
        <w:tc>
          <w:tcPr>
            <w:tcW w:w="2977" w:type="dxa"/>
            <w:vAlign w:val="center"/>
          </w:tcPr>
          <w:p w14:paraId="31EA9174" w14:textId="1E3AE8C3" w:rsidR="000F7B13" w:rsidRPr="00E663C0" w:rsidRDefault="00634644" w:rsidP="00B17145">
            <w:pPr>
              <w:widowControl/>
              <w:rPr>
                <w:rFonts w:ascii="楷体" w:eastAsia="楷体" w:hAnsi="楷体"/>
                <w:sz w:val="13"/>
                <w:szCs w:val="15"/>
              </w:rPr>
            </w:pPr>
            <w:r w:rsidRPr="00E663C0">
              <w:rPr>
                <w:rStyle w:val="fontstyle01"/>
                <w:rFonts w:ascii="楷体" w:eastAsia="楷体" w:hAnsi="楷体" w:hint="default"/>
                <w:sz w:val="13"/>
                <w:szCs w:val="15"/>
              </w:rPr>
              <w:t>《排污许可管理办法（试行）》</w:t>
            </w:r>
          </w:p>
        </w:tc>
        <w:tc>
          <w:tcPr>
            <w:tcW w:w="4677" w:type="dxa"/>
          </w:tcPr>
          <w:p w14:paraId="0EDADF18" w14:textId="7F3555F4" w:rsidR="000F7B13" w:rsidRPr="00B17145" w:rsidRDefault="00B17145" w:rsidP="00B17145">
            <w:pPr>
              <w:widowControl/>
              <w:rPr>
                <w:rStyle w:val="fontstyle01"/>
                <w:rFonts w:asciiTheme="minorHAnsi" w:eastAsiaTheme="minorEastAsia" w:hint="default"/>
                <w:color w:val="auto"/>
                <w:sz w:val="21"/>
              </w:rPr>
            </w:pPr>
            <w:r w:rsidRPr="00B17145">
              <w:rPr>
                <w:rStyle w:val="fontstyle01"/>
                <w:rFonts w:ascii="楷体" w:eastAsia="楷体" w:hAnsi="楷体" w:hint="default"/>
                <w:sz w:val="13"/>
                <w:szCs w:val="15"/>
              </w:rPr>
              <w:t>排污许可证制度全面推开</w:t>
            </w:r>
          </w:p>
        </w:tc>
      </w:tr>
      <w:tr w:rsidR="000F7B13" w:rsidRPr="00E663C0" w14:paraId="1DAEAF3F" w14:textId="77777777" w:rsidTr="00B17145">
        <w:trPr>
          <w:jc w:val="center"/>
        </w:trPr>
        <w:tc>
          <w:tcPr>
            <w:tcW w:w="986" w:type="dxa"/>
            <w:vAlign w:val="center"/>
          </w:tcPr>
          <w:p w14:paraId="1046C37D" w14:textId="4B5BD96D" w:rsidR="000F7B13" w:rsidRPr="00E663C0" w:rsidRDefault="0042474E"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w:t>
            </w:r>
            <w:r w:rsidR="00634644" w:rsidRPr="00E663C0">
              <w:rPr>
                <w:rFonts w:ascii="楷体" w:eastAsia="楷体" w:hAnsi="楷体" w:hint="eastAsia"/>
                <w:sz w:val="13"/>
                <w:szCs w:val="15"/>
              </w:rPr>
              <w:t>8/9</w:t>
            </w:r>
          </w:p>
        </w:tc>
        <w:tc>
          <w:tcPr>
            <w:tcW w:w="2977" w:type="dxa"/>
            <w:vAlign w:val="center"/>
          </w:tcPr>
          <w:p w14:paraId="05C65E77" w14:textId="5500501D" w:rsidR="000F7B13" w:rsidRPr="00B17145" w:rsidRDefault="00634644"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《浙江省打赢蓝天保卫战三年行动计划》</w:t>
            </w:r>
          </w:p>
        </w:tc>
        <w:tc>
          <w:tcPr>
            <w:tcW w:w="4677" w:type="dxa"/>
          </w:tcPr>
          <w:p w14:paraId="2622BCB8" w14:textId="3C8359BB" w:rsidR="000F7B13" w:rsidRPr="00B17145" w:rsidRDefault="00B17145" w:rsidP="00B17145">
            <w:pPr>
              <w:widowControl/>
              <w:rPr>
                <w:rStyle w:val="fontstyle01"/>
                <w:rFonts w:ascii="楷体" w:eastAsia="楷体" w:hAnsi="楷体" w:hint="default"/>
                <w:sz w:val="13"/>
                <w:szCs w:val="15"/>
              </w:rPr>
            </w:pPr>
            <w:r w:rsidRPr="00B17145">
              <w:rPr>
                <w:rStyle w:val="fontstyle01"/>
                <w:rFonts w:ascii="楷体" w:eastAsia="楷体" w:hAnsi="楷体" w:hint="default"/>
                <w:sz w:val="13"/>
                <w:szCs w:val="15"/>
              </w:rPr>
              <w:t>禁止新增化工园区，加大现有化工园区整治力度， 全面治理“散乱污”企业</w:t>
            </w:r>
          </w:p>
        </w:tc>
      </w:tr>
      <w:tr w:rsidR="000F7B13" w:rsidRPr="00E663C0" w14:paraId="210C3887" w14:textId="77777777" w:rsidTr="00B17145">
        <w:trPr>
          <w:jc w:val="center"/>
        </w:trPr>
        <w:tc>
          <w:tcPr>
            <w:tcW w:w="986" w:type="dxa"/>
            <w:vAlign w:val="center"/>
          </w:tcPr>
          <w:p w14:paraId="3A7D7E13" w14:textId="4F424CEC" w:rsidR="000F7B13" w:rsidRPr="00E663C0" w:rsidRDefault="0042474E"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2019/</w:t>
            </w:r>
            <w:r w:rsidR="00634644" w:rsidRPr="00E663C0">
              <w:rPr>
                <w:rFonts w:ascii="楷体" w:eastAsia="楷体" w:hAnsi="楷体" w:hint="eastAsia"/>
                <w:sz w:val="13"/>
                <w:szCs w:val="15"/>
              </w:rPr>
              <w:t>3</w:t>
            </w:r>
          </w:p>
        </w:tc>
        <w:tc>
          <w:tcPr>
            <w:tcW w:w="2977" w:type="dxa"/>
            <w:vAlign w:val="center"/>
          </w:tcPr>
          <w:p w14:paraId="7B5A84CD" w14:textId="4F0146E0" w:rsidR="000F7B13" w:rsidRPr="00E663C0" w:rsidRDefault="00E663C0" w:rsidP="00B17145">
            <w:pPr>
              <w:widowControl/>
              <w:rPr>
                <w:rFonts w:ascii="楷体" w:eastAsia="楷体" w:hAnsi="楷体"/>
                <w:sz w:val="13"/>
                <w:szCs w:val="15"/>
              </w:rPr>
            </w:pPr>
            <w:r w:rsidRPr="00E663C0">
              <w:rPr>
                <w:rStyle w:val="fontstyle01"/>
                <w:rFonts w:ascii="楷体" w:eastAsia="楷体" w:hAnsi="楷体" w:hint="default"/>
                <w:sz w:val="13"/>
                <w:szCs w:val="15"/>
              </w:rPr>
              <w:t>《河北省化工行业安全生产整治攻坚行动方案》</w:t>
            </w:r>
          </w:p>
        </w:tc>
        <w:tc>
          <w:tcPr>
            <w:tcW w:w="4677" w:type="dxa"/>
          </w:tcPr>
          <w:p w14:paraId="5AA5ADDF" w14:textId="0F6501C9" w:rsidR="000F7B13" w:rsidRPr="00B17145" w:rsidRDefault="00B17145" w:rsidP="00B17145">
            <w:pPr>
              <w:widowControl/>
              <w:rPr>
                <w:rStyle w:val="fontstyle01"/>
                <w:rFonts w:ascii="楷体" w:eastAsia="楷体" w:hAnsi="楷体" w:hint="default"/>
                <w:sz w:val="13"/>
                <w:szCs w:val="15"/>
              </w:rPr>
            </w:pPr>
            <w:r w:rsidRPr="00B17145">
              <w:rPr>
                <w:rStyle w:val="fontstyle01"/>
                <w:rFonts w:ascii="楷体" w:eastAsia="楷体" w:hAnsi="楷体" w:hint="default"/>
                <w:sz w:val="13"/>
                <w:szCs w:val="15"/>
              </w:rPr>
              <w:t>新建项目入园率 100%，自动化控制系统装备率 100%，园区外化工企业不得</w:t>
            </w:r>
            <w:r w:rsidRPr="00B17145">
              <w:rPr>
                <w:rStyle w:val="fontstyle01"/>
                <w:rFonts w:ascii="楷体" w:eastAsia="楷体" w:hAnsi="楷体" w:hint="default"/>
                <w:sz w:val="13"/>
                <w:szCs w:val="15"/>
              </w:rPr>
              <w:br/>
              <w:t>新建、扩建化工生产项目，严格执行“三同时”有关规定</w:t>
            </w:r>
          </w:p>
        </w:tc>
      </w:tr>
      <w:tr w:rsidR="000F7B13" w:rsidRPr="00E663C0" w14:paraId="0C923649" w14:textId="77777777" w:rsidTr="00B17145">
        <w:trPr>
          <w:trHeight w:val="832"/>
          <w:jc w:val="center"/>
        </w:trPr>
        <w:tc>
          <w:tcPr>
            <w:tcW w:w="986" w:type="dxa"/>
            <w:vAlign w:val="center"/>
          </w:tcPr>
          <w:p w14:paraId="4B29C2E8" w14:textId="04090AF1" w:rsidR="000F7B13" w:rsidRPr="00E663C0" w:rsidRDefault="0042474E"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2019/</w:t>
            </w:r>
            <w:r w:rsidR="00634644" w:rsidRPr="00E663C0">
              <w:rPr>
                <w:rFonts w:ascii="楷体" w:eastAsia="楷体" w:hAnsi="楷体" w:hint="eastAsia"/>
                <w:sz w:val="13"/>
                <w:szCs w:val="15"/>
              </w:rPr>
              <w:t>4</w:t>
            </w:r>
          </w:p>
        </w:tc>
        <w:tc>
          <w:tcPr>
            <w:tcW w:w="2977" w:type="dxa"/>
            <w:vAlign w:val="center"/>
          </w:tcPr>
          <w:p w14:paraId="1C272469" w14:textId="0D0B43A7" w:rsidR="000F7B13" w:rsidRPr="00E663C0" w:rsidRDefault="00E663C0" w:rsidP="00B17145">
            <w:pPr>
              <w:widowControl/>
              <w:rPr>
                <w:rFonts w:ascii="楷体" w:eastAsia="楷体" w:hAnsi="楷体"/>
                <w:sz w:val="13"/>
                <w:szCs w:val="15"/>
              </w:rPr>
            </w:pPr>
            <w:r w:rsidRPr="00E663C0">
              <w:rPr>
                <w:rStyle w:val="fontstyle01"/>
                <w:rFonts w:ascii="楷体" w:eastAsia="楷体" w:hAnsi="楷体" w:hint="default"/>
                <w:sz w:val="13"/>
                <w:szCs w:val="15"/>
              </w:rPr>
              <w:t>《江苏省化工产业安全环保整治提升方案》</w:t>
            </w:r>
          </w:p>
        </w:tc>
        <w:tc>
          <w:tcPr>
            <w:tcW w:w="4677" w:type="dxa"/>
          </w:tcPr>
          <w:p w14:paraId="24AC99BA" w14:textId="1E53E102" w:rsidR="000F7B13" w:rsidRPr="00B17145" w:rsidRDefault="00B17145" w:rsidP="00B17145">
            <w:pPr>
              <w:widowControl/>
              <w:rPr>
                <w:rStyle w:val="fontstyle01"/>
                <w:rFonts w:ascii="楷体" w:eastAsia="楷体" w:hAnsi="楷体" w:hint="default"/>
                <w:sz w:val="13"/>
                <w:szCs w:val="15"/>
              </w:rPr>
            </w:pPr>
            <w:r w:rsidRPr="00B17145">
              <w:rPr>
                <w:rStyle w:val="fontstyle01"/>
                <w:rFonts w:ascii="楷体" w:eastAsia="楷体" w:hAnsi="楷体" w:hint="default"/>
                <w:sz w:val="13"/>
                <w:szCs w:val="15"/>
              </w:rPr>
              <w:t>压减沿江地区、环境敏感区域、园区外、规模以下化工生产企业数量，压减</w:t>
            </w:r>
            <w:r w:rsidRPr="00B17145">
              <w:rPr>
                <w:rStyle w:val="fontstyle01"/>
                <w:rFonts w:ascii="楷体" w:eastAsia="楷体" w:hAnsi="楷体" w:hint="default"/>
                <w:sz w:val="13"/>
                <w:szCs w:val="15"/>
              </w:rPr>
              <w:br/>
              <w:t>化工园区数量； 禁止新（扩）建农药、医药和染料中间体化工项目；</w:t>
            </w:r>
            <w:proofErr w:type="gramStart"/>
            <w:r w:rsidRPr="00B17145">
              <w:rPr>
                <w:rStyle w:val="fontstyle01"/>
                <w:rFonts w:ascii="楷体" w:eastAsia="楷体" w:hAnsi="楷体" w:hint="default"/>
                <w:sz w:val="13"/>
                <w:szCs w:val="15"/>
              </w:rPr>
              <w:t>新建化</w:t>
            </w:r>
            <w:proofErr w:type="gramEnd"/>
            <w:r w:rsidRPr="00B17145">
              <w:rPr>
                <w:rStyle w:val="fontstyle01"/>
                <w:rFonts w:ascii="楷体" w:eastAsia="楷体" w:hAnsi="楷体" w:hint="default"/>
                <w:sz w:val="13"/>
                <w:szCs w:val="15"/>
              </w:rPr>
              <w:br/>
              <w:t>工项目原则上投资额不低于 10 亿元</w:t>
            </w:r>
          </w:p>
        </w:tc>
      </w:tr>
      <w:tr w:rsidR="00634644" w:rsidRPr="00E663C0" w14:paraId="2B6074DC" w14:textId="77777777" w:rsidTr="00B17145">
        <w:trPr>
          <w:jc w:val="center"/>
        </w:trPr>
        <w:tc>
          <w:tcPr>
            <w:tcW w:w="986" w:type="dxa"/>
            <w:vAlign w:val="center"/>
          </w:tcPr>
          <w:p w14:paraId="6064D3F4" w14:textId="627A3E49" w:rsidR="00634644" w:rsidRPr="00E663C0" w:rsidRDefault="00634644" w:rsidP="00B17145">
            <w:pPr>
              <w:pStyle w:val="a3"/>
              <w:ind w:firstLineChars="0" w:firstLine="0"/>
              <w:jc w:val="center"/>
              <w:rPr>
                <w:rFonts w:ascii="楷体" w:eastAsia="楷体" w:hAnsi="楷体"/>
                <w:sz w:val="13"/>
                <w:szCs w:val="15"/>
              </w:rPr>
            </w:pPr>
            <w:r w:rsidRPr="00E663C0">
              <w:rPr>
                <w:rFonts w:ascii="楷体" w:eastAsia="楷体" w:hAnsi="楷体" w:hint="eastAsia"/>
                <w:sz w:val="13"/>
                <w:szCs w:val="15"/>
              </w:rPr>
              <w:t>2019/6</w:t>
            </w:r>
          </w:p>
        </w:tc>
        <w:tc>
          <w:tcPr>
            <w:tcW w:w="2977" w:type="dxa"/>
            <w:vAlign w:val="center"/>
          </w:tcPr>
          <w:p w14:paraId="172414A1" w14:textId="385C10F9" w:rsidR="00634644" w:rsidRPr="00B17145" w:rsidRDefault="00E663C0" w:rsidP="00B17145">
            <w:pPr>
              <w:widowControl/>
              <w:rPr>
                <w:rStyle w:val="fontstyle01"/>
                <w:rFonts w:ascii="楷体" w:eastAsia="楷体" w:hint="default"/>
                <w:sz w:val="13"/>
                <w:szCs w:val="15"/>
              </w:rPr>
            </w:pPr>
            <w:r w:rsidRPr="00E663C0">
              <w:rPr>
                <w:rStyle w:val="fontstyle01"/>
                <w:rFonts w:ascii="楷体" w:eastAsia="楷体" w:hAnsi="楷体" w:hint="default"/>
                <w:sz w:val="13"/>
                <w:szCs w:val="15"/>
              </w:rPr>
              <w:t>《重点行业挥发性有机物综合治理方案》</w:t>
            </w:r>
          </w:p>
        </w:tc>
        <w:tc>
          <w:tcPr>
            <w:tcW w:w="4677" w:type="dxa"/>
          </w:tcPr>
          <w:p w14:paraId="5E3827EC" w14:textId="5E2ED0E5" w:rsidR="00634644" w:rsidRPr="00B17145" w:rsidRDefault="00B17145" w:rsidP="00B17145">
            <w:pPr>
              <w:widowControl/>
              <w:rPr>
                <w:rStyle w:val="fontstyle01"/>
                <w:rFonts w:ascii="楷体" w:eastAsia="楷体" w:hAnsi="楷体" w:hint="default"/>
                <w:sz w:val="13"/>
                <w:szCs w:val="15"/>
              </w:rPr>
            </w:pPr>
            <w:r w:rsidRPr="00B17145">
              <w:rPr>
                <w:rStyle w:val="fontstyle01"/>
                <w:rFonts w:ascii="楷体" w:eastAsia="楷体" w:hAnsi="楷体" w:hint="default"/>
                <w:sz w:val="13"/>
                <w:szCs w:val="15"/>
              </w:rPr>
              <w:t>加强制药、农药、涂料、油墨、胶粘剂、橡胶和塑料制品等行业 VOCs 治理</w:t>
            </w:r>
            <w:r w:rsidRPr="00B17145">
              <w:rPr>
                <w:rStyle w:val="fontstyle01"/>
                <w:rFonts w:ascii="楷体" w:eastAsia="楷体" w:hAnsi="楷体" w:hint="default"/>
                <w:sz w:val="13"/>
                <w:szCs w:val="15"/>
              </w:rPr>
              <w:br/>
              <w:t>力度， 制药、农药行业推广使用非卤代烃和非芳香烃类溶剂，制药行业推广生物酶法合成技术</w:t>
            </w:r>
          </w:p>
        </w:tc>
      </w:tr>
    </w:tbl>
    <w:p w14:paraId="6B53CCDA" w14:textId="24ECD726" w:rsidR="00D2463A" w:rsidRDefault="001479EC" w:rsidP="001479EC">
      <w:pPr>
        <w:pStyle w:val="3"/>
        <w:spacing w:before="0" w:after="0" w:line="240" w:lineRule="auto"/>
        <w:rPr>
          <w:rFonts w:ascii="楷体" w:eastAsia="楷体" w:hAnsi="楷体"/>
          <w:sz w:val="22"/>
          <w:szCs w:val="22"/>
        </w:rPr>
      </w:pPr>
      <w:r>
        <w:rPr>
          <w:rFonts w:ascii="楷体" w:eastAsia="楷体" w:hAnsi="楷体" w:hint="eastAsia"/>
          <w:sz w:val="22"/>
          <w:szCs w:val="22"/>
        </w:rPr>
        <w:t>2.1.4</w:t>
      </w:r>
      <w:r w:rsidRPr="001479EC">
        <w:rPr>
          <w:rFonts w:ascii="楷体" w:eastAsia="楷体" w:hAnsi="楷体" w:hint="eastAsia"/>
          <w:sz w:val="22"/>
          <w:szCs w:val="22"/>
        </w:rPr>
        <w:t>原料药优质企业</w:t>
      </w:r>
    </w:p>
    <w:p w14:paraId="2D0689A6" w14:textId="2DCE5A76" w:rsidR="00C81562" w:rsidRDefault="00C81562" w:rsidP="00C81562">
      <w:pPr>
        <w:rPr>
          <w:rFonts w:ascii="楷体" w:eastAsia="楷体" w:hAnsi="楷体" w:cs="宋体"/>
          <w:color w:val="000000"/>
          <w:kern w:val="0"/>
          <w:sz w:val="20"/>
          <w:szCs w:val="20"/>
        </w:rPr>
      </w:pPr>
      <w:r>
        <w:rPr>
          <w:rFonts w:ascii="楷体" w:eastAsia="楷体" w:hAnsi="楷体" w:cs="宋体" w:hint="eastAsia"/>
          <w:color w:val="000000"/>
          <w:kern w:val="0"/>
          <w:sz w:val="20"/>
          <w:szCs w:val="20"/>
        </w:rPr>
        <w:t>（1）特色原料药龙头企业</w:t>
      </w:r>
    </w:p>
    <w:p w14:paraId="60713310" w14:textId="73E6F63D" w:rsidR="000C6AF3" w:rsidRPr="001620F1" w:rsidRDefault="000C6AF3" w:rsidP="000D430F">
      <w:pPr>
        <w:ind w:firstLineChars="200" w:firstLine="360"/>
        <w:rPr>
          <w:rFonts w:ascii="楷体" w:eastAsia="楷体" w:hAnsi="楷体" w:cs="宋体"/>
          <w:color w:val="000000"/>
          <w:kern w:val="0"/>
          <w:sz w:val="18"/>
          <w:szCs w:val="18"/>
        </w:rPr>
      </w:pPr>
      <w:r w:rsidRPr="001620F1">
        <w:rPr>
          <w:rFonts w:ascii="楷体" w:eastAsia="楷体" w:hAnsi="楷体" w:cs="宋体" w:hint="eastAsia"/>
          <w:color w:val="000000"/>
          <w:kern w:val="0"/>
          <w:sz w:val="18"/>
          <w:szCs w:val="18"/>
        </w:rPr>
        <w:t>特色原料药</w:t>
      </w:r>
      <w:r w:rsidR="000217A1" w:rsidRPr="001620F1">
        <w:rPr>
          <w:rFonts w:ascii="楷体" w:eastAsia="楷体" w:hAnsi="楷体" w:cs="宋体" w:hint="eastAsia"/>
          <w:color w:val="000000"/>
          <w:kern w:val="0"/>
          <w:sz w:val="18"/>
          <w:szCs w:val="18"/>
        </w:rPr>
        <w:t>市场集中度较高，C</w:t>
      </w:r>
      <w:r w:rsidR="000217A1" w:rsidRPr="001620F1">
        <w:rPr>
          <w:rFonts w:ascii="楷体" w:eastAsia="楷体" w:hAnsi="楷体" w:cs="宋体"/>
          <w:color w:val="000000"/>
          <w:kern w:val="0"/>
          <w:sz w:val="18"/>
          <w:szCs w:val="18"/>
        </w:rPr>
        <w:t>R</w:t>
      </w:r>
      <w:r w:rsidR="000217A1" w:rsidRPr="001620F1">
        <w:rPr>
          <w:rFonts w:ascii="楷体" w:eastAsia="楷体" w:hAnsi="楷体" w:cs="宋体" w:hint="eastAsia"/>
          <w:color w:val="000000"/>
          <w:kern w:val="0"/>
          <w:sz w:val="18"/>
          <w:szCs w:val="18"/>
        </w:rPr>
        <w:t>5</w:t>
      </w:r>
      <w:r w:rsidR="0049515E" w:rsidRPr="001620F1">
        <w:rPr>
          <w:rFonts w:ascii="楷体" w:eastAsia="楷体" w:hAnsi="楷体" w:cs="宋体" w:hint="eastAsia"/>
          <w:color w:val="000000"/>
          <w:kern w:val="0"/>
          <w:sz w:val="18"/>
          <w:szCs w:val="18"/>
        </w:rPr>
        <w:t>由2016年的48.96%提升至50.34%。五家</w:t>
      </w:r>
      <w:r w:rsidRPr="001620F1">
        <w:rPr>
          <w:rFonts w:ascii="楷体" w:eastAsia="楷体" w:hAnsi="楷体" w:cs="宋体" w:hint="eastAsia"/>
          <w:color w:val="000000"/>
          <w:kern w:val="0"/>
          <w:sz w:val="18"/>
          <w:szCs w:val="18"/>
        </w:rPr>
        <w:t>龙头企业有延安必康</w:t>
      </w:r>
      <w:r w:rsidR="000217A1" w:rsidRPr="001620F1">
        <w:rPr>
          <w:rFonts w:ascii="楷体" w:eastAsia="楷体" w:hAnsi="楷体" w:cs="宋体" w:hint="eastAsia"/>
          <w:color w:val="000000"/>
          <w:kern w:val="0"/>
          <w:sz w:val="18"/>
          <w:szCs w:val="18"/>
        </w:rPr>
        <w:t>、普罗药业、</w:t>
      </w:r>
      <w:r w:rsidR="0049515E" w:rsidRPr="001620F1">
        <w:rPr>
          <w:rFonts w:ascii="楷体" w:eastAsia="楷体" w:hAnsi="楷体" w:cs="宋体" w:hint="eastAsia"/>
          <w:color w:val="000000"/>
          <w:kern w:val="0"/>
          <w:sz w:val="18"/>
          <w:szCs w:val="18"/>
        </w:rPr>
        <w:t>浙江医药、新华制药与</w:t>
      </w:r>
      <w:r w:rsidR="002A2732" w:rsidRPr="001620F1">
        <w:rPr>
          <w:rFonts w:ascii="楷体" w:eastAsia="楷体" w:hAnsi="楷体" w:cs="宋体" w:hint="eastAsia"/>
          <w:color w:val="000000"/>
          <w:kern w:val="0"/>
          <w:sz w:val="18"/>
          <w:szCs w:val="18"/>
        </w:rPr>
        <w:t>华海药业。</w:t>
      </w:r>
    </w:p>
    <w:p w14:paraId="2B97F860" w14:textId="4AEB3EA6" w:rsidR="001F3DA2" w:rsidRDefault="001F3DA2" w:rsidP="001F3DA2">
      <w:pPr>
        <w:jc w:val="center"/>
      </w:pPr>
      <w:r>
        <w:rPr>
          <w:noProof/>
        </w:rPr>
        <w:drawing>
          <wp:inline distT="0" distB="0" distL="0" distR="0" wp14:anchorId="6104E82B" wp14:editId="5A363915">
            <wp:extent cx="2534285" cy="1455821"/>
            <wp:effectExtent l="0" t="0" r="18415" b="11430"/>
            <wp:docPr id="12" name="图表 12">
              <a:extLst xmlns:a="http://schemas.openxmlformats.org/drawingml/2006/main">
                <a:ext uri="{FF2B5EF4-FFF2-40B4-BE49-F238E27FC236}">
                  <a16:creationId xmlns:a16="http://schemas.microsoft.com/office/drawing/2014/main" id="{19879A51-A359-49FF-9195-10F4A698C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DCF34D4" w14:textId="77777777" w:rsidR="008073CA" w:rsidRDefault="008073CA" w:rsidP="001F3DA2">
      <w:pPr>
        <w:jc w:val="center"/>
      </w:pPr>
    </w:p>
    <w:p w14:paraId="50A846D3" w14:textId="20813BD9" w:rsidR="000D430F" w:rsidRDefault="000D430F" w:rsidP="000D430F">
      <w:pPr>
        <w:rPr>
          <w:rFonts w:ascii="楷体" w:eastAsia="楷体" w:hAnsi="楷体" w:cs="宋体"/>
          <w:color w:val="000000"/>
          <w:kern w:val="0"/>
          <w:sz w:val="20"/>
          <w:szCs w:val="20"/>
        </w:rPr>
      </w:pPr>
      <w:r w:rsidRPr="000D430F">
        <w:rPr>
          <w:rFonts w:ascii="楷体" w:eastAsia="楷体" w:hAnsi="楷体" w:cs="宋体" w:hint="eastAsia"/>
          <w:color w:val="000000"/>
          <w:kern w:val="0"/>
          <w:sz w:val="20"/>
          <w:szCs w:val="20"/>
        </w:rPr>
        <w:t>（2）</w:t>
      </w:r>
      <w:r>
        <w:rPr>
          <w:rFonts w:ascii="楷体" w:eastAsia="楷体" w:hAnsi="楷体" w:cs="宋体" w:hint="eastAsia"/>
          <w:color w:val="000000"/>
          <w:kern w:val="0"/>
          <w:sz w:val="20"/>
          <w:szCs w:val="20"/>
        </w:rPr>
        <w:t>大宗原料药龙头企业</w:t>
      </w:r>
    </w:p>
    <w:p w14:paraId="18E1C0F0" w14:textId="1494E197" w:rsidR="00FC7696" w:rsidRPr="001620F1" w:rsidRDefault="00FC7696" w:rsidP="001620F1">
      <w:pPr>
        <w:ind w:firstLineChars="200" w:firstLine="360"/>
        <w:rPr>
          <w:rFonts w:ascii="楷体" w:eastAsia="楷体" w:hAnsi="楷体" w:cs="宋体"/>
          <w:color w:val="000000"/>
          <w:kern w:val="0"/>
          <w:sz w:val="18"/>
          <w:szCs w:val="18"/>
        </w:rPr>
      </w:pPr>
      <w:r w:rsidRPr="001620F1">
        <w:rPr>
          <w:rFonts w:ascii="楷体" w:eastAsia="楷体" w:hAnsi="楷体" w:cs="宋体" w:hint="eastAsia"/>
          <w:color w:val="000000"/>
          <w:kern w:val="0"/>
          <w:sz w:val="18"/>
          <w:szCs w:val="18"/>
        </w:rPr>
        <w:t>大宗原料药市场集中度较高，</w:t>
      </w:r>
      <w:r w:rsidR="00A9547F" w:rsidRPr="001620F1">
        <w:rPr>
          <w:rFonts w:ascii="楷体" w:eastAsia="楷体" w:hAnsi="楷体" w:cs="宋体" w:hint="eastAsia"/>
          <w:color w:val="000000"/>
          <w:kern w:val="0"/>
          <w:sz w:val="18"/>
          <w:szCs w:val="18"/>
        </w:rPr>
        <w:t>C</w:t>
      </w:r>
      <w:r w:rsidR="00A9547F" w:rsidRPr="001620F1">
        <w:rPr>
          <w:rFonts w:ascii="楷体" w:eastAsia="楷体" w:hAnsi="楷体" w:cs="宋体"/>
          <w:color w:val="000000"/>
          <w:kern w:val="0"/>
          <w:sz w:val="18"/>
          <w:szCs w:val="18"/>
        </w:rPr>
        <w:t>R5</w:t>
      </w:r>
      <w:r w:rsidR="00BC67ED" w:rsidRPr="001620F1">
        <w:rPr>
          <w:rFonts w:ascii="楷体" w:eastAsia="楷体" w:hAnsi="楷体" w:cs="宋体" w:hint="eastAsia"/>
          <w:color w:val="000000"/>
          <w:kern w:val="0"/>
          <w:sz w:val="18"/>
          <w:szCs w:val="18"/>
        </w:rPr>
        <w:t>由2016年的83.55%提升至</w:t>
      </w:r>
      <w:r w:rsidR="005269A2" w:rsidRPr="001620F1">
        <w:rPr>
          <w:rFonts w:ascii="楷体" w:eastAsia="楷体" w:hAnsi="楷体" w:cs="宋体" w:hint="eastAsia"/>
          <w:color w:val="000000"/>
          <w:kern w:val="0"/>
          <w:sz w:val="18"/>
          <w:szCs w:val="18"/>
        </w:rPr>
        <w:t>87.06%</w:t>
      </w:r>
      <w:r w:rsidR="00E611B2" w:rsidRPr="001620F1">
        <w:rPr>
          <w:rFonts w:ascii="楷体" w:eastAsia="楷体" w:hAnsi="楷体" w:cs="宋体" w:hint="eastAsia"/>
          <w:color w:val="000000"/>
          <w:kern w:val="0"/>
          <w:sz w:val="18"/>
          <w:szCs w:val="18"/>
        </w:rPr>
        <w:t>。五家龙头企业有S</w:t>
      </w:r>
      <w:r w:rsidR="00E611B2" w:rsidRPr="001620F1">
        <w:rPr>
          <w:rFonts w:ascii="楷体" w:eastAsia="楷体" w:hAnsi="楷体" w:cs="宋体"/>
          <w:color w:val="000000"/>
          <w:kern w:val="0"/>
          <w:sz w:val="18"/>
          <w:szCs w:val="18"/>
        </w:rPr>
        <w:t>T</w:t>
      </w:r>
      <w:r w:rsidR="00E611B2" w:rsidRPr="001620F1">
        <w:rPr>
          <w:rFonts w:ascii="楷体" w:eastAsia="楷体" w:hAnsi="楷体" w:cs="宋体" w:hint="eastAsia"/>
          <w:color w:val="000000"/>
          <w:kern w:val="0"/>
          <w:sz w:val="18"/>
          <w:szCs w:val="18"/>
        </w:rPr>
        <w:t>冠福、安迪苏</w:t>
      </w:r>
      <w:r w:rsidR="002665AA" w:rsidRPr="001620F1">
        <w:rPr>
          <w:rFonts w:ascii="楷体" w:eastAsia="楷体" w:hAnsi="楷体" w:cs="宋体" w:hint="eastAsia"/>
          <w:color w:val="000000"/>
          <w:kern w:val="0"/>
          <w:sz w:val="18"/>
          <w:szCs w:val="18"/>
        </w:rPr>
        <w:t>、新和成、</w:t>
      </w:r>
      <w:proofErr w:type="gramStart"/>
      <w:r w:rsidR="002665AA" w:rsidRPr="001620F1">
        <w:rPr>
          <w:rFonts w:ascii="楷体" w:eastAsia="楷体" w:hAnsi="楷体" w:cs="宋体" w:hint="eastAsia"/>
          <w:color w:val="000000"/>
          <w:kern w:val="0"/>
          <w:sz w:val="18"/>
          <w:szCs w:val="18"/>
        </w:rPr>
        <w:t>海普瑞</w:t>
      </w:r>
      <w:proofErr w:type="gramEnd"/>
      <w:r w:rsidR="002665AA" w:rsidRPr="001620F1">
        <w:rPr>
          <w:rFonts w:ascii="楷体" w:eastAsia="楷体" w:hAnsi="楷体" w:cs="宋体" w:hint="eastAsia"/>
          <w:color w:val="000000"/>
          <w:kern w:val="0"/>
          <w:sz w:val="18"/>
          <w:szCs w:val="18"/>
        </w:rPr>
        <w:t>与金达威</w:t>
      </w:r>
      <w:r w:rsidR="00872BE8" w:rsidRPr="001620F1">
        <w:rPr>
          <w:rFonts w:ascii="楷体" w:eastAsia="楷体" w:hAnsi="楷体" w:cs="宋体" w:hint="eastAsia"/>
          <w:color w:val="000000"/>
          <w:kern w:val="0"/>
          <w:sz w:val="18"/>
          <w:szCs w:val="18"/>
        </w:rPr>
        <w:t>。</w:t>
      </w:r>
    </w:p>
    <w:p w14:paraId="1F78A117" w14:textId="203FA2A1" w:rsidR="00221C60" w:rsidRPr="000D430F" w:rsidRDefault="00617B18" w:rsidP="00617B18">
      <w:pPr>
        <w:jc w:val="center"/>
        <w:rPr>
          <w:rFonts w:ascii="楷体" w:eastAsia="楷体" w:hAnsi="楷体" w:cs="宋体"/>
          <w:color w:val="000000"/>
          <w:kern w:val="0"/>
          <w:sz w:val="20"/>
          <w:szCs w:val="20"/>
        </w:rPr>
      </w:pPr>
      <w:r>
        <w:rPr>
          <w:noProof/>
        </w:rPr>
        <w:drawing>
          <wp:inline distT="0" distB="0" distL="0" distR="0" wp14:anchorId="444ECD6F" wp14:editId="132A0C64">
            <wp:extent cx="2867025" cy="1499937"/>
            <wp:effectExtent l="0" t="0" r="9525" b="5080"/>
            <wp:docPr id="13" name="图表 13">
              <a:extLst xmlns:a="http://schemas.openxmlformats.org/drawingml/2006/main">
                <a:ext uri="{FF2B5EF4-FFF2-40B4-BE49-F238E27FC236}">
                  <a16:creationId xmlns:a16="http://schemas.microsoft.com/office/drawing/2014/main" id="{2E062766-58AD-4AF0-A439-7BB1EA14E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509510F" w14:textId="53A78249" w:rsidR="00F63D41" w:rsidRPr="00512D49" w:rsidRDefault="0012782C" w:rsidP="00512D49">
      <w:pPr>
        <w:pStyle w:val="3"/>
        <w:spacing w:before="0" w:after="0" w:line="240" w:lineRule="auto"/>
        <w:rPr>
          <w:rFonts w:ascii="楷体" w:eastAsia="楷体" w:hAnsi="楷体"/>
          <w:sz w:val="22"/>
          <w:szCs w:val="22"/>
        </w:rPr>
      </w:pPr>
      <w:r w:rsidRPr="00512D49">
        <w:rPr>
          <w:rFonts w:ascii="楷体" w:eastAsia="楷体" w:hAnsi="楷体" w:hint="eastAsia"/>
          <w:sz w:val="22"/>
          <w:szCs w:val="22"/>
        </w:rPr>
        <w:t xml:space="preserve"> </w:t>
      </w:r>
      <w:r w:rsidRPr="00512D49">
        <w:rPr>
          <w:rFonts w:ascii="楷体" w:eastAsia="楷体" w:hAnsi="楷体"/>
          <w:sz w:val="22"/>
          <w:szCs w:val="22"/>
        </w:rPr>
        <w:t xml:space="preserve"> </w:t>
      </w:r>
      <w:r w:rsidR="00F63D41" w:rsidRPr="00512D49">
        <w:rPr>
          <w:rFonts w:ascii="楷体" w:eastAsia="楷体" w:hAnsi="楷体" w:hint="eastAsia"/>
          <w:sz w:val="22"/>
          <w:szCs w:val="22"/>
        </w:rPr>
        <w:t>2.1.5</w:t>
      </w:r>
      <w:r w:rsidR="00EB3B24" w:rsidRPr="00512D49">
        <w:rPr>
          <w:rFonts w:ascii="楷体" w:eastAsia="楷体" w:hAnsi="楷体" w:hint="eastAsia"/>
          <w:sz w:val="22"/>
          <w:szCs w:val="22"/>
        </w:rPr>
        <w:t>政策影响显著，化药制剂行业</w:t>
      </w:r>
      <w:bookmarkStart w:id="0" w:name="_GoBack"/>
      <w:bookmarkEnd w:id="0"/>
      <w:r w:rsidR="00EB3B24" w:rsidRPr="00512D49">
        <w:rPr>
          <w:rFonts w:ascii="楷体" w:eastAsia="楷体" w:hAnsi="楷体" w:hint="eastAsia"/>
          <w:sz w:val="22"/>
          <w:szCs w:val="22"/>
        </w:rPr>
        <w:t>逻辑改变</w:t>
      </w:r>
    </w:p>
    <w:p w14:paraId="19449245" w14:textId="7CB7A015" w:rsidR="00792B8B" w:rsidRPr="001620F1" w:rsidRDefault="00263870" w:rsidP="00405A2D">
      <w:pPr>
        <w:pStyle w:val="a3"/>
        <w:ind w:firstLine="360"/>
        <w:rPr>
          <w:rFonts w:ascii="楷体" w:eastAsia="楷体" w:hAnsi="楷体"/>
          <w:color w:val="000000"/>
          <w:sz w:val="20"/>
          <w:szCs w:val="20"/>
        </w:rPr>
      </w:pPr>
      <w:r w:rsidRPr="001620F1">
        <w:rPr>
          <w:rFonts w:ascii="楷体" w:eastAsia="楷体" w:hAnsi="楷体"/>
          <w:color w:val="000000"/>
          <w:sz w:val="18"/>
          <w:szCs w:val="18"/>
        </w:rPr>
        <w:t>在</w:t>
      </w:r>
      <w:r w:rsidR="00D17B77" w:rsidRPr="001620F1">
        <w:rPr>
          <w:rFonts w:ascii="楷体" w:eastAsia="楷体" w:hAnsi="楷体" w:hint="eastAsia"/>
          <w:color w:val="000000"/>
          <w:sz w:val="18"/>
          <w:szCs w:val="18"/>
        </w:rPr>
        <w:t>上游</w:t>
      </w:r>
      <w:r w:rsidRPr="001620F1">
        <w:rPr>
          <w:rFonts w:ascii="楷体" w:eastAsia="楷体" w:hAnsi="楷体"/>
          <w:color w:val="000000"/>
          <w:sz w:val="18"/>
          <w:szCs w:val="18"/>
        </w:rPr>
        <w:t>原料药供给</w:t>
      </w:r>
      <w:proofErr w:type="gramStart"/>
      <w:r w:rsidRPr="001620F1">
        <w:rPr>
          <w:rFonts w:ascii="楷体" w:eastAsia="楷体" w:hAnsi="楷体"/>
          <w:color w:val="000000"/>
          <w:sz w:val="18"/>
          <w:szCs w:val="18"/>
        </w:rPr>
        <w:t>侧改革</w:t>
      </w:r>
      <w:proofErr w:type="gramEnd"/>
      <w:r w:rsidR="00E03A1D" w:rsidRPr="001620F1">
        <w:rPr>
          <w:rFonts w:ascii="楷体" w:eastAsia="楷体" w:hAnsi="楷体" w:hint="eastAsia"/>
          <w:color w:val="000000"/>
          <w:sz w:val="18"/>
          <w:szCs w:val="18"/>
        </w:rPr>
        <w:t>的</w:t>
      </w:r>
      <w:r w:rsidRPr="001620F1">
        <w:rPr>
          <w:rFonts w:ascii="楷体" w:eastAsia="楷体" w:hAnsi="楷体"/>
          <w:color w:val="000000"/>
          <w:sz w:val="18"/>
          <w:szCs w:val="18"/>
        </w:rPr>
        <w:t>背景下，化学制剂行业净利润增速整体维持</w:t>
      </w:r>
      <w:r w:rsidR="00E03A1D" w:rsidRPr="001620F1">
        <w:rPr>
          <w:rFonts w:ascii="楷体" w:eastAsia="楷体" w:hAnsi="楷体" w:hint="eastAsia"/>
          <w:color w:val="000000"/>
          <w:sz w:val="18"/>
          <w:szCs w:val="18"/>
        </w:rPr>
        <w:t>稳定</w:t>
      </w:r>
      <w:r w:rsidRPr="001620F1">
        <w:rPr>
          <w:rFonts w:ascii="楷体" w:eastAsia="楷体" w:hAnsi="楷体"/>
          <w:color w:val="000000"/>
          <w:sz w:val="18"/>
          <w:szCs w:val="18"/>
        </w:rPr>
        <w:t>增长</w:t>
      </w:r>
      <w:r w:rsidRPr="001620F1">
        <w:rPr>
          <w:rFonts w:ascii="楷体" w:eastAsia="楷体" w:hAnsi="楷体" w:hint="eastAsia"/>
          <w:color w:val="000000"/>
          <w:sz w:val="18"/>
          <w:szCs w:val="18"/>
        </w:rPr>
        <w:t>。</w:t>
      </w:r>
    </w:p>
    <w:p w14:paraId="46490EC7" w14:textId="683017FE" w:rsidR="00CD4B8E" w:rsidRDefault="000D5D13" w:rsidP="00405A2D">
      <w:pPr>
        <w:pStyle w:val="a3"/>
        <w:rPr>
          <w:rFonts w:ascii="楷体" w:eastAsia="楷体" w:hAnsi="楷体"/>
          <w:sz w:val="18"/>
          <w:szCs w:val="20"/>
        </w:rPr>
      </w:pPr>
      <w:r>
        <w:rPr>
          <w:noProof/>
        </w:rPr>
        <w:drawing>
          <wp:anchor distT="0" distB="0" distL="114300" distR="114300" simplePos="0" relativeHeight="251661312" behindDoc="0" locked="0" layoutInCell="1" allowOverlap="1" wp14:anchorId="45BE8F79" wp14:editId="27EA29E7">
            <wp:simplePos x="0" y="0"/>
            <wp:positionH relativeFrom="column">
              <wp:posOffset>2703095</wp:posOffset>
            </wp:positionH>
            <wp:positionV relativeFrom="paragraph">
              <wp:posOffset>85825</wp:posOffset>
            </wp:positionV>
            <wp:extent cx="2221230" cy="1588169"/>
            <wp:effectExtent l="0" t="0" r="7620" b="12065"/>
            <wp:wrapNone/>
            <wp:docPr id="41" name="图表 41">
              <a:extLst xmlns:a="http://schemas.openxmlformats.org/drawingml/2006/main">
                <a:ext uri="{FF2B5EF4-FFF2-40B4-BE49-F238E27FC236}">
                  <a16:creationId xmlns:a16="http://schemas.microsoft.com/office/drawing/2014/main" id="{7F661B96-B0CD-4216-AB35-963E860CB4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CD4B8E">
        <w:rPr>
          <w:noProof/>
        </w:rPr>
        <w:drawing>
          <wp:anchor distT="0" distB="0" distL="114300" distR="114300" simplePos="0" relativeHeight="251660288" behindDoc="0" locked="0" layoutInCell="1" allowOverlap="1" wp14:anchorId="75590CFD" wp14:editId="51341A8F">
            <wp:simplePos x="0" y="0"/>
            <wp:positionH relativeFrom="column">
              <wp:posOffset>268705</wp:posOffset>
            </wp:positionH>
            <wp:positionV relativeFrom="paragraph">
              <wp:posOffset>89836</wp:posOffset>
            </wp:positionV>
            <wp:extent cx="2137410" cy="1596022"/>
            <wp:effectExtent l="0" t="0" r="15240" b="4445"/>
            <wp:wrapNone/>
            <wp:docPr id="22" name="图表 22">
              <a:extLst xmlns:a="http://schemas.openxmlformats.org/drawingml/2006/main">
                <a:ext uri="{FF2B5EF4-FFF2-40B4-BE49-F238E27FC236}">
                  <a16:creationId xmlns:a16="http://schemas.microsoft.com/office/drawing/2014/main" id="{BDBB1D5D-31D0-462F-AEF6-B7C256E95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6514982" w14:textId="77777777" w:rsidR="000D5D13" w:rsidRPr="00F63D41" w:rsidRDefault="000D5D13" w:rsidP="00405A2D">
      <w:pPr>
        <w:pStyle w:val="a3"/>
        <w:ind w:firstLine="360"/>
        <w:rPr>
          <w:rFonts w:ascii="楷体" w:eastAsia="楷体" w:hAnsi="楷体"/>
          <w:sz w:val="18"/>
          <w:szCs w:val="20"/>
        </w:rPr>
      </w:pPr>
    </w:p>
    <w:p w14:paraId="68E8A8EE" w14:textId="58C38796" w:rsidR="00556A19" w:rsidRPr="00D60463" w:rsidRDefault="00556A19" w:rsidP="00D60463">
      <w:pPr>
        <w:pStyle w:val="a3"/>
        <w:ind w:firstLineChars="0" w:firstLine="0"/>
        <w:jc w:val="center"/>
        <w:rPr>
          <w:rFonts w:ascii="楷体" w:eastAsia="楷体" w:hAnsi="楷体"/>
          <w:sz w:val="18"/>
          <w:szCs w:val="20"/>
        </w:rPr>
      </w:pPr>
    </w:p>
    <w:p w14:paraId="0637208E" w14:textId="52114289" w:rsidR="000D5D13" w:rsidRDefault="000D5D13" w:rsidP="00D60463">
      <w:pPr>
        <w:pStyle w:val="a3"/>
        <w:ind w:firstLineChars="0" w:firstLine="0"/>
        <w:jc w:val="center"/>
        <w:rPr>
          <w:rFonts w:ascii="楷体" w:eastAsia="楷体" w:hAnsi="楷体"/>
          <w:sz w:val="18"/>
          <w:szCs w:val="20"/>
        </w:rPr>
      </w:pPr>
    </w:p>
    <w:p w14:paraId="76C7F884" w14:textId="6C287C29" w:rsidR="000D5D13" w:rsidRDefault="000D5D13" w:rsidP="00D60463">
      <w:pPr>
        <w:pStyle w:val="a3"/>
        <w:ind w:firstLineChars="0" w:firstLine="0"/>
        <w:jc w:val="center"/>
        <w:rPr>
          <w:rFonts w:ascii="楷体" w:eastAsia="楷体" w:hAnsi="楷体"/>
          <w:sz w:val="18"/>
          <w:szCs w:val="20"/>
        </w:rPr>
      </w:pPr>
    </w:p>
    <w:p w14:paraId="3D3E98E3" w14:textId="77777777" w:rsidR="000D5D13" w:rsidRDefault="000D5D13" w:rsidP="00D60463">
      <w:pPr>
        <w:pStyle w:val="a3"/>
        <w:ind w:firstLineChars="0" w:firstLine="0"/>
        <w:jc w:val="center"/>
        <w:rPr>
          <w:rFonts w:ascii="楷体" w:eastAsia="楷体" w:hAnsi="楷体"/>
          <w:sz w:val="18"/>
          <w:szCs w:val="20"/>
        </w:rPr>
      </w:pPr>
    </w:p>
    <w:p w14:paraId="23E0C67A" w14:textId="77777777" w:rsidR="000D5D13" w:rsidRDefault="000D5D13" w:rsidP="00D60463">
      <w:pPr>
        <w:pStyle w:val="a3"/>
        <w:ind w:firstLineChars="0" w:firstLine="0"/>
        <w:jc w:val="center"/>
        <w:rPr>
          <w:rFonts w:ascii="楷体" w:eastAsia="楷体" w:hAnsi="楷体"/>
          <w:sz w:val="18"/>
          <w:szCs w:val="20"/>
        </w:rPr>
      </w:pPr>
    </w:p>
    <w:p w14:paraId="6868F0FC" w14:textId="77777777" w:rsidR="000D5D13" w:rsidRDefault="000D5D13" w:rsidP="00D60463">
      <w:pPr>
        <w:pStyle w:val="a3"/>
        <w:ind w:firstLineChars="0" w:firstLine="0"/>
        <w:jc w:val="center"/>
        <w:rPr>
          <w:rFonts w:ascii="楷体" w:eastAsia="楷体" w:hAnsi="楷体"/>
          <w:sz w:val="18"/>
          <w:szCs w:val="20"/>
        </w:rPr>
      </w:pPr>
    </w:p>
    <w:p w14:paraId="04A8DD5D" w14:textId="465DA54D" w:rsidR="000D5D13" w:rsidRDefault="000D5D13" w:rsidP="00D60463">
      <w:pPr>
        <w:pStyle w:val="a3"/>
        <w:ind w:firstLineChars="0" w:firstLine="0"/>
        <w:jc w:val="center"/>
        <w:rPr>
          <w:rFonts w:ascii="楷体" w:eastAsia="楷体" w:hAnsi="楷体"/>
          <w:sz w:val="18"/>
          <w:szCs w:val="20"/>
        </w:rPr>
      </w:pPr>
    </w:p>
    <w:p w14:paraId="344BEBF9" w14:textId="72B0AE9D" w:rsidR="00715B0A" w:rsidRPr="001620F1" w:rsidRDefault="00091989" w:rsidP="00715B0A">
      <w:pPr>
        <w:pStyle w:val="a3"/>
        <w:ind w:firstLine="360"/>
        <w:rPr>
          <w:rFonts w:ascii="楷体" w:eastAsia="楷体" w:hAnsi="楷体"/>
          <w:sz w:val="18"/>
          <w:szCs w:val="18"/>
        </w:rPr>
      </w:pPr>
      <w:r w:rsidRPr="001620F1">
        <w:rPr>
          <w:rFonts w:ascii="楷体" w:eastAsia="楷体" w:hAnsi="楷体" w:hint="eastAsia"/>
          <w:color w:val="000000"/>
          <w:sz w:val="18"/>
          <w:szCs w:val="18"/>
        </w:rPr>
        <w:t>制剂行业市场集中度不高，C</w:t>
      </w:r>
      <w:r w:rsidRPr="001620F1">
        <w:rPr>
          <w:rFonts w:ascii="楷体" w:eastAsia="楷体" w:hAnsi="楷体"/>
          <w:color w:val="000000"/>
          <w:sz w:val="18"/>
          <w:szCs w:val="18"/>
        </w:rPr>
        <w:t>R</w:t>
      </w:r>
      <w:r w:rsidRPr="001620F1">
        <w:rPr>
          <w:rFonts w:ascii="楷体" w:eastAsia="楷体" w:hAnsi="楷体" w:hint="eastAsia"/>
          <w:color w:val="000000"/>
          <w:sz w:val="18"/>
          <w:szCs w:val="18"/>
        </w:rPr>
        <w:t>10自2016-2018年以来维持在50%左右。</w:t>
      </w:r>
      <w:r w:rsidR="00715B0A" w:rsidRPr="001620F1">
        <w:rPr>
          <w:rFonts w:ascii="楷体" w:eastAsia="楷体" w:hAnsi="楷体" w:hint="eastAsia"/>
          <w:sz w:val="18"/>
          <w:szCs w:val="18"/>
        </w:rPr>
        <w:t>制剂板块内部开始出现分化，</w:t>
      </w:r>
      <w:r w:rsidR="00715B0A" w:rsidRPr="001620F1">
        <w:rPr>
          <w:rFonts w:ascii="楷体" w:eastAsia="楷体" w:hAnsi="楷体" w:hint="eastAsia"/>
          <w:color w:val="000000"/>
          <w:sz w:val="18"/>
          <w:szCs w:val="18"/>
        </w:rPr>
        <w:t>行业</w:t>
      </w:r>
      <w:r w:rsidR="00715B0A" w:rsidRPr="001620F1">
        <w:rPr>
          <w:rFonts w:ascii="楷体" w:eastAsia="楷体" w:hAnsi="楷体" w:cs="宋体"/>
          <w:color w:val="000000"/>
          <w:kern w:val="0"/>
          <w:sz w:val="18"/>
          <w:szCs w:val="18"/>
        </w:rPr>
        <w:t>大单品逻辑已经不可持续</w:t>
      </w:r>
      <w:r w:rsidR="00715B0A" w:rsidRPr="001620F1">
        <w:rPr>
          <w:rFonts w:ascii="楷体" w:eastAsia="楷体" w:hAnsi="楷体" w:cs="宋体" w:hint="eastAsia"/>
          <w:color w:val="000000"/>
          <w:kern w:val="0"/>
          <w:sz w:val="18"/>
          <w:szCs w:val="18"/>
        </w:rPr>
        <w:t>，</w:t>
      </w:r>
      <w:r w:rsidR="00715B0A" w:rsidRPr="001620F1">
        <w:rPr>
          <w:rFonts w:ascii="楷体" w:eastAsia="楷体" w:hAnsi="楷体"/>
          <w:sz w:val="18"/>
          <w:szCs w:val="18"/>
        </w:rPr>
        <w:t>具有创新能力和丰富管线储备的龙头企业恒瑞医药、</w:t>
      </w:r>
      <w:r w:rsidR="00715B0A" w:rsidRPr="001620F1">
        <w:rPr>
          <w:rFonts w:ascii="楷体" w:eastAsia="楷体" w:hAnsi="楷体" w:hint="eastAsia"/>
          <w:sz w:val="18"/>
          <w:szCs w:val="18"/>
        </w:rPr>
        <w:t>复星医药</w:t>
      </w:r>
      <w:r w:rsidR="00715B0A" w:rsidRPr="001620F1">
        <w:rPr>
          <w:rFonts w:ascii="楷体" w:eastAsia="楷体" w:hAnsi="楷体"/>
          <w:sz w:val="18"/>
          <w:szCs w:val="18"/>
        </w:rPr>
        <w:t>等增长</w:t>
      </w:r>
      <w:r w:rsidR="00B6498F" w:rsidRPr="001620F1">
        <w:rPr>
          <w:rFonts w:ascii="楷体" w:eastAsia="楷体" w:hAnsi="楷体" w:hint="eastAsia"/>
          <w:sz w:val="18"/>
          <w:szCs w:val="18"/>
        </w:rPr>
        <w:t>速度明显优于其他企业</w:t>
      </w:r>
      <w:r w:rsidR="00715B0A" w:rsidRPr="001620F1">
        <w:rPr>
          <w:rFonts w:ascii="楷体" w:eastAsia="楷体" w:hAnsi="楷体" w:hint="eastAsia"/>
          <w:sz w:val="18"/>
          <w:szCs w:val="18"/>
        </w:rPr>
        <w:t>，</w:t>
      </w:r>
      <w:r w:rsidR="00B6498F" w:rsidRPr="001620F1">
        <w:rPr>
          <w:rFonts w:ascii="楷体" w:eastAsia="楷体" w:hAnsi="楷体" w:hint="eastAsia"/>
          <w:sz w:val="18"/>
          <w:szCs w:val="18"/>
        </w:rPr>
        <w:t>预计</w:t>
      </w:r>
      <w:r w:rsidR="00715B0A" w:rsidRPr="001620F1">
        <w:rPr>
          <w:rFonts w:ascii="楷体" w:eastAsia="楷体" w:hAnsi="楷体"/>
          <w:sz w:val="18"/>
          <w:szCs w:val="18"/>
        </w:rPr>
        <w:t>未来将持续受益于行业结构调整</w:t>
      </w:r>
      <w:r w:rsidR="00715B0A" w:rsidRPr="001620F1">
        <w:rPr>
          <w:rFonts w:ascii="楷体" w:eastAsia="楷体" w:hAnsi="楷体" w:hint="eastAsia"/>
          <w:sz w:val="18"/>
          <w:szCs w:val="18"/>
        </w:rPr>
        <w:t>。</w:t>
      </w:r>
    </w:p>
    <w:p w14:paraId="7F27B897" w14:textId="3080649F" w:rsidR="001620F1" w:rsidRPr="001620F1" w:rsidRDefault="001620F1" w:rsidP="001620F1">
      <w:pPr>
        <w:pStyle w:val="a3"/>
        <w:ind w:firstLine="361"/>
        <w:jc w:val="center"/>
        <w:rPr>
          <w:rFonts w:ascii="楷体" w:eastAsia="楷体" w:hAnsi="楷体" w:hint="eastAsia"/>
          <w:b/>
          <w:bCs/>
          <w:color w:val="000000"/>
          <w:sz w:val="20"/>
          <w:szCs w:val="20"/>
        </w:rPr>
      </w:pPr>
      <w:r w:rsidRPr="001620F1">
        <w:rPr>
          <w:rFonts w:ascii="楷体" w:eastAsia="楷体" w:hAnsi="楷体" w:hint="eastAsia"/>
          <w:b/>
          <w:bCs/>
          <w:sz w:val="18"/>
          <w:szCs w:val="18"/>
        </w:rPr>
        <w:t>2016-2018年制剂行业领头企业收入变化对比</w:t>
      </w:r>
    </w:p>
    <w:p w14:paraId="6345C119" w14:textId="204364D0" w:rsidR="00497FBD" w:rsidRPr="00D60463" w:rsidRDefault="00006DAF" w:rsidP="00006DAF">
      <w:pPr>
        <w:pStyle w:val="a3"/>
        <w:ind w:firstLineChars="0" w:firstLine="0"/>
        <w:jc w:val="center"/>
        <w:rPr>
          <w:rFonts w:ascii="楷体" w:eastAsia="楷体" w:hAnsi="楷体"/>
          <w:sz w:val="18"/>
          <w:szCs w:val="20"/>
        </w:rPr>
      </w:pPr>
      <w:r w:rsidRPr="00006DAF">
        <w:rPr>
          <w:rFonts w:ascii="微软雅黑" w:eastAsia="微软雅黑" w:hAnsi="微软雅黑"/>
          <w:noProof/>
          <w:sz w:val="8"/>
          <w:szCs w:val="10"/>
        </w:rPr>
        <w:drawing>
          <wp:inline distT="0" distB="0" distL="0" distR="0" wp14:anchorId="547F3B21" wp14:editId="1384AD69">
            <wp:extent cx="2759075" cy="1608221"/>
            <wp:effectExtent l="0" t="0" r="3175" b="11430"/>
            <wp:docPr id="42" name="图表 42">
              <a:extLst xmlns:a="http://schemas.openxmlformats.org/drawingml/2006/main">
                <a:ext uri="{FF2B5EF4-FFF2-40B4-BE49-F238E27FC236}">
                  <a16:creationId xmlns:a16="http://schemas.microsoft.com/office/drawing/2014/main" id="{A03FE08C-4492-402D-B274-6BA36C0EB0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B1C6176" w14:textId="3439B88E" w:rsidR="00497FBD" w:rsidRPr="00B6498F" w:rsidRDefault="00B6498F" w:rsidP="00B6498F">
      <w:pPr>
        <w:pStyle w:val="2"/>
        <w:spacing w:before="0" w:after="0" w:line="240" w:lineRule="auto"/>
        <w:rPr>
          <w:rFonts w:ascii="楷体" w:eastAsia="楷体" w:hAnsi="楷体"/>
          <w:sz w:val="24"/>
          <w:szCs w:val="24"/>
        </w:rPr>
      </w:pPr>
      <w:r>
        <w:rPr>
          <w:rFonts w:ascii="楷体" w:eastAsia="楷体" w:hAnsi="楷体" w:hint="eastAsia"/>
          <w:sz w:val="24"/>
          <w:szCs w:val="24"/>
        </w:rPr>
        <w:t>2.2</w:t>
      </w:r>
      <w:r>
        <w:rPr>
          <w:rFonts w:ascii="楷体" w:eastAsia="楷体" w:hAnsi="楷体"/>
          <w:sz w:val="24"/>
          <w:szCs w:val="24"/>
        </w:rPr>
        <w:t xml:space="preserve"> </w:t>
      </w:r>
      <w:r w:rsidR="00497FBD" w:rsidRPr="00B6498F">
        <w:rPr>
          <w:rFonts w:ascii="楷体" w:eastAsia="楷体" w:hAnsi="楷体" w:hint="eastAsia"/>
          <w:sz w:val="24"/>
          <w:szCs w:val="24"/>
        </w:rPr>
        <w:t>生物药</w:t>
      </w:r>
      <w:r w:rsidR="00BC523B" w:rsidRPr="00B6498F">
        <w:rPr>
          <w:rFonts w:ascii="楷体" w:eastAsia="楷体" w:hAnsi="楷体" w:hint="eastAsia"/>
          <w:sz w:val="24"/>
          <w:szCs w:val="24"/>
        </w:rPr>
        <w:t>市</w:t>
      </w:r>
      <w:proofErr w:type="gramStart"/>
      <w:r w:rsidR="00BC523B" w:rsidRPr="00B6498F">
        <w:rPr>
          <w:rFonts w:ascii="楷体" w:eastAsia="楷体" w:hAnsi="楷体" w:hint="eastAsia"/>
          <w:sz w:val="24"/>
          <w:szCs w:val="24"/>
        </w:rPr>
        <w:t>场成长</w:t>
      </w:r>
      <w:proofErr w:type="gramEnd"/>
      <w:r w:rsidR="00BC523B" w:rsidRPr="00B6498F">
        <w:rPr>
          <w:rFonts w:ascii="楷体" w:eastAsia="楷体" w:hAnsi="楷体" w:hint="eastAsia"/>
          <w:sz w:val="24"/>
          <w:szCs w:val="24"/>
        </w:rPr>
        <w:t>前景广阔，</w:t>
      </w:r>
      <w:r w:rsidR="00D25971" w:rsidRPr="00B6498F">
        <w:rPr>
          <w:rFonts w:ascii="楷体" w:eastAsia="楷体" w:hAnsi="楷体" w:hint="eastAsia"/>
          <w:sz w:val="24"/>
          <w:szCs w:val="24"/>
        </w:rPr>
        <w:t>利润增速大幅回升</w:t>
      </w:r>
    </w:p>
    <w:p w14:paraId="46DBF537" w14:textId="79259CE6" w:rsidR="00383C75" w:rsidRDefault="00383C75" w:rsidP="00D60463">
      <w:pPr>
        <w:ind w:firstLineChars="200" w:firstLine="360"/>
        <w:rPr>
          <w:rFonts w:ascii="楷体" w:eastAsia="楷体" w:hAnsi="楷体"/>
          <w:sz w:val="18"/>
          <w:szCs w:val="20"/>
        </w:rPr>
      </w:pPr>
      <w:r w:rsidRPr="00D60463">
        <w:rPr>
          <w:rFonts w:ascii="楷体" w:eastAsia="楷体" w:hAnsi="楷体" w:hint="eastAsia"/>
          <w:sz w:val="18"/>
          <w:szCs w:val="20"/>
        </w:rPr>
        <w:t>近几年，生物药在药物市场中地位持续提升，</w:t>
      </w:r>
      <w:r w:rsidR="003D5499" w:rsidRPr="00D60463">
        <w:rPr>
          <w:rFonts w:ascii="楷体" w:eastAsia="楷体" w:hAnsi="楷体" w:hint="eastAsia"/>
          <w:sz w:val="18"/>
          <w:szCs w:val="20"/>
        </w:rPr>
        <w:t>国内市场方面，目前国内生物</w:t>
      </w:r>
      <w:proofErr w:type="gramStart"/>
      <w:r w:rsidR="003D5499" w:rsidRPr="00D60463">
        <w:rPr>
          <w:rFonts w:ascii="楷体" w:eastAsia="楷体" w:hAnsi="楷体" w:hint="eastAsia"/>
          <w:sz w:val="18"/>
          <w:szCs w:val="20"/>
        </w:rPr>
        <w:t>药</w:t>
      </w:r>
      <w:r w:rsidR="00FA6D45">
        <w:rPr>
          <w:rFonts w:ascii="楷体" w:eastAsia="楷体" w:hAnsi="楷体" w:hint="eastAsia"/>
          <w:sz w:val="18"/>
          <w:szCs w:val="20"/>
        </w:rPr>
        <w:t>销售</w:t>
      </w:r>
      <w:proofErr w:type="gramEnd"/>
      <w:r w:rsidR="00FA6D45">
        <w:rPr>
          <w:rFonts w:ascii="楷体" w:eastAsia="楷体" w:hAnsi="楷体" w:hint="eastAsia"/>
          <w:sz w:val="18"/>
          <w:szCs w:val="20"/>
        </w:rPr>
        <w:t>收入</w:t>
      </w:r>
      <w:r w:rsidR="003D5499" w:rsidRPr="00D60463">
        <w:rPr>
          <w:rFonts w:ascii="楷体" w:eastAsia="楷体" w:hAnsi="楷体" w:hint="eastAsia"/>
          <w:sz w:val="18"/>
          <w:szCs w:val="20"/>
        </w:rPr>
        <w:t>已从14年的</w:t>
      </w:r>
      <w:r w:rsidR="00A26111">
        <w:rPr>
          <w:rFonts w:ascii="楷体" w:eastAsia="楷体" w:hAnsi="楷体" w:hint="eastAsia"/>
          <w:sz w:val="18"/>
          <w:szCs w:val="20"/>
        </w:rPr>
        <w:t>400</w:t>
      </w:r>
      <w:r w:rsidR="003D5499" w:rsidRPr="00D60463">
        <w:rPr>
          <w:rFonts w:ascii="楷体" w:eastAsia="楷体" w:hAnsi="楷体" w:hint="eastAsia"/>
          <w:sz w:val="18"/>
          <w:szCs w:val="20"/>
        </w:rPr>
        <w:t>亿增长至18年的</w:t>
      </w:r>
      <w:r w:rsidR="00A26111">
        <w:rPr>
          <w:rFonts w:ascii="楷体" w:eastAsia="楷体" w:hAnsi="楷体" w:hint="eastAsia"/>
          <w:sz w:val="18"/>
          <w:szCs w:val="20"/>
        </w:rPr>
        <w:t>530</w:t>
      </w:r>
      <w:r w:rsidR="003D5499" w:rsidRPr="00D60463">
        <w:rPr>
          <w:rFonts w:ascii="楷体" w:eastAsia="楷体" w:hAnsi="楷体" w:hint="eastAsia"/>
          <w:sz w:val="18"/>
          <w:szCs w:val="20"/>
        </w:rPr>
        <w:t>亿</w:t>
      </w:r>
      <w:r w:rsidR="00905F86" w:rsidRPr="00D60463">
        <w:rPr>
          <w:rFonts w:ascii="楷体" w:eastAsia="楷体" w:hAnsi="楷体" w:hint="eastAsia"/>
          <w:sz w:val="18"/>
          <w:szCs w:val="20"/>
        </w:rPr>
        <w:t>。</w:t>
      </w:r>
      <w:r w:rsidR="00A26111">
        <w:rPr>
          <w:rFonts w:ascii="楷体" w:eastAsia="楷体" w:hAnsi="楷体" w:hint="eastAsia"/>
          <w:sz w:val="18"/>
          <w:szCs w:val="20"/>
        </w:rPr>
        <w:t>同时</w:t>
      </w:r>
      <w:r w:rsidR="00905F86" w:rsidRPr="00D60463">
        <w:rPr>
          <w:rFonts w:ascii="楷体" w:eastAsia="楷体" w:hAnsi="楷体" w:hint="eastAsia"/>
          <w:sz w:val="18"/>
          <w:szCs w:val="20"/>
        </w:rPr>
        <w:t>与全球市场相比，目前生物药在国内药品市场中占比仍较低，未来有很大的增长潜力。</w:t>
      </w:r>
    </w:p>
    <w:p w14:paraId="33011526" w14:textId="0C1382DD" w:rsidR="0004021A" w:rsidRPr="0004021A" w:rsidRDefault="0004021A" w:rsidP="0004021A">
      <w:pPr>
        <w:ind w:firstLineChars="200" w:firstLine="321"/>
        <w:jc w:val="center"/>
        <w:rPr>
          <w:rFonts w:ascii="楷体" w:eastAsia="楷体" w:hAnsi="楷体" w:hint="eastAsia"/>
          <w:b/>
          <w:bCs/>
          <w:sz w:val="16"/>
          <w:szCs w:val="18"/>
        </w:rPr>
      </w:pPr>
      <w:r w:rsidRPr="0004021A">
        <w:rPr>
          <w:rFonts w:ascii="楷体" w:eastAsia="楷体" w:hAnsi="楷体" w:hint="eastAsia"/>
          <w:b/>
          <w:bCs/>
          <w:sz w:val="16"/>
          <w:szCs w:val="18"/>
        </w:rPr>
        <w:t>2014-2018年生物药收入及增速</w:t>
      </w:r>
    </w:p>
    <w:p w14:paraId="7DDD4FF8" w14:textId="4DFC3048" w:rsidR="00FA6D45" w:rsidRPr="00D60463" w:rsidRDefault="00FA6D45" w:rsidP="00FA6D45">
      <w:pPr>
        <w:ind w:firstLineChars="200" w:firstLine="420"/>
        <w:jc w:val="center"/>
        <w:rPr>
          <w:rFonts w:ascii="楷体" w:eastAsia="楷体" w:hAnsi="楷体" w:hint="eastAsia"/>
          <w:sz w:val="18"/>
          <w:szCs w:val="20"/>
        </w:rPr>
      </w:pPr>
      <w:r>
        <w:rPr>
          <w:noProof/>
        </w:rPr>
        <w:lastRenderedPageBreak/>
        <w:drawing>
          <wp:inline distT="0" distB="0" distL="0" distR="0" wp14:anchorId="5ED51CC3" wp14:editId="13D3E8E5">
            <wp:extent cx="2005263" cy="1114926"/>
            <wp:effectExtent l="0" t="0" r="14605" b="9525"/>
            <wp:docPr id="3" name="图表 3">
              <a:extLst xmlns:a="http://schemas.openxmlformats.org/drawingml/2006/main">
                <a:ext uri="{FF2B5EF4-FFF2-40B4-BE49-F238E27FC236}">
                  <a16:creationId xmlns:a16="http://schemas.microsoft.com/office/drawing/2014/main" id="{01561D1D-E0C4-411D-BEF5-E5F5807426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1B9749" w14:textId="638FFF2C" w:rsidR="00012847" w:rsidRDefault="00F72A5E" w:rsidP="00D60463">
      <w:pPr>
        <w:rPr>
          <w:rFonts w:ascii="楷体" w:eastAsia="楷体" w:hAnsi="楷体"/>
          <w:sz w:val="18"/>
          <w:szCs w:val="20"/>
        </w:rPr>
      </w:pPr>
      <w:r>
        <w:rPr>
          <w:rFonts w:ascii="楷体" w:eastAsia="楷体" w:hAnsi="楷体" w:hint="eastAsia"/>
          <w:sz w:val="18"/>
          <w:szCs w:val="20"/>
        </w:rPr>
        <w:t>从各板块毛利率来看，生物医药的</w:t>
      </w:r>
      <w:r w:rsidR="00CA6566">
        <w:rPr>
          <w:rFonts w:ascii="楷体" w:eastAsia="楷体" w:hAnsi="楷体" w:hint="eastAsia"/>
          <w:sz w:val="18"/>
          <w:szCs w:val="20"/>
        </w:rPr>
        <w:t>毛利率水平</w:t>
      </w:r>
      <w:r w:rsidR="006C58E6" w:rsidRPr="00D60463">
        <w:rPr>
          <w:rFonts w:ascii="楷体" w:eastAsia="楷体" w:hAnsi="楷体" w:hint="eastAsia"/>
          <w:sz w:val="18"/>
          <w:szCs w:val="20"/>
        </w:rPr>
        <w:t>处于领先地位</w:t>
      </w:r>
      <w:r w:rsidR="00CA6566">
        <w:rPr>
          <w:rFonts w:ascii="楷体" w:eastAsia="楷体" w:hAnsi="楷体" w:hint="eastAsia"/>
          <w:sz w:val="18"/>
          <w:szCs w:val="20"/>
        </w:rPr>
        <w:t>。</w:t>
      </w:r>
    </w:p>
    <w:p w14:paraId="263D1F3E" w14:textId="4B14A953" w:rsidR="0004021A" w:rsidRPr="001620F1" w:rsidRDefault="0004021A" w:rsidP="001620F1">
      <w:pPr>
        <w:jc w:val="center"/>
        <w:rPr>
          <w:rFonts w:ascii="楷体" w:eastAsia="楷体" w:hAnsi="楷体" w:hint="eastAsia"/>
          <w:b/>
          <w:bCs/>
          <w:sz w:val="16"/>
          <w:szCs w:val="18"/>
        </w:rPr>
      </w:pPr>
      <w:r w:rsidRPr="001620F1">
        <w:rPr>
          <w:rFonts w:ascii="楷体" w:eastAsia="楷体" w:hAnsi="楷体" w:hint="eastAsia"/>
          <w:b/>
          <w:bCs/>
          <w:sz w:val="16"/>
          <w:szCs w:val="18"/>
        </w:rPr>
        <w:t>2014-2018年</w:t>
      </w:r>
      <w:r w:rsidR="001620F1" w:rsidRPr="001620F1">
        <w:rPr>
          <w:rFonts w:ascii="楷体" w:eastAsia="楷体" w:hAnsi="楷体" w:hint="eastAsia"/>
          <w:b/>
          <w:bCs/>
          <w:sz w:val="16"/>
          <w:szCs w:val="18"/>
        </w:rPr>
        <w:t>医疗行业各板块毛利率对比</w:t>
      </w:r>
    </w:p>
    <w:p w14:paraId="7EA851BB" w14:textId="77777777" w:rsidR="00F72A5E" w:rsidRDefault="002C4D8C" w:rsidP="00F72A5E">
      <w:pPr>
        <w:pStyle w:val="a3"/>
        <w:ind w:left="720" w:firstLineChars="0" w:firstLine="0"/>
        <w:jc w:val="center"/>
        <w:rPr>
          <w:rFonts w:ascii="楷体" w:eastAsia="楷体" w:hAnsi="楷体"/>
          <w:sz w:val="18"/>
          <w:szCs w:val="20"/>
        </w:rPr>
      </w:pPr>
      <w:r>
        <w:rPr>
          <w:noProof/>
        </w:rPr>
        <w:drawing>
          <wp:inline distT="0" distB="0" distL="0" distR="0" wp14:anchorId="3CF99B90" wp14:editId="439A5895">
            <wp:extent cx="2943726" cy="1375611"/>
            <wp:effectExtent l="0" t="0" r="9525" b="15240"/>
            <wp:docPr id="4" name="图表 4">
              <a:extLst xmlns:a="http://schemas.openxmlformats.org/drawingml/2006/main">
                <a:ext uri="{FF2B5EF4-FFF2-40B4-BE49-F238E27FC236}">
                  <a16:creationId xmlns:a16="http://schemas.microsoft.com/office/drawing/2014/main" id="{BB3549DE-EB1E-43B0-A4EE-BFBD81346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2462AE5" w14:textId="3EBEF6E0" w:rsidR="006C58E6" w:rsidRPr="00EB1F84" w:rsidRDefault="00EB1F84" w:rsidP="00EB1F84">
      <w:pPr>
        <w:pStyle w:val="3"/>
        <w:spacing w:before="0" w:after="0" w:line="240" w:lineRule="auto"/>
        <w:rPr>
          <w:rFonts w:ascii="楷体" w:eastAsia="楷体" w:hAnsi="楷体"/>
          <w:sz w:val="22"/>
          <w:szCs w:val="22"/>
        </w:rPr>
      </w:pPr>
      <w:r w:rsidRPr="00EB1F84">
        <w:rPr>
          <w:rFonts w:ascii="楷体" w:eastAsia="楷体" w:hAnsi="楷体" w:hint="eastAsia"/>
          <w:sz w:val="22"/>
          <w:szCs w:val="22"/>
        </w:rPr>
        <w:t>2.2.1</w:t>
      </w:r>
      <w:r w:rsidRPr="00EB1F84">
        <w:rPr>
          <w:rFonts w:ascii="楷体" w:eastAsia="楷体" w:hAnsi="楷体"/>
          <w:sz w:val="22"/>
          <w:szCs w:val="22"/>
        </w:rPr>
        <w:t xml:space="preserve"> </w:t>
      </w:r>
      <w:r w:rsidR="00951A22" w:rsidRPr="00EB1F84">
        <w:rPr>
          <w:rFonts w:ascii="楷体" w:eastAsia="楷体" w:hAnsi="楷体" w:hint="eastAsia"/>
          <w:sz w:val="22"/>
          <w:szCs w:val="22"/>
        </w:rPr>
        <w:t>疫苗市场</w:t>
      </w:r>
      <w:r w:rsidR="00AC3BFA" w:rsidRPr="00EB1F84">
        <w:rPr>
          <w:rFonts w:ascii="楷体" w:eastAsia="楷体" w:hAnsi="楷体" w:hint="eastAsia"/>
          <w:sz w:val="22"/>
          <w:szCs w:val="22"/>
        </w:rPr>
        <w:t>增长空间巨大</w:t>
      </w:r>
    </w:p>
    <w:p w14:paraId="0F3775EE" w14:textId="468B04E0" w:rsidR="00D31868" w:rsidRPr="00D60463" w:rsidRDefault="00440A59" w:rsidP="00D60463">
      <w:pPr>
        <w:ind w:firstLineChars="200" w:firstLine="400"/>
        <w:rPr>
          <w:rFonts w:ascii="楷体" w:eastAsia="楷体" w:hAnsi="楷体"/>
          <w:color w:val="000000"/>
          <w:sz w:val="20"/>
          <w:szCs w:val="20"/>
        </w:rPr>
      </w:pPr>
      <w:r w:rsidRPr="00D60463">
        <w:rPr>
          <w:rFonts w:ascii="楷体" w:eastAsia="楷体" w:hAnsi="楷体"/>
          <w:color w:val="000000"/>
          <w:sz w:val="20"/>
          <w:szCs w:val="20"/>
        </w:rPr>
        <w:t>中国疫苗市场规模在私人市场的拉动下持续增长，从2013年的199亿元增长至2017年的253亿元，年均复合增长率6.2%。随着我国疫苗管理</w:t>
      </w:r>
      <w:proofErr w:type="gramStart"/>
      <w:r w:rsidRPr="00D60463">
        <w:rPr>
          <w:rFonts w:ascii="楷体" w:eastAsia="楷体" w:hAnsi="楷体"/>
          <w:color w:val="000000"/>
          <w:sz w:val="20"/>
          <w:szCs w:val="20"/>
        </w:rPr>
        <w:t>法首次</w:t>
      </w:r>
      <w:proofErr w:type="gramEnd"/>
      <w:r w:rsidRPr="00D60463">
        <w:rPr>
          <w:rFonts w:ascii="楷体" w:eastAsia="楷体" w:hAnsi="楷体"/>
          <w:color w:val="000000"/>
          <w:sz w:val="20"/>
          <w:szCs w:val="20"/>
        </w:rPr>
        <w:t>落地，疫苗纳入国家战略物资，加上中国疫苗市场供不应求，多个创新型疫苗上市，且人口基数大，未来增长可期。</w:t>
      </w:r>
    </w:p>
    <w:p w14:paraId="3FA5005A" w14:textId="5D58C216" w:rsidR="00AC2F0A" w:rsidRPr="00D60463" w:rsidRDefault="00AC2F0A" w:rsidP="00886E5C">
      <w:pPr>
        <w:jc w:val="center"/>
        <w:rPr>
          <w:rFonts w:ascii="楷体" w:eastAsia="楷体" w:hAnsi="楷体" w:hint="eastAsia"/>
          <w:sz w:val="18"/>
          <w:szCs w:val="20"/>
        </w:rPr>
      </w:pPr>
      <w:r w:rsidRPr="00D60463">
        <w:rPr>
          <w:rFonts w:ascii="楷体" w:eastAsia="楷体" w:hAnsi="楷体"/>
          <w:noProof/>
          <w:sz w:val="18"/>
          <w:szCs w:val="20"/>
        </w:rPr>
        <w:drawing>
          <wp:inline distT="0" distB="0" distL="0" distR="0" wp14:anchorId="122ABB91" wp14:editId="3E09D744">
            <wp:extent cx="3636171" cy="18605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827" cy="1861909"/>
                    </a:xfrm>
                    <a:prstGeom prst="rect">
                      <a:avLst/>
                    </a:prstGeom>
                  </pic:spPr>
                </pic:pic>
              </a:graphicData>
            </a:graphic>
          </wp:inline>
        </w:drawing>
      </w:r>
    </w:p>
    <w:p w14:paraId="3E2746A9" w14:textId="69242C17" w:rsidR="00483051" w:rsidRPr="005E7AE5" w:rsidRDefault="005E7AE5" w:rsidP="005E7AE5">
      <w:pPr>
        <w:pStyle w:val="3"/>
        <w:spacing w:before="0" w:after="0" w:line="240" w:lineRule="auto"/>
        <w:rPr>
          <w:rFonts w:ascii="楷体" w:eastAsia="楷体" w:hAnsi="楷体"/>
          <w:sz w:val="22"/>
          <w:szCs w:val="22"/>
        </w:rPr>
      </w:pPr>
      <w:r w:rsidRPr="005E7AE5">
        <w:rPr>
          <w:rFonts w:ascii="楷体" w:eastAsia="楷体" w:hAnsi="楷体" w:hint="eastAsia"/>
          <w:sz w:val="22"/>
          <w:szCs w:val="22"/>
        </w:rPr>
        <w:t>2.2.2</w:t>
      </w:r>
      <w:r w:rsidR="00483051" w:rsidRPr="005E7AE5">
        <w:rPr>
          <w:rFonts w:ascii="楷体" w:eastAsia="楷体" w:hAnsi="楷体" w:hint="eastAsia"/>
          <w:sz w:val="22"/>
          <w:szCs w:val="22"/>
        </w:rPr>
        <w:t>疫苗行业</w:t>
      </w:r>
      <w:r w:rsidR="0071500B" w:rsidRPr="005E7AE5">
        <w:rPr>
          <w:rFonts w:ascii="楷体" w:eastAsia="楷体" w:hAnsi="楷体" w:hint="eastAsia"/>
          <w:sz w:val="22"/>
          <w:szCs w:val="22"/>
        </w:rPr>
        <w:t>有较高的技术壁垒、资金壁垒和</w:t>
      </w:r>
      <w:r w:rsidR="0048229C" w:rsidRPr="005E7AE5">
        <w:rPr>
          <w:rFonts w:ascii="楷体" w:eastAsia="楷体" w:hAnsi="楷体" w:hint="eastAsia"/>
          <w:sz w:val="22"/>
          <w:szCs w:val="22"/>
        </w:rPr>
        <w:t>政治壁垒</w:t>
      </w:r>
    </w:p>
    <w:p w14:paraId="14ECB57E" w14:textId="2D9E9561" w:rsidR="00991649" w:rsidRDefault="005E7AE5" w:rsidP="00991649">
      <w:pPr>
        <w:rPr>
          <w:rFonts w:ascii="楷体" w:eastAsia="楷体" w:hAnsi="楷体"/>
          <w:sz w:val="18"/>
          <w:szCs w:val="20"/>
        </w:rPr>
      </w:pPr>
      <w:r>
        <w:rPr>
          <w:rFonts w:ascii="楷体" w:eastAsia="楷体" w:hAnsi="楷体" w:hint="eastAsia"/>
          <w:sz w:val="18"/>
          <w:szCs w:val="20"/>
        </w:rPr>
        <w:t>（1）</w:t>
      </w:r>
      <w:r w:rsidR="00F01CE9" w:rsidRPr="00D60463">
        <w:rPr>
          <w:rFonts w:ascii="楷体" w:eastAsia="楷体" w:hAnsi="楷体" w:hint="eastAsia"/>
          <w:sz w:val="18"/>
          <w:szCs w:val="20"/>
        </w:rPr>
        <w:t>研发周期长，耗时耗力</w:t>
      </w:r>
      <w:r w:rsidR="00660B67">
        <w:rPr>
          <w:rFonts w:ascii="楷体" w:eastAsia="楷体" w:hAnsi="楷体" w:hint="eastAsia"/>
          <w:sz w:val="18"/>
          <w:szCs w:val="20"/>
        </w:rPr>
        <w:t>：</w:t>
      </w:r>
      <w:r w:rsidR="00F01CE9" w:rsidRPr="00D60463">
        <w:rPr>
          <w:rFonts w:ascii="楷体" w:eastAsia="楷体" w:hAnsi="楷体"/>
          <w:sz w:val="18"/>
          <w:szCs w:val="20"/>
        </w:rPr>
        <w:t>根据全球数据，研发一个全新疫苗的平均时间成本为12年</w:t>
      </w:r>
      <w:r w:rsidR="00991649">
        <w:rPr>
          <w:rFonts w:ascii="楷体" w:eastAsia="楷体" w:hAnsi="楷体" w:hint="eastAsia"/>
          <w:sz w:val="18"/>
          <w:szCs w:val="20"/>
        </w:rPr>
        <w:t>，</w:t>
      </w:r>
      <w:r w:rsidR="00F01CE9" w:rsidRPr="00D60463">
        <w:rPr>
          <w:rFonts w:ascii="楷体" w:eastAsia="楷体" w:hAnsi="楷体"/>
          <w:sz w:val="18"/>
          <w:szCs w:val="20"/>
        </w:rPr>
        <w:t>资金成本为6-11亿美元</w:t>
      </w:r>
      <w:r w:rsidR="00991649">
        <w:rPr>
          <w:rFonts w:ascii="楷体" w:eastAsia="楷体" w:hAnsi="楷体" w:hint="eastAsia"/>
          <w:sz w:val="18"/>
          <w:szCs w:val="20"/>
        </w:rPr>
        <w:t>；</w:t>
      </w:r>
    </w:p>
    <w:p w14:paraId="7182C57B" w14:textId="69989AE3" w:rsidR="00984916" w:rsidRPr="00660B67" w:rsidRDefault="00660B67" w:rsidP="00660B67">
      <w:pPr>
        <w:rPr>
          <w:rFonts w:ascii="楷体" w:eastAsia="楷体" w:hAnsi="楷体"/>
          <w:sz w:val="18"/>
          <w:szCs w:val="20"/>
        </w:rPr>
      </w:pPr>
      <w:r>
        <w:rPr>
          <w:rFonts w:ascii="楷体" w:eastAsia="楷体" w:hAnsi="楷体" w:hint="eastAsia"/>
          <w:sz w:val="18"/>
          <w:szCs w:val="20"/>
        </w:rPr>
        <w:t>（2）</w:t>
      </w:r>
      <w:r w:rsidR="00F01CE9" w:rsidRPr="00660B67">
        <w:rPr>
          <w:rFonts w:ascii="楷体" w:eastAsia="楷体" w:hAnsi="楷体" w:hint="eastAsia"/>
          <w:sz w:val="18"/>
          <w:szCs w:val="20"/>
        </w:rPr>
        <w:t>规模生产有难度，质</w:t>
      </w:r>
      <w:proofErr w:type="gramStart"/>
      <w:r w:rsidR="00F01CE9" w:rsidRPr="00660B67">
        <w:rPr>
          <w:rFonts w:ascii="楷体" w:eastAsia="楷体" w:hAnsi="楷体" w:hint="eastAsia"/>
          <w:sz w:val="18"/>
          <w:szCs w:val="20"/>
        </w:rPr>
        <w:t>控要求</w:t>
      </w:r>
      <w:proofErr w:type="gramEnd"/>
      <w:r w:rsidR="00F01CE9" w:rsidRPr="00660B67">
        <w:rPr>
          <w:rFonts w:ascii="楷体" w:eastAsia="楷体" w:hAnsi="楷体" w:hint="eastAsia"/>
          <w:sz w:val="18"/>
          <w:szCs w:val="20"/>
        </w:rPr>
        <w:t>高</w:t>
      </w:r>
    </w:p>
    <w:p w14:paraId="79F12F1B" w14:textId="77777777" w:rsidR="00660B67" w:rsidRDefault="006C29C3" w:rsidP="00660B67">
      <w:pPr>
        <w:pStyle w:val="a3"/>
        <w:numPr>
          <w:ilvl w:val="0"/>
          <w:numId w:val="7"/>
        </w:numPr>
        <w:ind w:left="426" w:firstLineChars="0" w:hanging="142"/>
        <w:rPr>
          <w:rFonts w:ascii="楷体" w:eastAsia="楷体" w:hAnsi="楷体"/>
          <w:sz w:val="18"/>
          <w:szCs w:val="20"/>
        </w:rPr>
      </w:pPr>
      <w:r w:rsidRPr="00660B67">
        <w:rPr>
          <w:rFonts w:ascii="楷体" w:eastAsia="楷体" w:hAnsi="楷体"/>
          <w:sz w:val="18"/>
          <w:szCs w:val="20"/>
        </w:rPr>
        <w:t>疫苗的起始生产原料为生物体，与生物药类似，生产过程中存在难以控制的变异可能；</w:t>
      </w:r>
    </w:p>
    <w:p w14:paraId="454E30F2" w14:textId="79CDDCB2" w:rsidR="00660B67" w:rsidRDefault="006C29C3" w:rsidP="00660B67">
      <w:pPr>
        <w:pStyle w:val="a3"/>
        <w:numPr>
          <w:ilvl w:val="0"/>
          <w:numId w:val="7"/>
        </w:numPr>
        <w:ind w:left="426" w:firstLineChars="0" w:hanging="142"/>
        <w:rPr>
          <w:rFonts w:ascii="楷体" w:eastAsia="楷体" w:hAnsi="楷体"/>
          <w:sz w:val="18"/>
          <w:szCs w:val="20"/>
        </w:rPr>
      </w:pPr>
      <w:r w:rsidRPr="00660B67">
        <w:rPr>
          <w:rFonts w:ascii="楷体" w:eastAsia="楷体" w:hAnsi="楷体"/>
          <w:sz w:val="18"/>
          <w:szCs w:val="20"/>
        </w:rPr>
        <w:t>产品的质量检测具有局限性，一般以生产完成后的抽样检测为主，事前事中则依靠遵循GMP规范实现</w:t>
      </w:r>
      <w:r w:rsidRPr="00660B67">
        <w:rPr>
          <w:rFonts w:ascii="楷体" w:eastAsia="楷体" w:hAnsi="楷体" w:hint="eastAsia"/>
          <w:sz w:val="18"/>
          <w:szCs w:val="20"/>
        </w:rPr>
        <w:t>；</w:t>
      </w:r>
    </w:p>
    <w:p w14:paraId="152CEA93" w14:textId="4CCC5DFB" w:rsidR="00F01CE9" w:rsidRPr="00660B67" w:rsidRDefault="006C29C3" w:rsidP="00660B67">
      <w:pPr>
        <w:pStyle w:val="a3"/>
        <w:numPr>
          <w:ilvl w:val="0"/>
          <w:numId w:val="7"/>
        </w:numPr>
        <w:ind w:left="426" w:firstLineChars="0" w:hanging="142"/>
        <w:rPr>
          <w:rFonts w:ascii="楷体" w:eastAsia="楷体" w:hAnsi="楷体"/>
          <w:sz w:val="18"/>
          <w:szCs w:val="20"/>
        </w:rPr>
      </w:pPr>
      <w:r w:rsidRPr="00660B67">
        <w:rPr>
          <w:rFonts w:ascii="楷体" w:eastAsia="楷体" w:hAnsi="楷体"/>
          <w:sz w:val="18"/>
          <w:szCs w:val="20"/>
        </w:rPr>
        <w:t>疫苗需要大规模接种， 且相当一部分疫苗的受众为体质较弱的婴幼儿， 对产品的安全性、 有效性、可控性和一致性要求相比一般药品更高</w:t>
      </w:r>
      <w:r w:rsidR="00C57CA8">
        <w:rPr>
          <w:rFonts w:ascii="楷体" w:eastAsia="楷体" w:hAnsi="楷体" w:hint="eastAsia"/>
          <w:color w:val="595959"/>
          <w:sz w:val="22"/>
        </w:rPr>
        <w:t>。</w:t>
      </w:r>
    </w:p>
    <w:p w14:paraId="44C4A5C3" w14:textId="06914DFD" w:rsidR="00802515" w:rsidRPr="00886E5C" w:rsidRDefault="00886E5C" w:rsidP="00886E5C">
      <w:pPr>
        <w:pStyle w:val="3"/>
        <w:spacing w:before="0" w:after="0" w:line="240" w:lineRule="auto"/>
        <w:rPr>
          <w:rFonts w:ascii="楷体" w:eastAsia="楷体" w:hAnsi="楷体"/>
          <w:sz w:val="22"/>
          <w:szCs w:val="22"/>
        </w:rPr>
      </w:pPr>
      <w:r w:rsidRPr="00886E5C">
        <w:rPr>
          <w:rFonts w:ascii="楷体" w:eastAsia="楷体" w:hAnsi="楷体" w:hint="eastAsia"/>
          <w:sz w:val="22"/>
          <w:szCs w:val="22"/>
        </w:rPr>
        <w:t>2.2.3</w:t>
      </w:r>
      <w:r w:rsidRPr="00886E5C">
        <w:rPr>
          <w:rFonts w:ascii="楷体" w:eastAsia="楷体" w:hAnsi="楷体"/>
          <w:sz w:val="22"/>
          <w:szCs w:val="22"/>
        </w:rPr>
        <w:t xml:space="preserve"> </w:t>
      </w:r>
      <w:r w:rsidR="00802515" w:rsidRPr="00886E5C">
        <w:rPr>
          <w:rFonts w:ascii="楷体" w:eastAsia="楷体" w:hAnsi="楷体" w:hint="eastAsia"/>
          <w:sz w:val="22"/>
          <w:szCs w:val="22"/>
        </w:rPr>
        <w:t>中国疫苗市场竞争格局</w:t>
      </w:r>
      <w:r w:rsidR="00745BAD" w:rsidRPr="00886E5C">
        <w:rPr>
          <w:rFonts w:ascii="楷体" w:eastAsia="楷体" w:hAnsi="楷体" w:hint="eastAsia"/>
          <w:sz w:val="22"/>
          <w:szCs w:val="22"/>
        </w:rPr>
        <w:t>趋于集中</w:t>
      </w:r>
    </w:p>
    <w:p w14:paraId="6BF0ECF1" w14:textId="2D060994" w:rsidR="00F36694" w:rsidRPr="00D60463" w:rsidRDefault="00C57CA8" w:rsidP="00C57CA8">
      <w:pPr>
        <w:ind w:firstLineChars="200" w:firstLine="360"/>
        <w:rPr>
          <w:rFonts w:ascii="楷体" w:eastAsia="楷体" w:hAnsi="楷体"/>
          <w:sz w:val="18"/>
          <w:szCs w:val="20"/>
        </w:rPr>
      </w:pPr>
      <w:r>
        <w:rPr>
          <w:rFonts w:ascii="楷体" w:eastAsia="楷体" w:hAnsi="楷体" w:hint="eastAsia"/>
          <w:sz w:val="18"/>
          <w:szCs w:val="20"/>
        </w:rPr>
        <w:t>目前</w:t>
      </w:r>
      <w:r w:rsidR="00F36694" w:rsidRPr="00D60463">
        <w:rPr>
          <w:rFonts w:ascii="楷体" w:eastAsia="楷体" w:hAnsi="楷体"/>
          <w:sz w:val="18"/>
          <w:szCs w:val="20"/>
        </w:rPr>
        <w:t>国内疫苗行业相对分散，未来将趋于集中</w:t>
      </w:r>
      <w:r w:rsidR="00795E9D" w:rsidRPr="00D60463">
        <w:rPr>
          <w:rFonts w:ascii="楷体" w:eastAsia="楷体" w:hAnsi="楷体" w:hint="eastAsia"/>
          <w:sz w:val="18"/>
          <w:szCs w:val="20"/>
        </w:rPr>
        <w:t>。</w:t>
      </w:r>
      <w:r w:rsidR="00745BAD" w:rsidRPr="00D60463">
        <w:rPr>
          <w:rFonts w:ascii="楷体" w:eastAsia="楷体" w:hAnsi="楷体"/>
          <w:sz w:val="18"/>
          <w:szCs w:val="20"/>
        </w:rPr>
        <w:t>根据2018年药监局全面排查数据，全国45家疫苗生产企业处于正常运营的共38家，其中实际生产二类苗的35家，有独家品种或至少有一个</w:t>
      </w:r>
      <w:proofErr w:type="gramStart"/>
      <w:r w:rsidR="00745BAD" w:rsidRPr="00D60463">
        <w:rPr>
          <w:rFonts w:ascii="楷体" w:eastAsia="楷体" w:hAnsi="楷体"/>
          <w:sz w:val="18"/>
          <w:szCs w:val="20"/>
        </w:rPr>
        <w:t>产品市占率</w:t>
      </w:r>
      <w:proofErr w:type="gramEnd"/>
      <w:r w:rsidR="00745BAD" w:rsidRPr="00D60463">
        <w:rPr>
          <w:rFonts w:ascii="楷体" w:eastAsia="楷体" w:hAnsi="楷体"/>
          <w:sz w:val="18"/>
          <w:szCs w:val="20"/>
        </w:rPr>
        <w:t>超20%的有25家。</w:t>
      </w:r>
      <w:r w:rsidR="00DB34FA" w:rsidRPr="00D60463">
        <w:rPr>
          <w:rFonts w:ascii="楷体" w:eastAsia="楷体" w:hAnsi="楷体" w:hint="eastAsia"/>
          <w:sz w:val="18"/>
          <w:szCs w:val="20"/>
        </w:rPr>
        <w:t>随着我国二类疫苗的扩容和爆发以及</w:t>
      </w:r>
      <w:r w:rsidR="00745BAD" w:rsidRPr="00D60463">
        <w:rPr>
          <w:rFonts w:ascii="楷体" w:eastAsia="楷体" w:hAnsi="楷体"/>
          <w:sz w:val="18"/>
          <w:szCs w:val="20"/>
        </w:rPr>
        <w:t>疫苗产业管控趋于严格，</w:t>
      </w:r>
      <w:r w:rsidR="00DB34FA" w:rsidRPr="00D60463">
        <w:rPr>
          <w:rFonts w:ascii="楷体" w:eastAsia="楷体" w:hAnsi="楷体" w:hint="eastAsia"/>
          <w:sz w:val="18"/>
          <w:szCs w:val="20"/>
        </w:rPr>
        <w:t>未来疫苗</w:t>
      </w:r>
      <w:r w:rsidR="00975B73" w:rsidRPr="00C57CA8">
        <w:rPr>
          <w:rFonts w:ascii="楷体" w:eastAsia="楷体" w:hAnsi="楷体"/>
          <w:sz w:val="18"/>
          <w:szCs w:val="20"/>
        </w:rPr>
        <w:t>行业集中度</w:t>
      </w:r>
      <w:r w:rsidR="00795E9D" w:rsidRPr="00C57CA8">
        <w:rPr>
          <w:rFonts w:ascii="楷体" w:eastAsia="楷体" w:hAnsi="楷体" w:hint="eastAsia"/>
          <w:sz w:val="18"/>
          <w:szCs w:val="20"/>
        </w:rPr>
        <w:t>将</w:t>
      </w:r>
      <w:r w:rsidR="00DB34FA" w:rsidRPr="00C57CA8">
        <w:rPr>
          <w:rFonts w:ascii="楷体" w:eastAsia="楷体" w:hAnsi="楷体" w:hint="eastAsia"/>
          <w:sz w:val="18"/>
          <w:szCs w:val="20"/>
        </w:rPr>
        <w:t>不断</w:t>
      </w:r>
      <w:r w:rsidR="00975B73" w:rsidRPr="00C57CA8">
        <w:rPr>
          <w:rFonts w:ascii="楷体" w:eastAsia="楷体" w:hAnsi="楷体"/>
          <w:sz w:val="18"/>
          <w:szCs w:val="20"/>
        </w:rPr>
        <w:t>提升，马太效应显现，研发管线丰富、自主创新能力强+代理</w:t>
      </w:r>
      <w:proofErr w:type="gramStart"/>
      <w:r w:rsidR="00975B73" w:rsidRPr="00C57CA8">
        <w:rPr>
          <w:rFonts w:ascii="楷体" w:eastAsia="楷体" w:hAnsi="楷体"/>
          <w:sz w:val="18"/>
          <w:szCs w:val="20"/>
        </w:rPr>
        <w:t>国外口</w:t>
      </w:r>
      <w:proofErr w:type="gramEnd"/>
      <w:r w:rsidR="00975B73" w:rsidRPr="00C57CA8">
        <w:rPr>
          <w:rFonts w:ascii="楷体" w:eastAsia="楷体" w:hAnsi="楷体"/>
          <w:sz w:val="18"/>
          <w:szCs w:val="20"/>
        </w:rPr>
        <w:t>优质疫苗，护城河高的公司将脱颖而出，品种技术壁垒高，中小企业难以生存</w:t>
      </w:r>
      <w:r w:rsidR="00795E9D" w:rsidRPr="00C57CA8">
        <w:rPr>
          <w:rFonts w:ascii="楷体" w:eastAsia="楷体" w:hAnsi="楷体" w:hint="eastAsia"/>
          <w:sz w:val="18"/>
          <w:szCs w:val="20"/>
        </w:rPr>
        <w:t>。</w:t>
      </w:r>
    </w:p>
    <w:p w14:paraId="55A868DD" w14:textId="061B5F80" w:rsidR="0048229C" w:rsidRDefault="0048229C" w:rsidP="00D60463">
      <w:pPr>
        <w:rPr>
          <w:rFonts w:ascii="楷体" w:eastAsia="楷体" w:hAnsi="楷体"/>
          <w:sz w:val="18"/>
          <w:szCs w:val="20"/>
        </w:rPr>
      </w:pPr>
      <w:r w:rsidRPr="00D60463">
        <w:rPr>
          <w:rFonts w:ascii="楷体" w:eastAsia="楷体" w:hAnsi="楷体" w:hint="eastAsia"/>
          <w:sz w:val="18"/>
          <w:szCs w:val="20"/>
        </w:rPr>
        <w:lastRenderedPageBreak/>
        <w:t>疫苗行业重点公司有康泰生物、智飞生物、</w:t>
      </w:r>
      <w:r w:rsidR="007B2F00" w:rsidRPr="00D60463">
        <w:rPr>
          <w:rFonts w:ascii="楷体" w:eastAsia="楷体" w:hAnsi="楷体" w:hint="eastAsia"/>
          <w:sz w:val="18"/>
          <w:szCs w:val="20"/>
        </w:rPr>
        <w:t>沃森生物、</w:t>
      </w:r>
      <w:r w:rsidR="002E029F">
        <w:rPr>
          <w:rFonts w:ascii="楷体" w:eastAsia="楷体" w:hAnsi="楷体" w:hint="eastAsia"/>
          <w:sz w:val="18"/>
          <w:szCs w:val="20"/>
        </w:rPr>
        <w:t>成大生物</w:t>
      </w:r>
      <w:r w:rsidR="002B76DD">
        <w:rPr>
          <w:rFonts w:ascii="楷体" w:eastAsia="楷体" w:hAnsi="楷体" w:hint="eastAsia"/>
          <w:sz w:val="18"/>
          <w:szCs w:val="20"/>
        </w:rPr>
        <w:t>。</w:t>
      </w:r>
    </w:p>
    <w:p w14:paraId="632B765B" w14:textId="60E9608A" w:rsidR="00817F78" w:rsidRDefault="00817F78" w:rsidP="00D60463">
      <w:pPr>
        <w:rPr>
          <w:rFonts w:ascii="楷体" w:eastAsia="楷体" w:hAnsi="楷体" w:hint="eastAsia"/>
          <w:sz w:val="18"/>
          <w:szCs w:val="20"/>
        </w:rPr>
      </w:pPr>
      <w:r>
        <w:rPr>
          <w:rFonts w:ascii="楷体" w:eastAsia="楷体" w:hAnsi="楷体" w:hint="eastAsia"/>
          <w:sz w:val="18"/>
          <w:szCs w:val="20"/>
        </w:rPr>
        <w:t>从2018年五家公司</w:t>
      </w:r>
      <w:r w:rsidR="00533052">
        <w:rPr>
          <w:rFonts w:ascii="楷体" w:eastAsia="楷体" w:hAnsi="楷体" w:hint="eastAsia"/>
          <w:sz w:val="18"/>
          <w:szCs w:val="20"/>
        </w:rPr>
        <w:t>收入额占比可以看出，</w:t>
      </w:r>
      <w:r w:rsidR="00F7382E">
        <w:rPr>
          <w:rFonts w:ascii="楷体" w:eastAsia="楷体" w:hAnsi="楷体" w:hint="eastAsia"/>
          <w:sz w:val="18"/>
          <w:szCs w:val="20"/>
        </w:rPr>
        <w:t>四家生物医药企业市场份额达95%以上。其中，</w:t>
      </w:r>
      <w:r w:rsidR="00533052">
        <w:rPr>
          <w:rFonts w:ascii="楷体" w:eastAsia="楷体" w:hAnsi="楷体" w:hint="eastAsia"/>
          <w:sz w:val="18"/>
          <w:szCs w:val="20"/>
        </w:rPr>
        <w:t>智飞生物所占市场份额最高。</w:t>
      </w:r>
    </w:p>
    <w:p w14:paraId="085550D2" w14:textId="77777777" w:rsidR="002B76DD" w:rsidRPr="00D60463" w:rsidRDefault="002B76DD" w:rsidP="00D60463">
      <w:pPr>
        <w:rPr>
          <w:rFonts w:ascii="楷体" w:eastAsia="楷体" w:hAnsi="楷体" w:hint="eastAsia"/>
          <w:sz w:val="18"/>
          <w:szCs w:val="20"/>
        </w:rPr>
      </w:pPr>
    </w:p>
    <w:p w14:paraId="6E22067D" w14:textId="19386A43" w:rsidR="0091228E" w:rsidRPr="00D60463" w:rsidRDefault="000F3781" w:rsidP="000F3781">
      <w:pPr>
        <w:jc w:val="center"/>
        <w:rPr>
          <w:rFonts w:ascii="楷体" w:eastAsia="楷体" w:hAnsi="楷体"/>
          <w:sz w:val="18"/>
          <w:szCs w:val="20"/>
        </w:rPr>
      </w:pPr>
      <w:r>
        <w:rPr>
          <w:noProof/>
        </w:rPr>
        <w:drawing>
          <wp:inline distT="0" distB="0" distL="0" distR="0" wp14:anchorId="24515625" wp14:editId="4C09B019">
            <wp:extent cx="2633846" cy="1070777"/>
            <wp:effectExtent l="0" t="0" r="14605" b="15240"/>
            <wp:docPr id="5" name="图表 5">
              <a:extLst xmlns:a="http://schemas.openxmlformats.org/drawingml/2006/main">
                <a:ext uri="{FF2B5EF4-FFF2-40B4-BE49-F238E27FC236}">
                  <a16:creationId xmlns:a16="http://schemas.microsoft.com/office/drawing/2014/main" id="{59AA1F9F-303C-4A72-88FE-7932CAAA22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917AA55" w14:textId="5F109E13" w:rsidR="008607BD" w:rsidRDefault="00381CFC" w:rsidP="00157421">
      <w:pPr>
        <w:pStyle w:val="3"/>
        <w:spacing w:before="0" w:after="0" w:line="240" w:lineRule="auto"/>
        <w:rPr>
          <w:rFonts w:ascii="楷体" w:eastAsia="楷体" w:hAnsi="楷体"/>
          <w:sz w:val="18"/>
          <w:szCs w:val="20"/>
        </w:rPr>
      </w:pPr>
      <w:r w:rsidRPr="00157421">
        <w:rPr>
          <w:rFonts w:ascii="楷体" w:eastAsia="楷体" w:hAnsi="楷体" w:hint="eastAsia"/>
          <w:sz w:val="22"/>
          <w:szCs w:val="22"/>
        </w:rPr>
        <w:t>2.2.4</w:t>
      </w:r>
      <w:r w:rsidRPr="00157421">
        <w:rPr>
          <w:rFonts w:ascii="楷体" w:eastAsia="楷体" w:hAnsi="楷体"/>
          <w:sz w:val="22"/>
          <w:szCs w:val="22"/>
        </w:rPr>
        <w:t xml:space="preserve"> </w:t>
      </w:r>
      <w:r w:rsidR="008607BD" w:rsidRPr="00157421">
        <w:rPr>
          <w:rFonts w:ascii="楷体" w:eastAsia="楷体" w:hAnsi="楷体" w:hint="eastAsia"/>
          <w:sz w:val="22"/>
          <w:szCs w:val="22"/>
        </w:rPr>
        <w:t>国内血制品市场持续增长</w:t>
      </w:r>
      <w:r w:rsidR="00EC0D2E" w:rsidRPr="00157421">
        <w:rPr>
          <w:rFonts w:ascii="楷体" w:eastAsia="楷体" w:hAnsi="楷体" w:hint="eastAsia"/>
          <w:sz w:val="22"/>
          <w:szCs w:val="22"/>
        </w:rPr>
        <w:t xml:space="preserve"> </w:t>
      </w:r>
      <w:r w:rsidR="00EC0D2E" w:rsidRPr="00157421">
        <w:rPr>
          <w:rFonts w:ascii="楷体" w:eastAsia="楷体" w:hAnsi="楷体"/>
          <w:sz w:val="22"/>
          <w:szCs w:val="22"/>
        </w:rPr>
        <w:t xml:space="preserve"> </w:t>
      </w:r>
      <w:r w:rsidR="00EC0D2E" w:rsidRPr="00D60463">
        <w:rPr>
          <w:rFonts w:ascii="楷体" w:eastAsia="楷体" w:hAnsi="楷体"/>
          <w:b w:val="0"/>
          <w:bCs w:val="0"/>
          <w:sz w:val="18"/>
          <w:szCs w:val="20"/>
        </w:rPr>
        <w:t xml:space="preserve"> </w:t>
      </w:r>
    </w:p>
    <w:p w14:paraId="1B8D1FB6" w14:textId="77777777" w:rsidR="007B03FE" w:rsidRDefault="007B03FE" w:rsidP="007B03FE">
      <w:pPr>
        <w:rPr>
          <w:rFonts w:ascii="楷体" w:eastAsia="楷体" w:hAnsi="楷体" w:hint="eastAsia"/>
          <w:sz w:val="18"/>
          <w:szCs w:val="20"/>
        </w:rPr>
      </w:pPr>
    </w:p>
    <w:p w14:paraId="58A984A6" w14:textId="43AF1DE4" w:rsidR="008607BD" w:rsidRPr="00157421" w:rsidRDefault="00991A3D" w:rsidP="00157421">
      <w:pPr>
        <w:jc w:val="center"/>
        <w:rPr>
          <w:rFonts w:ascii="楷体" w:eastAsia="楷体" w:hAnsi="楷体" w:hint="eastAsia"/>
          <w:sz w:val="18"/>
          <w:szCs w:val="20"/>
        </w:rPr>
      </w:pPr>
      <w:r w:rsidRPr="00991A3D">
        <w:rPr>
          <w:noProof/>
          <w:sz w:val="8"/>
          <w:szCs w:val="10"/>
        </w:rPr>
        <w:drawing>
          <wp:inline distT="0" distB="0" distL="0" distR="0" wp14:anchorId="474521FC" wp14:editId="1345193C">
            <wp:extent cx="2931160" cy="1768341"/>
            <wp:effectExtent l="0" t="0" r="2540" b="3810"/>
            <wp:docPr id="7" name="图表 7">
              <a:extLst xmlns:a="http://schemas.openxmlformats.org/drawingml/2006/main">
                <a:ext uri="{FF2B5EF4-FFF2-40B4-BE49-F238E27FC236}">
                  <a16:creationId xmlns:a16="http://schemas.microsoft.com/office/drawing/2014/main" id="{7676EDE0-FD11-4A86-812A-8B64B56D69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AEA8E6" w14:textId="58867F44" w:rsidR="007D23F0" w:rsidRPr="00157421" w:rsidRDefault="00157421" w:rsidP="00157421">
      <w:pPr>
        <w:pStyle w:val="3"/>
        <w:spacing w:before="0" w:after="0" w:line="240" w:lineRule="auto"/>
        <w:rPr>
          <w:rFonts w:ascii="楷体" w:eastAsia="楷体" w:hAnsi="楷体"/>
          <w:sz w:val="22"/>
          <w:szCs w:val="22"/>
        </w:rPr>
      </w:pPr>
      <w:r w:rsidRPr="00157421">
        <w:rPr>
          <w:rFonts w:ascii="楷体" w:eastAsia="楷体" w:hAnsi="楷体" w:hint="eastAsia"/>
          <w:sz w:val="22"/>
          <w:szCs w:val="22"/>
        </w:rPr>
        <w:t>2</w:t>
      </w:r>
      <w:r w:rsidRPr="00157421">
        <w:rPr>
          <w:rFonts w:ascii="楷体" w:eastAsia="楷体" w:hAnsi="楷体"/>
          <w:sz w:val="22"/>
          <w:szCs w:val="22"/>
        </w:rPr>
        <w:t xml:space="preserve">.2.5 </w:t>
      </w:r>
      <w:r w:rsidR="00E65AC3" w:rsidRPr="00157421">
        <w:rPr>
          <w:rFonts w:ascii="楷体" w:eastAsia="楷体" w:hAnsi="楷体" w:hint="eastAsia"/>
          <w:sz w:val="22"/>
          <w:szCs w:val="22"/>
        </w:rPr>
        <w:t>血制品行业政策壁垒高，未来</w:t>
      </w:r>
      <w:r w:rsidR="006208FA" w:rsidRPr="00157421">
        <w:rPr>
          <w:rFonts w:ascii="楷体" w:eastAsia="楷体" w:hAnsi="楷体" w:hint="eastAsia"/>
          <w:sz w:val="22"/>
          <w:szCs w:val="22"/>
        </w:rPr>
        <w:t>行业集中度将不断提升</w:t>
      </w:r>
      <w:r w:rsidR="00EC0D2E" w:rsidRPr="00157421">
        <w:rPr>
          <w:rFonts w:ascii="楷体" w:eastAsia="楷体" w:hAnsi="楷体" w:hint="eastAsia"/>
          <w:sz w:val="22"/>
          <w:szCs w:val="22"/>
        </w:rPr>
        <w:t xml:space="preserve"> </w:t>
      </w:r>
      <w:r w:rsidR="00EC0D2E" w:rsidRPr="00157421">
        <w:rPr>
          <w:rFonts w:ascii="楷体" w:eastAsia="楷体" w:hAnsi="楷体"/>
          <w:sz w:val="22"/>
          <w:szCs w:val="22"/>
        </w:rPr>
        <w:t xml:space="preserve">   </w:t>
      </w:r>
    </w:p>
    <w:p w14:paraId="72F9D9EF" w14:textId="2A40395D" w:rsidR="006208FA" w:rsidRPr="00D60463" w:rsidRDefault="006208FA" w:rsidP="00763B10">
      <w:pPr>
        <w:ind w:firstLineChars="200" w:firstLine="360"/>
        <w:rPr>
          <w:rFonts w:ascii="楷体" w:eastAsia="楷体" w:hAnsi="楷体"/>
          <w:sz w:val="18"/>
          <w:szCs w:val="20"/>
        </w:rPr>
      </w:pPr>
      <w:r w:rsidRPr="00D60463">
        <w:rPr>
          <w:rFonts w:ascii="楷体" w:eastAsia="楷体" w:hAnsi="楷体"/>
          <w:sz w:val="18"/>
          <w:szCs w:val="20"/>
        </w:rPr>
        <w:t>2001年起国家不再批新的血制品企业，目前国内血制品企业有31家，龙头企业均已上市， 在规模效应愈发明显背景下，行业龙头借助资本力量和政策导向，行业集中度有望持续提升</w:t>
      </w:r>
      <w:r w:rsidRPr="00D60463">
        <w:rPr>
          <w:rFonts w:ascii="楷体" w:eastAsia="楷体" w:hAnsi="楷体" w:hint="eastAsia"/>
          <w:sz w:val="18"/>
          <w:szCs w:val="20"/>
        </w:rPr>
        <w:t>。</w:t>
      </w:r>
    </w:p>
    <w:p w14:paraId="7CE563CC" w14:textId="41599B7A" w:rsidR="00F87570" w:rsidRPr="00D60463" w:rsidRDefault="00F87570" w:rsidP="00D60463">
      <w:pPr>
        <w:rPr>
          <w:rFonts w:ascii="楷体" w:eastAsia="楷体" w:hAnsi="楷体"/>
          <w:b/>
          <w:bCs/>
          <w:sz w:val="18"/>
          <w:szCs w:val="20"/>
        </w:rPr>
      </w:pPr>
      <w:r w:rsidRPr="00D60463">
        <w:rPr>
          <w:rFonts w:ascii="楷体" w:eastAsia="楷体" w:hAnsi="楷体" w:hint="eastAsia"/>
          <w:b/>
          <w:bCs/>
          <w:sz w:val="18"/>
          <w:szCs w:val="20"/>
        </w:rPr>
        <w:t>五大龙头将主导国内血制品市场</w:t>
      </w:r>
    </w:p>
    <w:p w14:paraId="25AE60E7" w14:textId="33B3E20E" w:rsidR="008C1E30" w:rsidRPr="00D60463" w:rsidRDefault="008C1E30" w:rsidP="00763B10">
      <w:pPr>
        <w:ind w:firstLineChars="200" w:firstLine="360"/>
        <w:rPr>
          <w:rFonts w:ascii="楷体" w:eastAsia="楷体" w:hAnsi="楷体"/>
          <w:sz w:val="18"/>
          <w:szCs w:val="20"/>
        </w:rPr>
      </w:pPr>
      <w:r w:rsidRPr="00D60463">
        <w:rPr>
          <w:rFonts w:ascii="楷体" w:eastAsia="楷体" w:hAnsi="楷体"/>
          <w:sz w:val="18"/>
          <w:szCs w:val="20"/>
        </w:rPr>
        <w:t>整体看，18年7家上市企业</w:t>
      </w:r>
      <w:proofErr w:type="gramStart"/>
      <w:r w:rsidRPr="00D60463">
        <w:rPr>
          <w:rFonts w:ascii="楷体" w:eastAsia="楷体" w:hAnsi="楷体"/>
          <w:sz w:val="18"/>
          <w:szCs w:val="20"/>
        </w:rPr>
        <w:t>采浆量合计</w:t>
      </w:r>
      <w:proofErr w:type="gramEnd"/>
      <w:r w:rsidRPr="00D60463">
        <w:rPr>
          <w:rFonts w:ascii="楷体" w:eastAsia="楷体" w:hAnsi="楷体"/>
          <w:sz w:val="18"/>
          <w:szCs w:val="20"/>
        </w:rPr>
        <w:t>6200吨（ 含博雅广东， 原广东丹霞）</w:t>
      </w:r>
      <w:r w:rsidR="008E5393">
        <w:rPr>
          <w:rFonts w:ascii="楷体" w:eastAsia="楷体" w:hAnsi="楷体" w:hint="eastAsia"/>
          <w:sz w:val="18"/>
          <w:szCs w:val="20"/>
        </w:rPr>
        <w:t>,</w:t>
      </w:r>
      <w:r w:rsidRPr="00D60463">
        <w:rPr>
          <w:rFonts w:ascii="楷体" w:eastAsia="楷体" w:hAnsi="楷体"/>
          <w:sz w:val="18"/>
          <w:szCs w:val="20"/>
        </w:rPr>
        <w:t>约占全国</w:t>
      </w:r>
      <w:proofErr w:type="gramStart"/>
      <w:r w:rsidRPr="00D60463">
        <w:rPr>
          <w:rFonts w:ascii="楷体" w:eastAsia="楷体" w:hAnsi="楷体"/>
          <w:sz w:val="18"/>
          <w:szCs w:val="20"/>
        </w:rPr>
        <w:t>采浆量</w:t>
      </w:r>
      <w:proofErr w:type="gramEnd"/>
      <w:r w:rsidRPr="00D60463">
        <w:rPr>
          <w:rFonts w:ascii="楷体" w:eastAsia="楷体" w:hAnsi="楷体"/>
          <w:sz w:val="18"/>
          <w:szCs w:val="20"/>
        </w:rPr>
        <w:t>70%，收入合计120亿元，净利润约33亿元， 2023年预计</w:t>
      </w:r>
      <w:proofErr w:type="gramStart"/>
      <w:r w:rsidRPr="00D60463">
        <w:rPr>
          <w:rFonts w:ascii="楷体" w:eastAsia="楷体" w:hAnsi="楷体"/>
          <w:sz w:val="18"/>
          <w:szCs w:val="20"/>
        </w:rPr>
        <w:t>采浆量9000吨</w:t>
      </w:r>
      <w:proofErr w:type="gramEnd"/>
      <w:r w:rsidRPr="00D60463">
        <w:rPr>
          <w:rFonts w:ascii="楷体" w:eastAsia="楷体" w:hAnsi="楷体"/>
          <w:sz w:val="18"/>
          <w:szCs w:val="20"/>
        </w:rPr>
        <w:t>， 收入超220亿，利润有望达77亿元， 期间复合增速18.5%</w:t>
      </w:r>
      <w:r w:rsidRPr="00D60463">
        <w:rPr>
          <w:rFonts w:ascii="楷体" w:eastAsia="楷体" w:hAnsi="楷体" w:hint="eastAsia"/>
          <w:sz w:val="18"/>
          <w:szCs w:val="20"/>
        </w:rPr>
        <w:t>。</w:t>
      </w:r>
    </w:p>
    <w:p w14:paraId="6AD4B76A" w14:textId="16F40F40" w:rsidR="00F87570" w:rsidRPr="00D60463" w:rsidRDefault="00161453" w:rsidP="00763B10">
      <w:pPr>
        <w:ind w:firstLineChars="200" w:firstLine="360"/>
        <w:rPr>
          <w:rFonts w:ascii="楷体" w:eastAsia="楷体" w:hAnsi="楷体"/>
          <w:sz w:val="18"/>
          <w:szCs w:val="20"/>
        </w:rPr>
      </w:pPr>
      <w:r w:rsidRPr="00D60463">
        <w:rPr>
          <w:rFonts w:ascii="楷体" w:eastAsia="楷体" w:hAnsi="楷体"/>
          <w:sz w:val="18"/>
          <w:szCs w:val="20"/>
        </w:rPr>
        <w:t xml:space="preserve">从个别企业看， 天坛、 华兰、 </w:t>
      </w:r>
      <w:proofErr w:type="gramStart"/>
      <w:r w:rsidRPr="00D60463">
        <w:rPr>
          <w:rFonts w:ascii="楷体" w:eastAsia="楷体" w:hAnsi="楷体"/>
          <w:sz w:val="18"/>
          <w:szCs w:val="20"/>
        </w:rPr>
        <w:t>莱</w:t>
      </w:r>
      <w:proofErr w:type="gramEnd"/>
      <w:r w:rsidRPr="00D60463">
        <w:rPr>
          <w:rFonts w:ascii="楷体" w:eastAsia="楷体" w:hAnsi="楷体"/>
          <w:sz w:val="18"/>
          <w:szCs w:val="20"/>
        </w:rPr>
        <w:t>士、 泰</w:t>
      </w:r>
      <w:proofErr w:type="gramStart"/>
      <w:r w:rsidRPr="00D60463">
        <w:rPr>
          <w:rFonts w:ascii="楷体" w:eastAsia="楷体" w:hAnsi="楷体"/>
          <w:sz w:val="18"/>
          <w:szCs w:val="20"/>
        </w:rPr>
        <w:t>邦</w:t>
      </w:r>
      <w:proofErr w:type="gramEnd"/>
      <w:r w:rsidRPr="00D60463">
        <w:rPr>
          <w:rFonts w:ascii="楷体" w:eastAsia="楷体" w:hAnsi="楷体"/>
          <w:sz w:val="18"/>
          <w:szCs w:val="20"/>
        </w:rPr>
        <w:t>和博雅凭借浆站资源、 产品数量以及渠道优势有望继续做大做强，</w:t>
      </w:r>
      <w:proofErr w:type="gramStart"/>
      <w:r w:rsidRPr="00D60463">
        <w:rPr>
          <w:rFonts w:ascii="楷体" w:eastAsia="楷体" w:hAnsi="楷体"/>
          <w:sz w:val="18"/>
          <w:szCs w:val="20"/>
        </w:rPr>
        <w:t>均成长</w:t>
      </w:r>
      <w:proofErr w:type="gramEnd"/>
      <w:r w:rsidRPr="00D60463">
        <w:rPr>
          <w:rFonts w:ascii="楷体" w:eastAsia="楷体" w:hAnsi="楷体"/>
          <w:sz w:val="18"/>
          <w:szCs w:val="20"/>
        </w:rPr>
        <w:t>为千吨以上规模采/投浆企业（ 若考虑丹霞注入， 博雅</w:t>
      </w:r>
      <w:proofErr w:type="gramStart"/>
      <w:r w:rsidRPr="00D60463">
        <w:rPr>
          <w:rFonts w:ascii="楷体" w:eastAsia="楷体" w:hAnsi="楷体"/>
          <w:sz w:val="18"/>
          <w:szCs w:val="20"/>
        </w:rPr>
        <w:t>采浆量将</w:t>
      </w:r>
      <w:proofErr w:type="gramEnd"/>
      <w:r w:rsidRPr="00D60463">
        <w:rPr>
          <w:rFonts w:ascii="楷体" w:eastAsia="楷体" w:hAnsi="楷体"/>
          <w:sz w:val="18"/>
          <w:szCs w:val="20"/>
        </w:rPr>
        <w:t>突破1300吨） ，未来五大龙头将主导国内市场。</w:t>
      </w:r>
    </w:p>
    <w:p w14:paraId="1CEEEFAC" w14:textId="2BE4AE2C" w:rsidR="00586366" w:rsidRPr="00D60463" w:rsidRDefault="00586366" w:rsidP="00D60463">
      <w:pPr>
        <w:rPr>
          <w:rFonts w:ascii="楷体" w:eastAsia="楷体" w:hAnsi="楷体" w:hint="eastAsia"/>
          <w:sz w:val="18"/>
          <w:szCs w:val="20"/>
        </w:rPr>
      </w:pPr>
      <w:r w:rsidRPr="00D60463">
        <w:rPr>
          <w:rFonts w:ascii="楷体" w:eastAsia="楷体" w:hAnsi="楷体"/>
          <w:noProof/>
          <w:sz w:val="18"/>
          <w:szCs w:val="20"/>
        </w:rPr>
        <w:drawing>
          <wp:inline distT="0" distB="0" distL="0" distR="0" wp14:anchorId="0B22A0E9" wp14:editId="4D8C289F">
            <wp:extent cx="5274310" cy="21958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5830"/>
                    </a:xfrm>
                    <a:prstGeom prst="rect">
                      <a:avLst/>
                    </a:prstGeom>
                  </pic:spPr>
                </pic:pic>
              </a:graphicData>
            </a:graphic>
          </wp:inline>
        </w:drawing>
      </w:r>
    </w:p>
    <w:p w14:paraId="36DC32E4" w14:textId="5997B417" w:rsidR="00F33EC8" w:rsidRPr="008E5393" w:rsidRDefault="008E5393" w:rsidP="008E5393">
      <w:pPr>
        <w:pStyle w:val="2"/>
        <w:spacing w:before="0" w:after="0" w:line="240" w:lineRule="auto"/>
        <w:rPr>
          <w:rFonts w:ascii="楷体" w:eastAsia="楷体" w:hAnsi="楷体"/>
          <w:sz w:val="24"/>
          <w:szCs w:val="24"/>
        </w:rPr>
      </w:pPr>
      <w:r>
        <w:rPr>
          <w:rFonts w:ascii="楷体" w:eastAsia="楷体" w:hAnsi="楷体" w:hint="eastAsia"/>
          <w:sz w:val="24"/>
          <w:szCs w:val="24"/>
        </w:rPr>
        <w:lastRenderedPageBreak/>
        <w:t>2</w:t>
      </w:r>
      <w:r>
        <w:rPr>
          <w:rFonts w:ascii="楷体" w:eastAsia="楷体" w:hAnsi="楷体"/>
          <w:sz w:val="24"/>
          <w:szCs w:val="24"/>
        </w:rPr>
        <w:t xml:space="preserve">.3 </w:t>
      </w:r>
      <w:r w:rsidR="008475B2" w:rsidRPr="008E5393">
        <w:rPr>
          <w:rFonts w:ascii="楷体" w:eastAsia="楷体" w:hAnsi="楷体" w:hint="eastAsia"/>
          <w:sz w:val="24"/>
          <w:szCs w:val="24"/>
        </w:rPr>
        <w:t>中药</w:t>
      </w:r>
      <w:r w:rsidR="00BF026C" w:rsidRPr="008E5393">
        <w:rPr>
          <w:rFonts w:ascii="楷体" w:eastAsia="楷体" w:hAnsi="楷体" w:hint="eastAsia"/>
          <w:sz w:val="24"/>
          <w:szCs w:val="24"/>
        </w:rPr>
        <w:t>整体增速较为低迷</w:t>
      </w:r>
    </w:p>
    <w:p w14:paraId="4D365B11" w14:textId="00F9FDF6" w:rsidR="00054B01" w:rsidRPr="0004021A" w:rsidRDefault="00054B01" w:rsidP="00763B10">
      <w:pPr>
        <w:pStyle w:val="a3"/>
        <w:ind w:firstLine="360"/>
        <w:rPr>
          <w:rFonts w:ascii="楷体" w:eastAsia="楷体" w:hAnsi="楷体"/>
          <w:sz w:val="13"/>
          <w:szCs w:val="15"/>
        </w:rPr>
      </w:pPr>
      <w:r w:rsidRPr="0004021A">
        <w:rPr>
          <w:rFonts w:ascii="楷体" w:eastAsia="楷体" w:hAnsi="楷体"/>
          <w:color w:val="000000"/>
          <w:sz w:val="18"/>
          <w:szCs w:val="18"/>
        </w:rPr>
        <w:t>由于新版</w:t>
      </w:r>
      <w:proofErr w:type="gramStart"/>
      <w:r w:rsidRPr="0004021A">
        <w:rPr>
          <w:rFonts w:ascii="楷体" w:eastAsia="楷体" w:hAnsi="楷体"/>
          <w:color w:val="000000"/>
          <w:sz w:val="18"/>
          <w:szCs w:val="18"/>
        </w:rPr>
        <w:t>医</w:t>
      </w:r>
      <w:proofErr w:type="gramEnd"/>
      <w:r w:rsidRPr="0004021A">
        <w:rPr>
          <w:rFonts w:ascii="楷体" w:eastAsia="楷体" w:hAnsi="楷体"/>
          <w:color w:val="000000"/>
          <w:sz w:val="18"/>
          <w:szCs w:val="18"/>
        </w:rPr>
        <w:t>保目录调整，中药板块承压增大。受益于消费升级及治疗未病意识增强等，中药行业内部分化加剧</w:t>
      </w:r>
      <w:r w:rsidRPr="0004021A">
        <w:rPr>
          <w:rFonts w:ascii="楷体" w:eastAsia="楷体" w:hAnsi="楷体" w:hint="eastAsia"/>
          <w:color w:val="000000"/>
          <w:sz w:val="18"/>
          <w:szCs w:val="18"/>
        </w:rPr>
        <w:t>。</w:t>
      </w:r>
    </w:p>
    <w:p w14:paraId="0079FA8B" w14:textId="2FFE216C" w:rsidR="00BF026C" w:rsidRPr="00D60463" w:rsidRDefault="005F7160" w:rsidP="005F7160">
      <w:pPr>
        <w:pStyle w:val="a3"/>
        <w:ind w:left="-426" w:firstLineChars="0" w:firstLine="0"/>
        <w:jc w:val="center"/>
        <w:rPr>
          <w:rFonts w:ascii="楷体" w:eastAsia="楷体" w:hAnsi="楷体"/>
          <w:sz w:val="18"/>
          <w:szCs w:val="20"/>
        </w:rPr>
      </w:pPr>
      <w:r>
        <w:rPr>
          <w:noProof/>
        </w:rPr>
        <w:drawing>
          <wp:inline distT="0" distB="0" distL="0" distR="0" wp14:anchorId="4354EB19" wp14:editId="5CE5C2C0">
            <wp:extent cx="2406316" cy="1423737"/>
            <wp:effectExtent l="0" t="0" r="13335" b="5080"/>
            <wp:docPr id="19" name="图表 19">
              <a:extLst xmlns:a="http://schemas.openxmlformats.org/drawingml/2006/main">
                <a:ext uri="{FF2B5EF4-FFF2-40B4-BE49-F238E27FC236}">
                  <a16:creationId xmlns:a16="http://schemas.microsoft.com/office/drawing/2014/main" id="{77193BBF-A7A2-4CDE-BE02-752BE100DD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5BEE7E" w14:textId="1FD93E34" w:rsidR="000665EF" w:rsidRPr="00D60463" w:rsidRDefault="000665EF" w:rsidP="00D60463">
      <w:pPr>
        <w:pStyle w:val="a3"/>
        <w:ind w:left="-426" w:firstLineChars="0" w:firstLine="0"/>
        <w:rPr>
          <w:rFonts w:ascii="楷体" w:eastAsia="楷体" w:hAnsi="楷体"/>
          <w:sz w:val="18"/>
          <w:szCs w:val="20"/>
        </w:rPr>
      </w:pPr>
    </w:p>
    <w:p w14:paraId="2B534606" w14:textId="054082BE" w:rsidR="003711C6" w:rsidRPr="000D4D2D" w:rsidRDefault="000D4D2D" w:rsidP="000D4D2D">
      <w:pPr>
        <w:pStyle w:val="3"/>
        <w:spacing w:before="0" w:after="0" w:line="240" w:lineRule="auto"/>
        <w:rPr>
          <w:rFonts w:ascii="楷体" w:eastAsia="楷体" w:hAnsi="楷体"/>
          <w:sz w:val="22"/>
          <w:szCs w:val="22"/>
        </w:rPr>
      </w:pPr>
      <w:r w:rsidRPr="000D4D2D">
        <w:rPr>
          <w:rFonts w:ascii="楷体" w:eastAsia="楷体" w:hAnsi="楷体" w:hint="eastAsia"/>
          <w:sz w:val="22"/>
          <w:szCs w:val="22"/>
        </w:rPr>
        <w:t>2</w:t>
      </w:r>
      <w:r w:rsidRPr="000D4D2D">
        <w:rPr>
          <w:rFonts w:ascii="楷体" w:eastAsia="楷体" w:hAnsi="楷体"/>
          <w:sz w:val="22"/>
          <w:szCs w:val="22"/>
        </w:rPr>
        <w:t xml:space="preserve">.3.1 </w:t>
      </w:r>
      <w:r w:rsidR="003711C6" w:rsidRPr="000D4D2D">
        <w:rPr>
          <w:rFonts w:ascii="楷体" w:eastAsia="楷体" w:hAnsi="楷体" w:hint="eastAsia"/>
          <w:sz w:val="22"/>
          <w:szCs w:val="22"/>
        </w:rPr>
        <w:t>中药饮片</w:t>
      </w:r>
      <w:r w:rsidR="004B1201" w:rsidRPr="000D4D2D">
        <w:rPr>
          <w:rFonts w:ascii="楷体" w:eastAsia="楷体" w:hAnsi="楷体" w:hint="eastAsia"/>
          <w:sz w:val="22"/>
          <w:szCs w:val="22"/>
        </w:rPr>
        <w:t>市场</w:t>
      </w:r>
      <w:r w:rsidR="00152438">
        <w:rPr>
          <w:rFonts w:ascii="楷体" w:eastAsia="楷体" w:hAnsi="楷体" w:hint="eastAsia"/>
          <w:sz w:val="22"/>
          <w:szCs w:val="22"/>
        </w:rPr>
        <w:t>增速减缓</w:t>
      </w:r>
    </w:p>
    <w:p w14:paraId="02F0B01D" w14:textId="454B5478" w:rsidR="004B1201" w:rsidRPr="0004021A" w:rsidRDefault="00667E6D" w:rsidP="00D60463">
      <w:pPr>
        <w:pStyle w:val="a3"/>
        <w:ind w:left="-426" w:firstLine="360"/>
        <w:rPr>
          <w:rFonts w:ascii="楷体" w:eastAsia="楷体" w:hAnsi="楷体"/>
          <w:color w:val="000000"/>
          <w:sz w:val="18"/>
          <w:szCs w:val="18"/>
        </w:rPr>
      </w:pPr>
      <w:r w:rsidRPr="0004021A">
        <w:rPr>
          <w:rFonts w:ascii="楷体" w:eastAsia="楷体" w:hAnsi="楷体"/>
          <w:color w:val="000000"/>
          <w:sz w:val="18"/>
          <w:szCs w:val="18"/>
        </w:rPr>
        <w:t>201</w:t>
      </w:r>
      <w:r w:rsidR="00F85040" w:rsidRPr="0004021A">
        <w:rPr>
          <w:rFonts w:ascii="楷体" w:eastAsia="楷体" w:hAnsi="楷体"/>
          <w:color w:val="000000"/>
          <w:sz w:val="18"/>
          <w:szCs w:val="18"/>
        </w:rPr>
        <w:t>4</w:t>
      </w:r>
      <w:r w:rsidRPr="0004021A">
        <w:rPr>
          <w:rFonts w:ascii="楷体" w:eastAsia="楷体" w:hAnsi="楷体"/>
          <w:color w:val="000000"/>
          <w:sz w:val="18"/>
          <w:szCs w:val="18"/>
        </w:rPr>
        <w:t>年-201</w:t>
      </w:r>
      <w:r w:rsidR="00F85040" w:rsidRPr="0004021A">
        <w:rPr>
          <w:rFonts w:ascii="楷体" w:eastAsia="楷体" w:hAnsi="楷体"/>
          <w:color w:val="000000"/>
          <w:sz w:val="18"/>
          <w:szCs w:val="18"/>
        </w:rPr>
        <w:t>8</w:t>
      </w:r>
      <w:r w:rsidRPr="0004021A">
        <w:rPr>
          <w:rFonts w:ascii="楷体" w:eastAsia="楷体" w:hAnsi="楷体"/>
          <w:color w:val="000000"/>
          <w:sz w:val="18"/>
          <w:szCs w:val="18"/>
        </w:rPr>
        <w:t>年，中药饮片</w:t>
      </w:r>
      <w:r w:rsidR="00152438" w:rsidRPr="0004021A">
        <w:rPr>
          <w:rFonts w:ascii="楷体" w:eastAsia="楷体" w:hAnsi="楷体" w:hint="eastAsia"/>
          <w:color w:val="000000"/>
          <w:sz w:val="18"/>
          <w:szCs w:val="18"/>
        </w:rPr>
        <w:t>整体低迷，</w:t>
      </w:r>
      <w:r w:rsidRPr="0004021A">
        <w:rPr>
          <w:rFonts w:ascii="楷体" w:eastAsia="楷体" w:hAnsi="楷体"/>
          <w:color w:val="000000"/>
          <w:sz w:val="18"/>
          <w:szCs w:val="18"/>
        </w:rPr>
        <w:t xml:space="preserve">主营业务收入由 </w:t>
      </w:r>
      <w:r w:rsidR="00994B5E" w:rsidRPr="0004021A">
        <w:rPr>
          <w:rFonts w:ascii="楷体" w:eastAsia="楷体" w:hAnsi="楷体"/>
          <w:color w:val="000000"/>
          <w:sz w:val="18"/>
          <w:szCs w:val="18"/>
        </w:rPr>
        <w:t>171</w:t>
      </w:r>
      <w:r w:rsidRPr="0004021A">
        <w:rPr>
          <w:rFonts w:ascii="楷体" w:eastAsia="楷体" w:hAnsi="楷体"/>
          <w:color w:val="000000"/>
          <w:sz w:val="18"/>
          <w:szCs w:val="18"/>
        </w:rPr>
        <w:t xml:space="preserve">亿元增加到 </w:t>
      </w:r>
      <w:r w:rsidR="00994B5E" w:rsidRPr="0004021A">
        <w:rPr>
          <w:rFonts w:ascii="楷体" w:eastAsia="楷体" w:hAnsi="楷体"/>
          <w:color w:val="000000"/>
          <w:sz w:val="18"/>
          <w:szCs w:val="18"/>
        </w:rPr>
        <w:t>212</w:t>
      </w:r>
      <w:r w:rsidRPr="0004021A">
        <w:rPr>
          <w:rFonts w:ascii="楷体" w:eastAsia="楷体" w:hAnsi="楷体"/>
          <w:color w:val="000000"/>
          <w:sz w:val="18"/>
          <w:szCs w:val="18"/>
        </w:rPr>
        <w:t>亿元</w:t>
      </w:r>
      <w:r w:rsidR="00994B5E" w:rsidRPr="0004021A">
        <w:rPr>
          <w:rFonts w:ascii="楷体" w:eastAsia="楷体" w:hAnsi="楷体" w:hint="eastAsia"/>
          <w:color w:val="000000"/>
          <w:sz w:val="18"/>
          <w:szCs w:val="18"/>
        </w:rPr>
        <w:t>。</w:t>
      </w:r>
      <w:r w:rsidR="00152438" w:rsidRPr="0004021A">
        <w:rPr>
          <w:rFonts w:ascii="楷体" w:eastAsia="楷体" w:hAnsi="楷体" w:hint="eastAsia"/>
          <w:color w:val="000000"/>
          <w:sz w:val="18"/>
          <w:szCs w:val="18"/>
        </w:rPr>
        <w:t>增速减缓。</w:t>
      </w:r>
    </w:p>
    <w:p w14:paraId="75F46472" w14:textId="3F108E08" w:rsidR="0004021A" w:rsidRPr="0004021A" w:rsidRDefault="0004021A" w:rsidP="0004021A">
      <w:pPr>
        <w:pStyle w:val="a3"/>
        <w:ind w:left="-426" w:firstLine="321"/>
        <w:jc w:val="center"/>
        <w:rPr>
          <w:rFonts w:ascii="楷体" w:eastAsia="楷体" w:hAnsi="楷体" w:hint="eastAsia"/>
          <w:b/>
          <w:bCs/>
          <w:color w:val="000000"/>
          <w:sz w:val="16"/>
          <w:szCs w:val="16"/>
        </w:rPr>
      </w:pPr>
      <w:r w:rsidRPr="0004021A">
        <w:rPr>
          <w:rFonts w:ascii="楷体" w:eastAsia="楷体" w:hAnsi="楷体" w:hint="eastAsia"/>
          <w:b/>
          <w:bCs/>
          <w:color w:val="000000"/>
          <w:sz w:val="16"/>
          <w:szCs w:val="16"/>
        </w:rPr>
        <w:t>2014-2018年中药饮片收入及增速变化</w:t>
      </w:r>
    </w:p>
    <w:p w14:paraId="3F5205C8" w14:textId="6D6D0618" w:rsidR="004B1201" w:rsidRPr="00D60463" w:rsidRDefault="00B83D96" w:rsidP="00D60463">
      <w:pPr>
        <w:pStyle w:val="a3"/>
        <w:ind w:left="-426" w:firstLineChars="0" w:firstLine="0"/>
        <w:jc w:val="center"/>
        <w:rPr>
          <w:rFonts w:ascii="楷体" w:eastAsia="楷体" w:hAnsi="楷体"/>
          <w:sz w:val="18"/>
          <w:szCs w:val="20"/>
        </w:rPr>
      </w:pPr>
      <w:r>
        <w:rPr>
          <w:noProof/>
        </w:rPr>
        <w:drawing>
          <wp:inline distT="0" distB="0" distL="0" distR="0" wp14:anchorId="0A8FAD13" wp14:editId="756D232D">
            <wp:extent cx="2302042" cy="1291389"/>
            <wp:effectExtent l="0" t="0" r="3175" b="4445"/>
            <wp:docPr id="24" name="图表 24">
              <a:extLst xmlns:a="http://schemas.openxmlformats.org/drawingml/2006/main">
                <a:ext uri="{FF2B5EF4-FFF2-40B4-BE49-F238E27FC236}">
                  <a16:creationId xmlns:a16="http://schemas.microsoft.com/office/drawing/2014/main" id="{F4FCE156-2910-4FB4-BEDE-05C713CC7E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A881D1" w14:textId="490B8718" w:rsidR="00FA3ABC" w:rsidRPr="0004021A" w:rsidRDefault="00FA3ABC" w:rsidP="006474D4">
      <w:pPr>
        <w:pStyle w:val="a3"/>
        <w:ind w:firstLine="360"/>
        <w:rPr>
          <w:rFonts w:ascii="楷体" w:eastAsia="楷体" w:hAnsi="楷体"/>
          <w:color w:val="000000"/>
          <w:sz w:val="18"/>
          <w:szCs w:val="18"/>
        </w:rPr>
      </w:pPr>
      <w:r w:rsidRPr="0004021A">
        <w:rPr>
          <w:rFonts w:ascii="楷体" w:eastAsia="楷体" w:hAnsi="楷体" w:hint="eastAsia"/>
          <w:color w:val="000000"/>
          <w:sz w:val="18"/>
          <w:szCs w:val="18"/>
        </w:rPr>
        <w:t>在中药饮片市场中，</w:t>
      </w:r>
      <w:r w:rsidRPr="0004021A">
        <w:rPr>
          <w:rFonts w:ascii="楷体" w:eastAsia="楷体" w:hAnsi="楷体"/>
          <w:color w:val="000000"/>
          <w:sz w:val="18"/>
          <w:szCs w:val="18"/>
        </w:rPr>
        <w:t>传统饮片药效利用率约为 30%-60%， 质量稳定性较差，售价、 毛利率较低；超微饮片提高植物细胞破壁率，药物利用率约 80%-90%， 价格较高，毛利率高达 70%-80%； 中药配方颗粒药效利用率约 70%-80%，价格比传统饮片高约 30%-50%，毛利率约 60%-80%；比较超微饮片， 配方颗粒生产设备要求与成本较低， 更有利于大范围生产。</w:t>
      </w:r>
    </w:p>
    <w:p w14:paraId="0E2CC118" w14:textId="77874BC6" w:rsidR="00B00999" w:rsidRPr="006474D4" w:rsidRDefault="00D62C7F" w:rsidP="006474D4">
      <w:pPr>
        <w:pStyle w:val="a3"/>
        <w:ind w:left="-426" w:firstLine="360"/>
        <w:jc w:val="center"/>
        <w:rPr>
          <w:rFonts w:ascii="楷体" w:eastAsia="楷体" w:hAnsi="楷体" w:hint="eastAsia"/>
          <w:color w:val="000000"/>
          <w:szCs w:val="21"/>
        </w:rPr>
      </w:pPr>
      <w:r w:rsidRPr="00D60463">
        <w:rPr>
          <w:rFonts w:ascii="楷体" w:eastAsia="楷体" w:hAnsi="楷体"/>
          <w:noProof/>
          <w:sz w:val="18"/>
          <w:szCs w:val="20"/>
        </w:rPr>
        <w:drawing>
          <wp:inline distT="0" distB="0" distL="0" distR="0" wp14:anchorId="320775CD" wp14:editId="04DB66CB">
            <wp:extent cx="3140710" cy="1477714"/>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21" cy="1478707"/>
                    </a:xfrm>
                    <a:prstGeom prst="rect">
                      <a:avLst/>
                    </a:prstGeom>
                  </pic:spPr>
                </pic:pic>
              </a:graphicData>
            </a:graphic>
          </wp:inline>
        </w:drawing>
      </w:r>
    </w:p>
    <w:p w14:paraId="1D0496DB" w14:textId="659C70ED" w:rsidR="00BD192D" w:rsidRPr="00D60463" w:rsidRDefault="00BD192D" w:rsidP="006474D4">
      <w:pPr>
        <w:pStyle w:val="a3"/>
        <w:rPr>
          <w:rFonts w:ascii="楷体" w:eastAsia="楷体" w:hAnsi="楷体"/>
          <w:color w:val="000000"/>
          <w:szCs w:val="21"/>
        </w:rPr>
      </w:pPr>
      <w:r w:rsidRPr="00D60463">
        <w:rPr>
          <w:rFonts w:ascii="楷体" w:eastAsia="楷体" w:hAnsi="楷体" w:hint="eastAsia"/>
          <w:color w:val="000000"/>
          <w:szCs w:val="21"/>
        </w:rPr>
        <w:t>因此，中药配方颗粒市场不断增大，在中药饮片中的占比也不断提升。</w:t>
      </w:r>
    </w:p>
    <w:p w14:paraId="4A83EC2B" w14:textId="6D50069A" w:rsidR="00013D59" w:rsidRPr="00D60463" w:rsidRDefault="00013D59" w:rsidP="00D60463">
      <w:pPr>
        <w:pStyle w:val="a3"/>
        <w:ind w:left="-426" w:firstLineChars="0" w:firstLine="0"/>
        <w:jc w:val="center"/>
        <w:rPr>
          <w:rFonts w:ascii="楷体" w:eastAsia="楷体" w:hAnsi="楷体"/>
          <w:sz w:val="18"/>
          <w:szCs w:val="20"/>
        </w:rPr>
      </w:pPr>
      <w:r w:rsidRPr="00D60463">
        <w:rPr>
          <w:rFonts w:ascii="楷体" w:eastAsia="楷体" w:hAnsi="楷体"/>
          <w:noProof/>
          <w:sz w:val="18"/>
          <w:szCs w:val="20"/>
        </w:rPr>
        <w:drawing>
          <wp:inline distT="0" distB="0" distL="0" distR="0" wp14:anchorId="058D5478" wp14:editId="15E4286B">
            <wp:extent cx="2351165" cy="16052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929" cy="1607850"/>
                    </a:xfrm>
                    <a:prstGeom prst="rect">
                      <a:avLst/>
                    </a:prstGeom>
                  </pic:spPr>
                </pic:pic>
              </a:graphicData>
            </a:graphic>
          </wp:inline>
        </w:drawing>
      </w:r>
    </w:p>
    <w:p w14:paraId="321A2D8B" w14:textId="6EBE7C05" w:rsidR="00BD192D" w:rsidRPr="00D60463" w:rsidRDefault="00BD192D" w:rsidP="00D60463">
      <w:pPr>
        <w:pStyle w:val="a3"/>
        <w:ind w:left="-426" w:firstLineChars="0" w:firstLine="0"/>
        <w:jc w:val="center"/>
        <w:rPr>
          <w:rFonts w:ascii="楷体" w:eastAsia="楷体" w:hAnsi="楷体"/>
          <w:sz w:val="18"/>
          <w:szCs w:val="20"/>
        </w:rPr>
      </w:pPr>
    </w:p>
    <w:p w14:paraId="4F00D09D" w14:textId="1C3FD1A7" w:rsidR="00BD192D" w:rsidRPr="006474D4" w:rsidRDefault="006474D4" w:rsidP="006474D4">
      <w:pPr>
        <w:pStyle w:val="3"/>
        <w:spacing w:before="0" w:after="0" w:line="240" w:lineRule="auto"/>
        <w:rPr>
          <w:rFonts w:ascii="楷体" w:eastAsia="楷体" w:hAnsi="楷体"/>
          <w:sz w:val="22"/>
          <w:szCs w:val="22"/>
        </w:rPr>
      </w:pPr>
      <w:r>
        <w:rPr>
          <w:rFonts w:ascii="楷体" w:eastAsia="楷体" w:hAnsi="楷体" w:hint="eastAsia"/>
          <w:sz w:val="22"/>
          <w:szCs w:val="22"/>
        </w:rPr>
        <w:t>2.3.2</w:t>
      </w:r>
      <w:r>
        <w:rPr>
          <w:rFonts w:ascii="楷体" w:eastAsia="楷体" w:hAnsi="楷体"/>
          <w:sz w:val="22"/>
          <w:szCs w:val="22"/>
        </w:rPr>
        <w:t xml:space="preserve"> </w:t>
      </w:r>
      <w:r w:rsidR="007946D3" w:rsidRPr="006474D4">
        <w:rPr>
          <w:rFonts w:ascii="楷体" w:eastAsia="楷体" w:hAnsi="楷体" w:hint="eastAsia"/>
          <w:sz w:val="22"/>
          <w:szCs w:val="22"/>
        </w:rPr>
        <w:t>中药饮片行业壁垒低，行业</w:t>
      </w:r>
      <w:r w:rsidR="009C7B0F" w:rsidRPr="006474D4">
        <w:rPr>
          <w:rFonts w:ascii="楷体" w:eastAsia="楷体" w:hAnsi="楷体" w:hint="eastAsia"/>
          <w:sz w:val="22"/>
          <w:szCs w:val="22"/>
        </w:rPr>
        <w:t>集中度将不断提高</w:t>
      </w:r>
    </w:p>
    <w:p w14:paraId="11842BE1" w14:textId="4834E31D" w:rsidR="007946D3" w:rsidRPr="006474D4" w:rsidRDefault="00C3392A" w:rsidP="006474D4">
      <w:pPr>
        <w:pStyle w:val="a3"/>
        <w:ind w:left="-426"/>
        <w:rPr>
          <w:rFonts w:ascii="楷体" w:eastAsia="楷体" w:hAnsi="楷体" w:hint="eastAsia"/>
          <w:color w:val="000000"/>
          <w:szCs w:val="21"/>
        </w:rPr>
      </w:pPr>
      <w:r w:rsidRPr="00D60463">
        <w:rPr>
          <w:rFonts w:ascii="楷体" w:eastAsia="楷体" w:hAnsi="楷体"/>
          <w:color w:val="000000"/>
          <w:szCs w:val="21"/>
        </w:rPr>
        <w:t>中药饮片生产壁垒较低， 饮片行业历史悠久，生产方式较为传统</w:t>
      </w:r>
      <w:r w:rsidRPr="00D60463">
        <w:rPr>
          <w:rFonts w:ascii="楷体" w:eastAsia="楷体" w:hAnsi="楷体" w:hint="eastAsia"/>
          <w:color w:val="000000"/>
          <w:szCs w:val="21"/>
        </w:rPr>
        <w:t>。</w:t>
      </w:r>
      <w:r w:rsidR="009C7B0F" w:rsidRPr="00D60463">
        <w:rPr>
          <w:rFonts w:ascii="楷体" w:eastAsia="楷体" w:hAnsi="楷体"/>
          <w:color w:val="000000"/>
          <w:szCs w:val="21"/>
        </w:rPr>
        <w:t>中药饮片或中药配方颗粒销售规模较大的上市</w:t>
      </w:r>
      <w:proofErr w:type="gramStart"/>
      <w:r w:rsidR="009C7B0F" w:rsidRPr="00D60463">
        <w:rPr>
          <w:rFonts w:ascii="楷体" w:eastAsia="楷体" w:hAnsi="楷体"/>
          <w:color w:val="000000"/>
          <w:szCs w:val="21"/>
        </w:rPr>
        <w:t>药企分别</w:t>
      </w:r>
      <w:proofErr w:type="gramEnd"/>
      <w:r w:rsidR="009C7B0F" w:rsidRPr="00D60463">
        <w:rPr>
          <w:rFonts w:ascii="楷体" w:eastAsia="楷体" w:hAnsi="楷体"/>
          <w:color w:val="000000"/>
          <w:szCs w:val="21"/>
        </w:rPr>
        <w:t>有康美药业、中国中药、红日药业、香雪制药等。康美药业是中药饮片的龙头企业，而中国中药则是最大的中药配方颗粒生产企业。除此之外，部分新三板企业也在业内有明显的竞争优势。</w:t>
      </w:r>
      <w:r w:rsidRPr="00D60463">
        <w:rPr>
          <w:rFonts w:ascii="楷体" w:eastAsia="楷体" w:hAnsi="楷体" w:hint="eastAsia"/>
          <w:color w:val="000000"/>
          <w:szCs w:val="21"/>
        </w:rPr>
        <w:t>目前</w:t>
      </w:r>
      <w:r w:rsidR="00BD192D" w:rsidRPr="00D60463">
        <w:rPr>
          <w:rFonts w:ascii="楷体" w:eastAsia="楷体" w:hAnsi="楷体"/>
          <w:color w:val="000000"/>
          <w:szCs w:val="21"/>
        </w:rPr>
        <w:t>国内饮片行业集中度非常低，随着中医药改革政策与行业监管的推进，将促进行业的规范化发展， 中小企业将有望退出或被兼并重组，行业集中度不断提高</w:t>
      </w:r>
      <w:r w:rsidR="00BD192D" w:rsidRPr="00D60463">
        <w:rPr>
          <w:rFonts w:ascii="楷体" w:eastAsia="楷体" w:hAnsi="楷体"/>
          <w:color w:val="000000"/>
          <w:sz w:val="20"/>
          <w:szCs w:val="20"/>
        </w:rPr>
        <w:t>。</w:t>
      </w:r>
      <w:r w:rsidR="00C43CA6" w:rsidRPr="00D60463">
        <w:rPr>
          <w:rFonts w:ascii="楷体" w:eastAsia="楷体" w:hAnsi="楷体"/>
          <w:color w:val="000000"/>
          <w:szCs w:val="21"/>
        </w:rPr>
        <w:t xml:space="preserve"> </w:t>
      </w:r>
    </w:p>
    <w:p w14:paraId="1185BE53" w14:textId="68636276" w:rsidR="000A34BE" w:rsidRDefault="009C7B0F" w:rsidP="000A34BE">
      <w:pPr>
        <w:pStyle w:val="a3"/>
        <w:ind w:left="-426" w:firstLine="360"/>
        <w:jc w:val="center"/>
        <w:rPr>
          <w:rFonts w:ascii="楷体" w:eastAsia="楷体" w:hAnsi="楷体"/>
          <w:color w:val="000000"/>
          <w:szCs w:val="21"/>
        </w:rPr>
      </w:pPr>
      <w:r w:rsidRPr="00D60463">
        <w:rPr>
          <w:rFonts w:ascii="楷体" w:eastAsia="楷体" w:hAnsi="楷体"/>
          <w:noProof/>
          <w:sz w:val="18"/>
          <w:szCs w:val="20"/>
        </w:rPr>
        <w:drawing>
          <wp:inline distT="0" distB="0" distL="0" distR="0" wp14:anchorId="61D83410" wp14:editId="51FAE03F">
            <wp:extent cx="1790339" cy="1366520"/>
            <wp:effectExtent l="0" t="0" r="63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2376" cy="1368075"/>
                    </a:xfrm>
                    <a:prstGeom prst="rect">
                      <a:avLst/>
                    </a:prstGeom>
                  </pic:spPr>
                </pic:pic>
              </a:graphicData>
            </a:graphic>
          </wp:inline>
        </w:drawing>
      </w:r>
    </w:p>
    <w:p w14:paraId="47C52E52" w14:textId="20791CD9" w:rsidR="000A34BE" w:rsidRDefault="000A34BE" w:rsidP="000A34BE">
      <w:pPr>
        <w:pStyle w:val="3"/>
        <w:spacing w:before="0" w:after="0" w:line="240" w:lineRule="auto"/>
        <w:rPr>
          <w:rFonts w:ascii="楷体" w:eastAsia="楷体" w:hAnsi="楷体"/>
          <w:sz w:val="22"/>
          <w:szCs w:val="22"/>
        </w:rPr>
      </w:pPr>
      <w:r>
        <w:rPr>
          <w:rFonts w:ascii="楷体" w:eastAsia="楷体" w:hAnsi="楷体" w:hint="eastAsia"/>
          <w:sz w:val="22"/>
          <w:szCs w:val="22"/>
        </w:rPr>
        <w:t>2.3.3</w:t>
      </w:r>
      <w:r>
        <w:rPr>
          <w:rFonts w:ascii="楷体" w:eastAsia="楷体" w:hAnsi="楷体"/>
          <w:sz w:val="22"/>
          <w:szCs w:val="22"/>
        </w:rPr>
        <w:t xml:space="preserve"> </w:t>
      </w:r>
      <w:r w:rsidRPr="000A34BE">
        <w:rPr>
          <w:rFonts w:ascii="楷体" w:eastAsia="楷体" w:hAnsi="楷体" w:hint="eastAsia"/>
          <w:sz w:val="22"/>
          <w:szCs w:val="22"/>
        </w:rPr>
        <w:t>中成药稳定增长</w:t>
      </w:r>
    </w:p>
    <w:p w14:paraId="615486D9" w14:textId="76D13FBA" w:rsidR="003C28B7" w:rsidRDefault="003C28B7" w:rsidP="003C28B7">
      <w:pPr>
        <w:pStyle w:val="a3"/>
        <w:ind w:firstLine="360"/>
        <w:rPr>
          <w:rFonts w:ascii="楷体" w:eastAsia="楷体" w:hAnsi="楷体"/>
          <w:sz w:val="18"/>
          <w:szCs w:val="20"/>
        </w:rPr>
      </w:pPr>
      <w:r w:rsidRPr="003C28B7">
        <w:rPr>
          <w:rFonts w:ascii="楷体" w:eastAsia="楷体" w:hAnsi="楷体" w:hint="eastAsia"/>
          <w:sz w:val="18"/>
          <w:szCs w:val="20"/>
        </w:rPr>
        <w:t>与中药饮片</w:t>
      </w:r>
      <w:proofErr w:type="gramStart"/>
      <w:r w:rsidRPr="003C28B7">
        <w:rPr>
          <w:rFonts w:ascii="楷体" w:eastAsia="楷体" w:hAnsi="楷体" w:hint="eastAsia"/>
          <w:sz w:val="18"/>
          <w:szCs w:val="20"/>
        </w:rPr>
        <w:t>子板块</w:t>
      </w:r>
      <w:proofErr w:type="gramEnd"/>
      <w:r w:rsidRPr="003C28B7">
        <w:rPr>
          <w:rFonts w:ascii="楷体" w:eastAsia="楷体" w:hAnsi="楷体" w:hint="eastAsia"/>
          <w:sz w:val="18"/>
          <w:szCs w:val="20"/>
        </w:rPr>
        <w:t>相比，</w:t>
      </w:r>
      <w:r w:rsidR="00AE34D2">
        <w:rPr>
          <w:rFonts w:ascii="楷体" w:eastAsia="楷体" w:hAnsi="楷体" w:hint="eastAsia"/>
          <w:sz w:val="18"/>
          <w:szCs w:val="20"/>
        </w:rPr>
        <w:t>中成药保持稳定增长的态势</w:t>
      </w:r>
      <w:r w:rsidR="007D6F76">
        <w:rPr>
          <w:rFonts w:ascii="楷体" w:eastAsia="楷体" w:hAnsi="楷体" w:hint="eastAsia"/>
          <w:sz w:val="18"/>
          <w:szCs w:val="20"/>
        </w:rPr>
        <w:t>。</w:t>
      </w:r>
      <w:r w:rsidR="00E52660">
        <w:rPr>
          <w:rFonts w:ascii="楷体" w:eastAsia="楷体" w:hAnsi="楷体" w:hint="eastAsia"/>
          <w:sz w:val="18"/>
          <w:szCs w:val="20"/>
        </w:rPr>
        <w:t>（原因</w:t>
      </w:r>
      <w:r w:rsidR="00E52660">
        <w:rPr>
          <w:rFonts w:ascii="楷体" w:eastAsia="楷体" w:hAnsi="楷体"/>
          <w:sz w:val="18"/>
          <w:szCs w:val="20"/>
        </w:rPr>
        <w:t>…</w:t>
      </w:r>
      <w:r w:rsidR="00E52660">
        <w:rPr>
          <w:rFonts w:ascii="楷体" w:eastAsia="楷体" w:hAnsi="楷体" w:hint="eastAsia"/>
          <w:sz w:val="18"/>
          <w:szCs w:val="20"/>
        </w:rPr>
        <w:t>）</w:t>
      </w:r>
    </w:p>
    <w:p w14:paraId="5486C159" w14:textId="4A7F526C" w:rsidR="00D432B2" w:rsidRPr="00D432B2" w:rsidRDefault="00D432B2" w:rsidP="00D432B2">
      <w:pPr>
        <w:pStyle w:val="a3"/>
        <w:ind w:firstLine="321"/>
        <w:jc w:val="center"/>
        <w:rPr>
          <w:rFonts w:ascii="楷体" w:eastAsia="楷体" w:hAnsi="楷体" w:hint="eastAsia"/>
          <w:b/>
          <w:bCs/>
          <w:sz w:val="16"/>
          <w:szCs w:val="18"/>
        </w:rPr>
      </w:pPr>
      <w:r w:rsidRPr="00D432B2">
        <w:rPr>
          <w:rFonts w:ascii="楷体" w:eastAsia="楷体" w:hAnsi="楷体" w:hint="eastAsia"/>
          <w:b/>
          <w:bCs/>
          <w:sz w:val="16"/>
          <w:szCs w:val="18"/>
        </w:rPr>
        <w:t>2014-2018年中成药收入变化</w:t>
      </w:r>
    </w:p>
    <w:p w14:paraId="7BA27F04" w14:textId="2F095140" w:rsidR="005A090C" w:rsidRPr="002C05D3" w:rsidRDefault="005A090C" w:rsidP="005A090C">
      <w:pPr>
        <w:pStyle w:val="a3"/>
        <w:ind w:left="-426"/>
        <w:jc w:val="center"/>
        <w:rPr>
          <w:rFonts w:ascii="楷体" w:eastAsia="楷体" w:hAnsi="楷体" w:hint="eastAsia"/>
          <w:color w:val="000000"/>
          <w:szCs w:val="21"/>
        </w:rPr>
      </w:pPr>
      <w:r>
        <w:rPr>
          <w:noProof/>
        </w:rPr>
        <w:drawing>
          <wp:inline distT="0" distB="0" distL="0" distR="0" wp14:anchorId="137ED8FF" wp14:editId="2E43E094">
            <wp:extent cx="2799347" cy="1094874"/>
            <wp:effectExtent l="0" t="0" r="1270" b="10160"/>
            <wp:docPr id="43" name="图表 43">
              <a:extLst xmlns:a="http://schemas.openxmlformats.org/drawingml/2006/main">
                <a:ext uri="{FF2B5EF4-FFF2-40B4-BE49-F238E27FC236}">
                  <a16:creationId xmlns:a16="http://schemas.microsoft.com/office/drawing/2014/main" id="{E11D0290-1238-4A68-8775-6118F596F6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4DA55D" w14:textId="19B63A1F" w:rsidR="004E66DC" w:rsidRPr="002C05D3" w:rsidRDefault="002C05D3" w:rsidP="002C05D3">
      <w:pPr>
        <w:pStyle w:val="2"/>
        <w:spacing w:before="0" w:after="0" w:line="240" w:lineRule="auto"/>
        <w:rPr>
          <w:rFonts w:ascii="楷体" w:eastAsia="楷体" w:hAnsi="楷体"/>
          <w:sz w:val="24"/>
          <w:szCs w:val="24"/>
        </w:rPr>
      </w:pPr>
      <w:r w:rsidRPr="002C05D3">
        <w:rPr>
          <w:rFonts w:ascii="楷体" w:eastAsia="楷体" w:hAnsi="楷体" w:hint="eastAsia"/>
          <w:sz w:val="24"/>
          <w:szCs w:val="24"/>
        </w:rPr>
        <w:t>2.4</w:t>
      </w:r>
      <w:r w:rsidRPr="002C05D3">
        <w:rPr>
          <w:rFonts w:ascii="楷体" w:eastAsia="楷体" w:hAnsi="楷体"/>
          <w:sz w:val="24"/>
          <w:szCs w:val="24"/>
        </w:rPr>
        <w:t xml:space="preserve"> </w:t>
      </w:r>
      <w:r w:rsidR="00371941" w:rsidRPr="002C05D3">
        <w:rPr>
          <w:rFonts w:ascii="楷体" w:eastAsia="楷体" w:hAnsi="楷体" w:hint="eastAsia"/>
          <w:sz w:val="24"/>
          <w:szCs w:val="24"/>
        </w:rPr>
        <w:t>中国医疗器械</w:t>
      </w:r>
      <w:r w:rsidR="006E6121" w:rsidRPr="002C05D3">
        <w:rPr>
          <w:rFonts w:ascii="楷体" w:eastAsia="楷体" w:hAnsi="楷体"/>
          <w:sz w:val="24"/>
          <w:szCs w:val="24"/>
        </w:rPr>
        <w:t>行业整体仍然保持快速增长态势</w:t>
      </w:r>
    </w:p>
    <w:p w14:paraId="2B27AC47" w14:textId="03AB85E8" w:rsidR="00371941" w:rsidRPr="00AD42A9" w:rsidRDefault="00E43143" w:rsidP="00AD42A9">
      <w:pPr>
        <w:pStyle w:val="a3"/>
        <w:ind w:firstLine="360"/>
        <w:rPr>
          <w:rFonts w:ascii="楷体" w:eastAsia="楷体" w:hAnsi="楷体"/>
          <w:sz w:val="18"/>
          <w:szCs w:val="20"/>
        </w:rPr>
      </w:pPr>
      <w:r w:rsidRPr="00AD42A9">
        <w:rPr>
          <w:rFonts w:ascii="楷体" w:eastAsia="楷体" w:hAnsi="楷体" w:hint="eastAsia"/>
          <w:sz w:val="18"/>
          <w:szCs w:val="20"/>
        </w:rPr>
        <w:t>受益于经济水平的发展，</w:t>
      </w:r>
      <w:r w:rsidR="005174FF" w:rsidRPr="00AD42A9">
        <w:rPr>
          <w:rFonts w:ascii="楷体" w:eastAsia="楷体" w:hAnsi="楷体" w:hint="eastAsia"/>
          <w:sz w:val="18"/>
          <w:szCs w:val="20"/>
        </w:rPr>
        <w:t>健康需求不断增加，中国医疗器械市场</w:t>
      </w:r>
      <w:r w:rsidR="00387168" w:rsidRPr="00AD42A9">
        <w:rPr>
          <w:rFonts w:ascii="楷体" w:eastAsia="楷体" w:hAnsi="楷体" w:hint="eastAsia"/>
          <w:sz w:val="18"/>
          <w:szCs w:val="20"/>
        </w:rPr>
        <w:t>迎来了巨大的发展机遇，据统计，2018年</w:t>
      </w:r>
      <w:r w:rsidR="00BA18B8" w:rsidRPr="00AD42A9">
        <w:rPr>
          <w:rFonts w:ascii="楷体" w:eastAsia="楷体" w:hAnsi="楷体" w:hint="eastAsia"/>
          <w:sz w:val="18"/>
          <w:szCs w:val="20"/>
        </w:rPr>
        <w:t>中国医疗器械市场规模约为5304亿元。同比增长19.86%。</w:t>
      </w:r>
    </w:p>
    <w:p w14:paraId="10E8190F" w14:textId="341ADBAA" w:rsidR="006E6121" w:rsidRPr="0071001D" w:rsidRDefault="00BA18B8" w:rsidP="0071001D">
      <w:pPr>
        <w:pStyle w:val="a3"/>
        <w:ind w:left="-426" w:firstLineChars="0" w:firstLine="0"/>
        <w:jc w:val="center"/>
        <w:rPr>
          <w:rFonts w:ascii="楷体" w:eastAsia="楷体" w:hAnsi="楷体" w:hint="eastAsia"/>
          <w:sz w:val="18"/>
          <w:szCs w:val="20"/>
        </w:rPr>
      </w:pPr>
      <w:r w:rsidRPr="00D60463">
        <w:rPr>
          <w:rFonts w:ascii="楷体" w:eastAsia="楷体" w:hAnsi="楷体"/>
          <w:noProof/>
          <w:sz w:val="18"/>
          <w:szCs w:val="20"/>
        </w:rPr>
        <w:drawing>
          <wp:inline distT="0" distB="0" distL="0" distR="0" wp14:anchorId="5BDAC7B0" wp14:editId="3C4690E7">
            <wp:extent cx="4308658" cy="1820779"/>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526" cy="1821991"/>
                    </a:xfrm>
                    <a:prstGeom prst="rect">
                      <a:avLst/>
                    </a:prstGeom>
                  </pic:spPr>
                </pic:pic>
              </a:graphicData>
            </a:graphic>
          </wp:inline>
        </w:drawing>
      </w:r>
    </w:p>
    <w:p w14:paraId="332D1CBE" w14:textId="0FDE2656" w:rsidR="006E6121" w:rsidRDefault="006E6121" w:rsidP="00D60463">
      <w:pPr>
        <w:pStyle w:val="a3"/>
        <w:ind w:left="-426" w:firstLineChars="0" w:firstLine="0"/>
        <w:rPr>
          <w:rFonts w:ascii="楷体" w:eastAsia="楷体" w:hAnsi="楷体"/>
          <w:sz w:val="18"/>
          <w:szCs w:val="20"/>
        </w:rPr>
      </w:pPr>
      <w:r w:rsidRPr="00D60463">
        <w:rPr>
          <w:rFonts w:ascii="楷体" w:eastAsia="楷体" w:hAnsi="楷体"/>
          <w:sz w:val="18"/>
          <w:szCs w:val="20"/>
        </w:rPr>
        <w:t>毛利率整体趋势向上： 1）高毛利率产品放量且占比提升； 2）规模效应逐步体现</w:t>
      </w:r>
    </w:p>
    <w:p w14:paraId="58716C36" w14:textId="350E0B38" w:rsidR="00D432B2" w:rsidRPr="00D432B2" w:rsidRDefault="00D432B2" w:rsidP="00D432B2">
      <w:pPr>
        <w:pStyle w:val="a3"/>
        <w:ind w:left="-426" w:firstLineChars="0" w:firstLine="0"/>
        <w:jc w:val="center"/>
        <w:rPr>
          <w:rFonts w:ascii="楷体" w:eastAsia="楷体" w:hAnsi="楷体" w:hint="eastAsia"/>
          <w:b/>
          <w:bCs/>
          <w:sz w:val="16"/>
          <w:szCs w:val="18"/>
        </w:rPr>
      </w:pPr>
      <w:r w:rsidRPr="00D432B2">
        <w:rPr>
          <w:rFonts w:ascii="楷体" w:eastAsia="楷体" w:hAnsi="楷体" w:hint="eastAsia"/>
          <w:b/>
          <w:bCs/>
          <w:sz w:val="16"/>
          <w:szCs w:val="18"/>
        </w:rPr>
        <w:t>2014-2018年医疗器械整体毛利率与净利率</w:t>
      </w:r>
    </w:p>
    <w:p w14:paraId="22593D77" w14:textId="520C6971" w:rsidR="006E6121" w:rsidRPr="00D60463" w:rsidRDefault="001F138D" w:rsidP="001F138D">
      <w:pPr>
        <w:pStyle w:val="a3"/>
        <w:ind w:left="-426" w:firstLineChars="0" w:firstLine="0"/>
        <w:jc w:val="center"/>
        <w:rPr>
          <w:rFonts w:ascii="楷体" w:eastAsia="楷体" w:hAnsi="楷体"/>
          <w:sz w:val="18"/>
          <w:szCs w:val="20"/>
        </w:rPr>
      </w:pPr>
      <w:r>
        <w:rPr>
          <w:noProof/>
        </w:rPr>
        <w:lastRenderedPageBreak/>
        <w:drawing>
          <wp:inline distT="0" distB="0" distL="0" distR="0" wp14:anchorId="4135E9EB" wp14:editId="1509B0EB">
            <wp:extent cx="2687053" cy="1804737"/>
            <wp:effectExtent l="0" t="0" r="18415" b="5080"/>
            <wp:docPr id="44" name="图表 44">
              <a:extLst xmlns:a="http://schemas.openxmlformats.org/drawingml/2006/main">
                <a:ext uri="{FF2B5EF4-FFF2-40B4-BE49-F238E27FC236}">
                  <a16:creationId xmlns:a16="http://schemas.microsoft.com/office/drawing/2014/main" id="{3DE322B9-E5E0-4930-AC3D-14A383FA15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7DB0AF" w14:textId="6E097287" w:rsidR="0035486A" w:rsidRPr="00FC653A" w:rsidRDefault="00C7216D" w:rsidP="00FC653A">
      <w:pPr>
        <w:pStyle w:val="3"/>
        <w:spacing w:before="0" w:after="0" w:line="240" w:lineRule="auto"/>
        <w:rPr>
          <w:rFonts w:ascii="楷体" w:eastAsia="楷体" w:hAnsi="楷体"/>
          <w:sz w:val="22"/>
          <w:szCs w:val="22"/>
        </w:rPr>
      </w:pPr>
      <w:r w:rsidRPr="00FC653A">
        <w:rPr>
          <w:rFonts w:ascii="楷体" w:eastAsia="楷体" w:hAnsi="楷体"/>
          <w:sz w:val="22"/>
          <w:szCs w:val="22"/>
        </w:rPr>
        <w:t xml:space="preserve">2.4.1 </w:t>
      </w:r>
      <w:r w:rsidRPr="00FC653A">
        <w:rPr>
          <w:rFonts w:ascii="楷体" w:eastAsia="楷体" w:hAnsi="楷体" w:hint="eastAsia"/>
          <w:sz w:val="22"/>
          <w:szCs w:val="22"/>
        </w:rPr>
        <w:t>体外诊断持续向好</w:t>
      </w:r>
    </w:p>
    <w:p w14:paraId="7A2E86CA" w14:textId="082AF17F" w:rsidR="00377081" w:rsidRDefault="00FC653A" w:rsidP="009D1E75">
      <w:pPr>
        <w:ind w:firstLineChars="200" w:firstLine="360"/>
        <w:rPr>
          <w:rFonts w:ascii="楷体" w:eastAsia="楷体" w:hAnsi="楷体"/>
          <w:sz w:val="18"/>
          <w:szCs w:val="20"/>
        </w:rPr>
      </w:pPr>
      <w:r>
        <w:rPr>
          <w:rFonts w:ascii="楷体" w:eastAsia="楷体" w:hAnsi="楷体" w:hint="eastAsia"/>
          <w:sz w:val="18"/>
          <w:szCs w:val="20"/>
        </w:rPr>
        <w:t>体外</w:t>
      </w:r>
      <w:r w:rsidR="00377081" w:rsidRPr="00D60463">
        <w:rPr>
          <w:rFonts w:ascii="楷体" w:eastAsia="楷体" w:hAnsi="楷体"/>
          <w:sz w:val="18"/>
          <w:szCs w:val="20"/>
        </w:rPr>
        <w:t>诊断伴随着疾病防治的全过程，终端需求持续稳健增长。在国家</w:t>
      </w:r>
      <w:proofErr w:type="gramStart"/>
      <w:r w:rsidR="00377081" w:rsidRPr="00D60463">
        <w:rPr>
          <w:rFonts w:ascii="楷体" w:eastAsia="楷体" w:hAnsi="楷体"/>
          <w:sz w:val="18"/>
          <w:szCs w:val="20"/>
        </w:rPr>
        <w:t>控费背景</w:t>
      </w:r>
      <w:proofErr w:type="gramEnd"/>
      <w:r w:rsidR="00377081" w:rsidRPr="00D60463">
        <w:rPr>
          <w:rFonts w:ascii="楷体" w:eastAsia="楷体" w:hAnsi="楷体"/>
          <w:sz w:val="18"/>
          <w:szCs w:val="20"/>
        </w:rPr>
        <w:t>下，检验产品终端价格仍有一定的降价压力，降价将促进行业集中度提高和进口替代，</w:t>
      </w:r>
      <w:r w:rsidR="009D1E75">
        <w:rPr>
          <w:rFonts w:ascii="楷体" w:eastAsia="楷体" w:hAnsi="楷体" w:hint="eastAsia"/>
          <w:sz w:val="18"/>
          <w:szCs w:val="20"/>
        </w:rPr>
        <w:t>其中</w:t>
      </w:r>
      <w:r w:rsidR="00377081" w:rsidRPr="00D60463">
        <w:rPr>
          <w:rFonts w:ascii="楷体" w:eastAsia="楷体" w:hAnsi="楷体"/>
          <w:sz w:val="18"/>
          <w:szCs w:val="20"/>
        </w:rPr>
        <w:t>以化学发光、分子诊断和POCT为代表的高新细分领域将延续快速增长态势，同时优质国内企业增速将超越行业增速。</w:t>
      </w:r>
    </w:p>
    <w:p w14:paraId="727F4430" w14:textId="4552ADB1" w:rsidR="00D432B2" w:rsidRPr="00D432B2" w:rsidRDefault="00D432B2" w:rsidP="00D432B2">
      <w:pPr>
        <w:ind w:firstLineChars="200" w:firstLine="321"/>
        <w:jc w:val="center"/>
        <w:rPr>
          <w:rFonts w:ascii="楷体" w:eastAsia="楷体" w:hAnsi="楷体" w:hint="eastAsia"/>
          <w:b/>
          <w:bCs/>
          <w:sz w:val="18"/>
          <w:szCs w:val="20"/>
        </w:rPr>
      </w:pPr>
      <w:r w:rsidRPr="00D432B2">
        <w:rPr>
          <w:rFonts w:ascii="楷体" w:eastAsia="楷体" w:hAnsi="楷体" w:hint="eastAsia"/>
          <w:b/>
          <w:bCs/>
          <w:sz w:val="16"/>
          <w:szCs w:val="18"/>
        </w:rPr>
        <w:t>2014-2018年体外诊断收入变化</w:t>
      </w:r>
    </w:p>
    <w:p w14:paraId="250177C2" w14:textId="78955071" w:rsidR="00422FFE" w:rsidRDefault="006A5C13" w:rsidP="00C37DA1">
      <w:pPr>
        <w:jc w:val="center"/>
        <w:rPr>
          <w:rFonts w:ascii="楷体" w:eastAsia="楷体" w:hAnsi="楷体"/>
          <w:sz w:val="8"/>
          <w:szCs w:val="8"/>
        </w:rPr>
      </w:pPr>
      <w:r>
        <w:rPr>
          <w:noProof/>
        </w:rPr>
        <w:drawing>
          <wp:inline distT="0" distB="0" distL="0" distR="0" wp14:anchorId="30FEE547" wp14:editId="44B5FF23">
            <wp:extent cx="2429978" cy="1315453"/>
            <wp:effectExtent l="0" t="0" r="8890" b="18415"/>
            <wp:docPr id="45" name="图表 45">
              <a:extLst xmlns:a="http://schemas.openxmlformats.org/drawingml/2006/main">
                <a:ext uri="{FF2B5EF4-FFF2-40B4-BE49-F238E27FC236}">
                  <a16:creationId xmlns:a16="http://schemas.microsoft.com/office/drawing/2014/main" id="{74CBF377-E7A6-4103-910B-E7BB97AFBD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33C08B2" w14:textId="2B3C2120" w:rsidR="0093619D" w:rsidRDefault="0093619D" w:rsidP="0093619D">
      <w:pPr>
        <w:rPr>
          <w:rFonts w:ascii="楷体" w:eastAsia="楷体" w:hAnsi="楷体"/>
          <w:sz w:val="18"/>
          <w:szCs w:val="20"/>
        </w:rPr>
      </w:pPr>
      <w:r w:rsidRPr="00E913F3">
        <w:rPr>
          <w:rFonts w:ascii="楷体" w:eastAsia="楷体" w:hAnsi="楷体" w:hint="eastAsia"/>
          <w:sz w:val="18"/>
          <w:szCs w:val="20"/>
        </w:rPr>
        <w:t>从</w:t>
      </w:r>
      <w:r w:rsidR="00E913F3">
        <w:rPr>
          <w:rFonts w:ascii="楷体" w:eastAsia="楷体" w:hAnsi="楷体" w:hint="eastAsia"/>
          <w:sz w:val="18"/>
          <w:szCs w:val="20"/>
        </w:rPr>
        <w:t>下图中可以看出，</w:t>
      </w:r>
      <w:r w:rsidR="002E0FDE">
        <w:rPr>
          <w:rFonts w:ascii="楷体" w:eastAsia="楷体" w:hAnsi="楷体" w:hint="eastAsia"/>
          <w:sz w:val="18"/>
          <w:szCs w:val="20"/>
        </w:rPr>
        <w:t>体外诊断与医院基础设备的收入最高，植入器械的收入呈现快速增长的态势；</w:t>
      </w:r>
      <w:r w:rsidR="00C25F03">
        <w:rPr>
          <w:rFonts w:ascii="楷体" w:eastAsia="楷体" w:hAnsi="楷体" w:hint="eastAsia"/>
          <w:sz w:val="18"/>
          <w:szCs w:val="20"/>
        </w:rPr>
        <w:t>体外诊断与植入器械毛利率水平高于其他医用器械，而从2016年起</w:t>
      </w:r>
      <w:r w:rsidR="002D6C78">
        <w:rPr>
          <w:rFonts w:ascii="楷体" w:eastAsia="楷体" w:hAnsi="楷体" w:hint="eastAsia"/>
          <w:sz w:val="18"/>
          <w:szCs w:val="20"/>
        </w:rPr>
        <w:t>，植入器械的毛利率超过体外诊断。</w:t>
      </w:r>
    </w:p>
    <w:p w14:paraId="3CCFA05E" w14:textId="352FDC80" w:rsidR="001E7343" w:rsidRPr="001E7343" w:rsidRDefault="001E7343" w:rsidP="001E7343">
      <w:pPr>
        <w:ind w:firstLineChars="700" w:firstLine="1124"/>
        <w:jc w:val="left"/>
        <w:rPr>
          <w:rFonts w:ascii="楷体" w:eastAsia="楷体" w:hAnsi="楷体" w:hint="eastAsia"/>
          <w:b/>
          <w:bCs/>
          <w:sz w:val="16"/>
          <w:szCs w:val="18"/>
        </w:rPr>
      </w:pPr>
      <w:r w:rsidRPr="001E7343">
        <w:rPr>
          <w:rFonts w:ascii="楷体" w:eastAsia="楷体" w:hAnsi="楷体" w:hint="eastAsia"/>
          <w:b/>
          <w:bCs/>
          <w:sz w:val="16"/>
          <w:szCs w:val="18"/>
        </w:rPr>
        <w:t>2014-2018年医用器械细分市场收入对比</w:t>
      </w:r>
      <w:r>
        <w:rPr>
          <w:rFonts w:ascii="楷体" w:eastAsia="楷体" w:hAnsi="楷体" w:hint="eastAsia"/>
          <w:b/>
          <w:bCs/>
          <w:sz w:val="16"/>
          <w:szCs w:val="18"/>
        </w:rPr>
        <w:t xml:space="preserve"> </w:t>
      </w:r>
      <w:r>
        <w:rPr>
          <w:rFonts w:ascii="楷体" w:eastAsia="楷体" w:hAnsi="楷体"/>
          <w:b/>
          <w:bCs/>
          <w:sz w:val="16"/>
          <w:szCs w:val="18"/>
        </w:rPr>
        <w:t xml:space="preserve">              </w:t>
      </w:r>
      <w:r>
        <w:rPr>
          <w:rFonts w:ascii="楷体" w:eastAsia="楷体" w:hAnsi="楷体" w:hint="eastAsia"/>
          <w:b/>
          <w:bCs/>
          <w:sz w:val="16"/>
          <w:szCs w:val="18"/>
        </w:rPr>
        <w:t>2014-2018年医用器械细分市场</w:t>
      </w:r>
      <w:r w:rsidR="00D432B2">
        <w:rPr>
          <w:rFonts w:ascii="楷体" w:eastAsia="楷体" w:hAnsi="楷体" w:hint="eastAsia"/>
          <w:b/>
          <w:bCs/>
          <w:sz w:val="16"/>
          <w:szCs w:val="18"/>
        </w:rPr>
        <w:t>毛利率对比</w:t>
      </w:r>
    </w:p>
    <w:p w14:paraId="61252525" w14:textId="5DCD2B2D" w:rsidR="00FB0A78" w:rsidRPr="00E913F3" w:rsidRDefault="00FB0A78" w:rsidP="0093619D">
      <w:pPr>
        <w:rPr>
          <w:rFonts w:ascii="楷体" w:eastAsia="楷体" w:hAnsi="楷体" w:hint="eastAsia"/>
          <w:sz w:val="18"/>
          <w:szCs w:val="20"/>
        </w:rPr>
      </w:pPr>
      <w:r>
        <w:rPr>
          <w:noProof/>
        </w:rPr>
        <w:drawing>
          <wp:anchor distT="0" distB="0" distL="114300" distR="114300" simplePos="0" relativeHeight="251663360" behindDoc="0" locked="0" layoutInCell="1" allowOverlap="1" wp14:anchorId="74DB469C" wp14:editId="6AB97748">
            <wp:simplePos x="0" y="0"/>
            <wp:positionH relativeFrom="column">
              <wp:posOffset>3127241</wp:posOffset>
            </wp:positionH>
            <wp:positionV relativeFrom="paragraph">
              <wp:posOffset>27438</wp:posOffset>
            </wp:positionV>
            <wp:extent cx="2161540" cy="1106571"/>
            <wp:effectExtent l="0" t="0" r="10160" b="17780"/>
            <wp:wrapNone/>
            <wp:docPr id="46" name="图表 46">
              <a:extLst xmlns:a="http://schemas.openxmlformats.org/drawingml/2006/main">
                <a:ext uri="{FF2B5EF4-FFF2-40B4-BE49-F238E27FC236}">
                  <a16:creationId xmlns:a16="http://schemas.microsoft.com/office/drawing/2014/main" id="{E87AA623-6EEB-4C8E-B620-8E9562BDB2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B358139" wp14:editId="0572BEB8">
            <wp:simplePos x="0" y="0"/>
            <wp:positionH relativeFrom="column">
              <wp:posOffset>589548</wp:posOffset>
            </wp:positionH>
            <wp:positionV relativeFrom="paragraph">
              <wp:posOffset>31115</wp:posOffset>
            </wp:positionV>
            <wp:extent cx="2149642" cy="1118937"/>
            <wp:effectExtent l="0" t="0" r="3175" b="5080"/>
            <wp:wrapNone/>
            <wp:docPr id="47" name="图表 47">
              <a:extLst xmlns:a="http://schemas.openxmlformats.org/drawingml/2006/main">
                <a:ext uri="{FF2B5EF4-FFF2-40B4-BE49-F238E27FC236}">
                  <a16:creationId xmlns:a16="http://schemas.microsoft.com/office/drawing/2014/main" id="{FB09E0F9-EBD3-4996-880C-3963E7AC2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F46E015" w14:textId="0384AFDA" w:rsidR="0093619D" w:rsidRDefault="0093619D" w:rsidP="00C37DA1">
      <w:pPr>
        <w:jc w:val="center"/>
        <w:rPr>
          <w:rFonts w:ascii="楷体" w:eastAsia="楷体" w:hAnsi="楷体"/>
          <w:sz w:val="8"/>
          <w:szCs w:val="8"/>
        </w:rPr>
      </w:pPr>
    </w:p>
    <w:p w14:paraId="145AF785" w14:textId="06517A5F" w:rsidR="00FB0A78" w:rsidRDefault="00FB0A78" w:rsidP="00C37DA1">
      <w:pPr>
        <w:jc w:val="center"/>
        <w:rPr>
          <w:rFonts w:ascii="楷体" w:eastAsia="楷体" w:hAnsi="楷体"/>
          <w:sz w:val="8"/>
          <w:szCs w:val="8"/>
        </w:rPr>
      </w:pPr>
    </w:p>
    <w:p w14:paraId="7ED03027" w14:textId="13D4375D" w:rsidR="00FB0A78" w:rsidRDefault="00FB0A78" w:rsidP="00C37DA1">
      <w:pPr>
        <w:jc w:val="center"/>
        <w:rPr>
          <w:rFonts w:ascii="楷体" w:eastAsia="楷体" w:hAnsi="楷体"/>
          <w:sz w:val="8"/>
          <w:szCs w:val="8"/>
        </w:rPr>
      </w:pPr>
    </w:p>
    <w:p w14:paraId="4F5CB38A" w14:textId="68CF6A9E" w:rsidR="00FB0A78" w:rsidRDefault="00FB0A78" w:rsidP="00C37DA1">
      <w:pPr>
        <w:jc w:val="center"/>
        <w:rPr>
          <w:rFonts w:ascii="楷体" w:eastAsia="楷体" w:hAnsi="楷体"/>
          <w:sz w:val="8"/>
          <w:szCs w:val="8"/>
        </w:rPr>
      </w:pPr>
    </w:p>
    <w:p w14:paraId="783A10BA" w14:textId="66A0ADE6" w:rsidR="00E90119" w:rsidRDefault="00E90119" w:rsidP="00E90119">
      <w:pPr>
        <w:rPr>
          <w:rFonts w:ascii="楷体" w:eastAsia="楷体" w:hAnsi="楷体"/>
          <w:sz w:val="8"/>
          <w:szCs w:val="8"/>
        </w:rPr>
      </w:pPr>
    </w:p>
    <w:p w14:paraId="3F7EBF6E" w14:textId="216A2858" w:rsidR="00FB0A78" w:rsidRDefault="00E90119" w:rsidP="004333C1">
      <w:pPr>
        <w:ind w:firstLineChars="200" w:firstLine="360"/>
        <w:rPr>
          <w:rFonts w:ascii="楷体" w:eastAsia="楷体" w:hAnsi="楷体"/>
          <w:sz w:val="18"/>
          <w:szCs w:val="20"/>
        </w:rPr>
      </w:pPr>
      <w:r w:rsidRPr="00E90119">
        <w:rPr>
          <w:rFonts w:ascii="楷体" w:eastAsia="楷体" w:hAnsi="楷体" w:hint="eastAsia"/>
          <w:sz w:val="18"/>
          <w:szCs w:val="20"/>
        </w:rPr>
        <w:t>体外</w:t>
      </w:r>
      <w:r>
        <w:rPr>
          <w:rFonts w:ascii="楷体" w:eastAsia="楷体" w:hAnsi="楷体" w:hint="eastAsia"/>
          <w:sz w:val="18"/>
          <w:szCs w:val="20"/>
        </w:rPr>
        <w:t>诊断市场较为分散，</w:t>
      </w:r>
      <w:r w:rsidR="00DA5CA9">
        <w:rPr>
          <w:rFonts w:ascii="楷体" w:eastAsia="楷体" w:hAnsi="楷体" w:hint="eastAsia"/>
          <w:sz w:val="18"/>
          <w:szCs w:val="20"/>
        </w:rPr>
        <w:t>在带量采购政策的引导下，预计集中度将提升。</w:t>
      </w:r>
    </w:p>
    <w:p w14:paraId="009A7F14" w14:textId="4037797A" w:rsidR="001E7343" w:rsidRPr="001E7343" w:rsidRDefault="001E7343" w:rsidP="001E7343">
      <w:pPr>
        <w:ind w:firstLineChars="200" w:firstLine="321"/>
        <w:jc w:val="center"/>
        <w:rPr>
          <w:rFonts w:ascii="楷体" w:eastAsia="楷体" w:hAnsi="楷体" w:hint="eastAsia"/>
          <w:b/>
          <w:bCs/>
          <w:sz w:val="16"/>
          <w:szCs w:val="18"/>
        </w:rPr>
      </w:pPr>
      <w:r w:rsidRPr="001E7343">
        <w:rPr>
          <w:rFonts w:ascii="楷体" w:eastAsia="楷体" w:hAnsi="楷体" w:hint="eastAsia"/>
          <w:b/>
          <w:bCs/>
          <w:sz w:val="16"/>
          <w:szCs w:val="18"/>
        </w:rPr>
        <w:t>2018年体外诊断龙头企业市场份额</w:t>
      </w:r>
    </w:p>
    <w:p w14:paraId="6A957FA8" w14:textId="555B171F" w:rsidR="00E90119" w:rsidRPr="00C37DA1" w:rsidRDefault="00E90119" w:rsidP="00C37DA1">
      <w:pPr>
        <w:jc w:val="center"/>
        <w:rPr>
          <w:rFonts w:ascii="楷体" w:eastAsia="楷体" w:hAnsi="楷体" w:hint="eastAsia"/>
          <w:sz w:val="8"/>
          <w:szCs w:val="8"/>
        </w:rPr>
      </w:pPr>
      <w:r>
        <w:rPr>
          <w:noProof/>
        </w:rPr>
        <w:drawing>
          <wp:inline distT="0" distB="0" distL="0" distR="0" wp14:anchorId="2292D48F" wp14:editId="5C572C4E">
            <wp:extent cx="3196390" cy="1211179"/>
            <wp:effectExtent l="0" t="0" r="4445" b="8255"/>
            <wp:docPr id="48" name="图表 48">
              <a:extLst xmlns:a="http://schemas.openxmlformats.org/drawingml/2006/main">
                <a:ext uri="{FF2B5EF4-FFF2-40B4-BE49-F238E27FC236}">
                  <a16:creationId xmlns:a16="http://schemas.microsoft.com/office/drawing/2014/main" id="{7B6E513A-BD61-4AD5-B41B-202CAB6C3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4820374" w14:textId="74BB96B5" w:rsidR="00540C8F" w:rsidRPr="00566B77" w:rsidRDefault="00566B77" w:rsidP="00566B77">
      <w:pPr>
        <w:pStyle w:val="3"/>
        <w:spacing w:before="0" w:after="0" w:line="240" w:lineRule="auto"/>
        <w:rPr>
          <w:rFonts w:ascii="楷体" w:eastAsia="楷体" w:hAnsi="楷体" w:hint="eastAsia"/>
          <w:sz w:val="22"/>
          <w:szCs w:val="22"/>
        </w:rPr>
      </w:pPr>
      <w:r w:rsidRPr="00FC653A">
        <w:rPr>
          <w:rFonts w:ascii="楷体" w:eastAsia="楷体" w:hAnsi="楷体"/>
          <w:sz w:val="22"/>
          <w:szCs w:val="22"/>
        </w:rPr>
        <w:t xml:space="preserve">2.4.1 </w:t>
      </w:r>
      <w:r>
        <w:rPr>
          <w:rFonts w:ascii="楷体" w:eastAsia="楷体" w:hAnsi="楷体" w:hint="eastAsia"/>
          <w:sz w:val="22"/>
          <w:szCs w:val="22"/>
        </w:rPr>
        <w:t>高值耗材</w:t>
      </w:r>
      <w:r w:rsidR="00F21B36">
        <w:rPr>
          <w:rFonts w:ascii="楷体" w:eastAsia="楷体" w:hAnsi="楷体" w:hint="eastAsia"/>
          <w:sz w:val="22"/>
          <w:szCs w:val="22"/>
        </w:rPr>
        <w:t>市场集中度将不断提高</w:t>
      </w:r>
    </w:p>
    <w:p w14:paraId="7014D19F" w14:textId="5B91A1DA" w:rsidR="004E5B5D" w:rsidRPr="00D60463" w:rsidRDefault="005C4F15" w:rsidP="00F21B36">
      <w:pPr>
        <w:ind w:firstLineChars="200" w:firstLine="360"/>
        <w:rPr>
          <w:rFonts w:ascii="楷体" w:eastAsia="楷体" w:hAnsi="楷体" w:hint="eastAsia"/>
          <w:sz w:val="18"/>
          <w:szCs w:val="20"/>
        </w:rPr>
      </w:pPr>
      <w:r w:rsidRPr="00D60463">
        <w:rPr>
          <w:rFonts w:ascii="楷体" w:eastAsia="楷体" w:hAnsi="楷体"/>
          <w:sz w:val="18"/>
          <w:szCs w:val="20"/>
        </w:rPr>
        <w:t>由于小</w:t>
      </w:r>
      <w:proofErr w:type="gramStart"/>
      <w:r w:rsidRPr="00D60463">
        <w:rPr>
          <w:rFonts w:ascii="楷体" w:eastAsia="楷体" w:hAnsi="楷体"/>
          <w:sz w:val="18"/>
          <w:szCs w:val="20"/>
        </w:rPr>
        <w:t>微企业</w:t>
      </w:r>
      <w:proofErr w:type="gramEnd"/>
      <w:r w:rsidRPr="00D60463">
        <w:rPr>
          <w:rFonts w:ascii="楷体" w:eastAsia="楷体" w:hAnsi="楷体"/>
          <w:sz w:val="18"/>
          <w:szCs w:val="20"/>
        </w:rPr>
        <w:t>直接出局、企业数量大幅缩减，龙头企业市场份额大幅提升。考虑到目前国内在诸多高值耗材细分市场的格局小而散，以及进口品牌仍牢牢把控三级医院，集</w:t>
      </w:r>
      <w:proofErr w:type="gramStart"/>
      <w:r w:rsidRPr="00D60463">
        <w:rPr>
          <w:rFonts w:ascii="楷体" w:eastAsia="楷体" w:hAnsi="楷体"/>
          <w:sz w:val="18"/>
          <w:szCs w:val="20"/>
        </w:rPr>
        <w:t>采政策</w:t>
      </w:r>
      <w:proofErr w:type="gramEnd"/>
      <w:r w:rsidRPr="00D60463">
        <w:rPr>
          <w:rFonts w:ascii="楷体" w:eastAsia="楷体" w:hAnsi="楷体"/>
          <w:sz w:val="18"/>
          <w:szCs w:val="20"/>
        </w:rPr>
        <w:t>整体对于行业集中度提升的“利”有望大于价格下降的“弊”，国产耗材龙头有望持续受益</w:t>
      </w:r>
      <w:r w:rsidRPr="00D60463">
        <w:rPr>
          <w:rFonts w:ascii="楷体" w:eastAsia="楷体" w:hAnsi="楷体" w:hint="eastAsia"/>
          <w:sz w:val="18"/>
          <w:szCs w:val="20"/>
        </w:rPr>
        <w:t>。</w:t>
      </w:r>
    </w:p>
    <w:p w14:paraId="64948512" w14:textId="28C2AD90" w:rsidR="006D5AB7" w:rsidRPr="00D60463" w:rsidRDefault="00255386" w:rsidP="004333C1">
      <w:pPr>
        <w:jc w:val="center"/>
        <w:rPr>
          <w:rFonts w:ascii="楷体" w:eastAsia="楷体" w:hAnsi="楷体" w:hint="eastAsia"/>
          <w:sz w:val="18"/>
          <w:szCs w:val="20"/>
        </w:rPr>
      </w:pPr>
      <w:r w:rsidRPr="00D60463">
        <w:rPr>
          <w:rFonts w:ascii="楷体" w:eastAsia="楷体" w:hAnsi="楷体"/>
          <w:noProof/>
          <w:sz w:val="18"/>
          <w:szCs w:val="20"/>
        </w:rPr>
        <w:lastRenderedPageBreak/>
        <w:drawing>
          <wp:inline distT="0" distB="0" distL="0" distR="0" wp14:anchorId="07C65C35" wp14:editId="42B6B80A">
            <wp:extent cx="3750310" cy="2527599"/>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4015" cy="2530096"/>
                    </a:xfrm>
                    <a:prstGeom prst="rect">
                      <a:avLst/>
                    </a:prstGeom>
                  </pic:spPr>
                </pic:pic>
              </a:graphicData>
            </a:graphic>
          </wp:inline>
        </w:drawing>
      </w:r>
    </w:p>
    <w:p w14:paraId="689001D2" w14:textId="4B6876C1" w:rsidR="008565FF" w:rsidRPr="001B7E16" w:rsidRDefault="004333C1" w:rsidP="001B7E16">
      <w:pPr>
        <w:pStyle w:val="2"/>
        <w:spacing w:before="0" w:after="0" w:line="240" w:lineRule="auto"/>
        <w:rPr>
          <w:rFonts w:ascii="楷体" w:eastAsia="楷体" w:hAnsi="楷体" w:hint="eastAsia"/>
          <w:sz w:val="24"/>
          <w:szCs w:val="24"/>
        </w:rPr>
      </w:pPr>
      <w:r w:rsidRPr="001B7E16">
        <w:rPr>
          <w:rFonts w:ascii="楷体" w:eastAsia="楷体" w:hAnsi="楷体" w:hint="eastAsia"/>
          <w:sz w:val="24"/>
          <w:szCs w:val="24"/>
        </w:rPr>
        <w:t>2.5</w:t>
      </w:r>
      <w:r w:rsidRPr="001B7E16">
        <w:rPr>
          <w:rFonts w:ascii="楷体" w:eastAsia="楷体" w:hAnsi="楷体"/>
          <w:sz w:val="24"/>
          <w:szCs w:val="24"/>
        </w:rPr>
        <w:t xml:space="preserve"> </w:t>
      </w:r>
      <w:r w:rsidR="000E3172" w:rsidRPr="001B7E16">
        <w:rPr>
          <w:rFonts w:ascii="楷体" w:eastAsia="楷体" w:hAnsi="楷体" w:hint="eastAsia"/>
          <w:sz w:val="24"/>
          <w:szCs w:val="24"/>
        </w:rPr>
        <w:t>医疗服务行业增速有所放缓，政策+消费长期逻辑不变</w:t>
      </w:r>
    </w:p>
    <w:p w14:paraId="3CD6B518" w14:textId="56A01F69" w:rsidR="008565FF" w:rsidRDefault="008565FF" w:rsidP="001B7E16">
      <w:pPr>
        <w:ind w:firstLineChars="200" w:firstLine="360"/>
        <w:rPr>
          <w:rFonts w:ascii="楷体" w:eastAsia="楷体" w:hAnsi="楷体"/>
          <w:b/>
          <w:bCs/>
          <w:sz w:val="16"/>
          <w:szCs w:val="18"/>
        </w:rPr>
      </w:pPr>
      <w:r w:rsidRPr="001B7E16">
        <w:rPr>
          <w:rFonts w:ascii="楷体" w:eastAsia="楷体" w:hAnsi="楷体"/>
          <w:sz w:val="18"/>
          <w:szCs w:val="20"/>
        </w:rPr>
        <w:t>行业整体增速放缓,然而在健康中国战略和</w:t>
      </w:r>
      <w:proofErr w:type="gramStart"/>
      <w:r w:rsidRPr="001B7E16">
        <w:rPr>
          <w:rFonts w:ascii="楷体" w:eastAsia="楷体" w:hAnsi="楷体"/>
          <w:sz w:val="18"/>
          <w:szCs w:val="20"/>
        </w:rPr>
        <w:t>医改</w:t>
      </w:r>
      <w:proofErr w:type="gramEnd"/>
      <w:r w:rsidRPr="001B7E16">
        <w:rPr>
          <w:rFonts w:ascii="楷体" w:eastAsia="楷体" w:hAnsi="楷体"/>
          <w:sz w:val="18"/>
          <w:szCs w:val="20"/>
        </w:rPr>
        <w:t>推进的大背景下，鼓励社会办医和医疗服务价格改革等政策将会进一步落地，推动医疗服务行业的发展，叠加消费升级大逻辑不变</w:t>
      </w:r>
      <w:r w:rsidR="00A4357D" w:rsidRPr="001B7E16">
        <w:rPr>
          <w:rFonts w:ascii="楷体" w:eastAsia="楷体" w:hAnsi="楷体" w:hint="eastAsia"/>
          <w:sz w:val="18"/>
          <w:szCs w:val="20"/>
        </w:rPr>
        <w:t>。</w:t>
      </w:r>
      <w:r w:rsidR="00A4357D" w:rsidRPr="00D60463">
        <w:rPr>
          <w:rFonts w:ascii="楷体" w:eastAsia="楷体" w:hAnsi="楷体" w:hint="eastAsia"/>
          <w:b/>
          <w:bCs/>
          <w:sz w:val="16"/>
          <w:szCs w:val="18"/>
        </w:rPr>
        <w:t xml:space="preserve"> </w:t>
      </w:r>
    </w:p>
    <w:p w14:paraId="57E1E186" w14:textId="64F3E705" w:rsidR="00D443DA" w:rsidRPr="00D60463" w:rsidRDefault="00D443DA" w:rsidP="00D443DA">
      <w:pPr>
        <w:ind w:firstLineChars="400" w:firstLine="643"/>
        <w:rPr>
          <w:rFonts w:ascii="楷体" w:eastAsia="楷体" w:hAnsi="楷体"/>
          <w:b/>
          <w:bCs/>
          <w:sz w:val="16"/>
          <w:szCs w:val="18"/>
        </w:rPr>
      </w:pPr>
      <w:r>
        <w:rPr>
          <w:rFonts w:ascii="楷体" w:eastAsia="楷体" w:hAnsi="楷体" w:hint="eastAsia"/>
          <w:b/>
          <w:bCs/>
          <w:sz w:val="16"/>
          <w:szCs w:val="18"/>
        </w:rPr>
        <w:t xml:space="preserve">医疗服务行业整体收入及增速 </w:t>
      </w:r>
      <w:r>
        <w:rPr>
          <w:rFonts w:ascii="楷体" w:eastAsia="楷体" w:hAnsi="楷体"/>
          <w:b/>
          <w:bCs/>
          <w:sz w:val="16"/>
          <w:szCs w:val="18"/>
        </w:rPr>
        <w:t xml:space="preserve">                              </w:t>
      </w:r>
      <w:r>
        <w:rPr>
          <w:rFonts w:ascii="楷体" w:eastAsia="楷体" w:hAnsi="楷体" w:hint="eastAsia"/>
          <w:b/>
          <w:bCs/>
          <w:sz w:val="16"/>
          <w:szCs w:val="18"/>
        </w:rPr>
        <w:t>医疗服务行业毛利率及净利率</w:t>
      </w:r>
    </w:p>
    <w:p w14:paraId="444D08FE" w14:textId="2328414E" w:rsidR="000E3172" w:rsidRPr="00D60463" w:rsidRDefault="006F6108" w:rsidP="00D60463">
      <w:pPr>
        <w:rPr>
          <w:rFonts w:ascii="楷体" w:eastAsia="楷体" w:hAnsi="楷体"/>
          <w:sz w:val="18"/>
          <w:szCs w:val="20"/>
        </w:rPr>
      </w:pPr>
      <w:r>
        <w:rPr>
          <w:noProof/>
        </w:rPr>
        <w:drawing>
          <wp:anchor distT="0" distB="0" distL="114300" distR="114300" simplePos="0" relativeHeight="251665408" behindDoc="0" locked="0" layoutInCell="1" allowOverlap="1" wp14:anchorId="69A26FBB" wp14:editId="202B9C61">
            <wp:simplePos x="0" y="0"/>
            <wp:positionH relativeFrom="column">
              <wp:posOffset>2746642</wp:posOffset>
            </wp:positionH>
            <wp:positionV relativeFrom="paragraph">
              <wp:posOffset>50633</wp:posOffset>
            </wp:positionV>
            <wp:extent cx="2212975" cy="1070343"/>
            <wp:effectExtent l="0" t="0" r="15875" b="15875"/>
            <wp:wrapNone/>
            <wp:docPr id="51" name="图表 51">
              <a:extLst xmlns:a="http://schemas.openxmlformats.org/drawingml/2006/main">
                <a:ext uri="{FF2B5EF4-FFF2-40B4-BE49-F238E27FC236}">
                  <a16:creationId xmlns:a16="http://schemas.microsoft.com/office/drawing/2014/main" id="{2A2314E6-FDAD-49ED-9317-26E612D5D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27C7330" wp14:editId="1E831C26">
            <wp:simplePos x="0" y="0"/>
            <wp:positionH relativeFrom="column">
              <wp:posOffset>112295</wp:posOffset>
            </wp:positionH>
            <wp:positionV relativeFrom="paragraph">
              <wp:posOffset>43314</wp:posOffset>
            </wp:positionV>
            <wp:extent cx="2181726" cy="1082675"/>
            <wp:effectExtent l="0" t="0" r="9525" b="3175"/>
            <wp:wrapNone/>
            <wp:docPr id="50" name="图表 50">
              <a:extLst xmlns:a="http://schemas.openxmlformats.org/drawingml/2006/main">
                <a:ext uri="{FF2B5EF4-FFF2-40B4-BE49-F238E27FC236}">
                  <a16:creationId xmlns:a16="http://schemas.microsoft.com/office/drawing/2014/main" id="{843DD0E2-66F8-47C1-8622-17507756D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anchor>
        </w:drawing>
      </w:r>
    </w:p>
    <w:p w14:paraId="1224573F" w14:textId="49CCD547" w:rsidR="005C4F15" w:rsidRDefault="005C4F15" w:rsidP="00D60463">
      <w:pPr>
        <w:rPr>
          <w:rFonts w:ascii="楷体" w:eastAsia="楷体" w:hAnsi="楷体"/>
          <w:sz w:val="18"/>
          <w:szCs w:val="20"/>
        </w:rPr>
      </w:pPr>
    </w:p>
    <w:p w14:paraId="719DC8CA" w14:textId="4D8F97D4" w:rsidR="006F6108" w:rsidRDefault="006F6108" w:rsidP="00D60463">
      <w:pPr>
        <w:rPr>
          <w:rFonts w:ascii="楷体" w:eastAsia="楷体" w:hAnsi="楷体"/>
          <w:sz w:val="18"/>
          <w:szCs w:val="20"/>
        </w:rPr>
      </w:pPr>
    </w:p>
    <w:p w14:paraId="71A96DBF" w14:textId="3D78B613" w:rsidR="006F6108" w:rsidRDefault="006F6108" w:rsidP="00D60463">
      <w:pPr>
        <w:rPr>
          <w:rFonts w:ascii="楷体" w:eastAsia="楷体" w:hAnsi="楷体"/>
          <w:sz w:val="18"/>
          <w:szCs w:val="20"/>
        </w:rPr>
      </w:pPr>
    </w:p>
    <w:p w14:paraId="4D954804" w14:textId="7146570C" w:rsidR="006F6108" w:rsidRDefault="006F6108" w:rsidP="00D60463">
      <w:pPr>
        <w:rPr>
          <w:rFonts w:ascii="楷体" w:eastAsia="楷体" w:hAnsi="楷体"/>
          <w:sz w:val="18"/>
          <w:szCs w:val="20"/>
        </w:rPr>
      </w:pPr>
    </w:p>
    <w:p w14:paraId="4689FC7F" w14:textId="36A866A2" w:rsidR="006F6108" w:rsidRDefault="006F6108" w:rsidP="00D60463">
      <w:pPr>
        <w:rPr>
          <w:rFonts w:ascii="楷体" w:eastAsia="楷体" w:hAnsi="楷体"/>
          <w:sz w:val="18"/>
          <w:szCs w:val="20"/>
        </w:rPr>
      </w:pPr>
    </w:p>
    <w:p w14:paraId="75762E2A" w14:textId="69349188" w:rsidR="006F6108" w:rsidRPr="00D60463" w:rsidRDefault="00D443DA" w:rsidP="00D60463">
      <w:pPr>
        <w:rPr>
          <w:rFonts w:ascii="楷体" w:eastAsia="楷体" w:hAnsi="楷体" w:hint="eastAsia"/>
          <w:sz w:val="18"/>
          <w:szCs w:val="20"/>
        </w:rPr>
      </w:pPr>
      <w:r>
        <w:rPr>
          <w:rFonts w:ascii="楷体" w:eastAsia="楷体" w:hAnsi="楷体" w:hint="eastAsia"/>
          <w:sz w:val="18"/>
          <w:szCs w:val="20"/>
        </w:rPr>
        <w:t>医疗服务</w:t>
      </w:r>
      <w:proofErr w:type="gramStart"/>
      <w:r>
        <w:rPr>
          <w:rFonts w:ascii="楷体" w:eastAsia="楷体" w:hAnsi="楷体" w:hint="eastAsia"/>
          <w:sz w:val="18"/>
          <w:szCs w:val="20"/>
        </w:rPr>
        <w:t>领域</w:t>
      </w:r>
      <w:r w:rsidR="00AB7083">
        <w:rPr>
          <w:rFonts w:ascii="楷体" w:eastAsia="楷体" w:hAnsi="楷体" w:hint="eastAsia"/>
          <w:sz w:val="18"/>
          <w:szCs w:val="20"/>
        </w:rPr>
        <w:t>金</w:t>
      </w:r>
      <w:proofErr w:type="gramEnd"/>
      <w:r w:rsidR="00AB7083">
        <w:rPr>
          <w:rFonts w:ascii="楷体" w:eastAsia="楷体" w:hAnsi="楷体" w:hint="eastAsia"/>
          <w:sz w:val="18"/>
          <w:szCs w:val="20"/>
        </w:rPr>
        <w:t>域医学、</w:t>
      </w:r>
      <w:proofErr w:type="gramStart"/>
      <w:r w:rsidR="00AB7083">
        <w:rPr>
          <w:rFonts w:ascii="楷体" w:eastAsia="楷体" w:hAnsi="楷体" w:hint="eastAsia"/>
          <w:sz w:val="18"/>
          <w:szCs w:val="20"/>
        </w:rPr>
        <w:t>迪</w:t>
      </w:r>
      <w:proofErr w:type="gramEnd"/>
      <w:r w:rsidR="00AB7083">
        <w:rPr>
          <w:rFonts w:ascii="楷体" w:eastAsia="楷体" w:hAnsi="楷体" w:hint="eastAsia"/>
          <w:sz w:val="18"/>
          <w:szCs w:val="20"/>
        </w:rPr>
        <w:t>安诊断、美</w:t>
      </w:r>
      <w:proofErr w:type="gramStart"/>
      <w:r w:rsidR="00AB7083">
        <w:rPr>
          <w:rFonts w:ascii="楷体" w:eastAsia="楷体" w:hAnsi="楷体" w:hint="eastAsia"/>
          <w:sz w:val="18"/>
          <w:szCs w:val="20"/>
        </w:rPr>
        <w:t>年健康</w:t>
      </w:r>
      <w:proofErr w:type="gramEnd"/>
      <w:r w:rsidR="00AB7083">
        <w:rPr>
          <w:rFonts w:ascii="楷体" w:eastAsia="楷体" w:hAnsi="楷体" w:hint="eastAsia"/>
          <w:sz w:val="18"/>
          <w:szCs w:val="20"/>
        </w:rPr>
        <w:t>三家企业占据了约98%的市场份额</w:t>
      </w:r>
      <w:r w:rsidR="00F44D51">
        <w:rPr>
          <w:rFonts w:ascii="楷体" w:eastAsia="楷体" w:hAnsi="楷体" w:hint="eastAsia"/>
          <w:sz w:val="18"/>
          <w:szCs w:val="20"/>
        </w:rPr>
        <w:t>。</w:t>
      </w:r>
    </w:p>
    <w:p w14:paraId="5A8E15FC" w14:textId="6E1E8019" w:rsidR="00E92A25" w:rsidRPr="00CE3DBE" w:rsidRDefault="00CE3DBE" w:rsidP="00CE3DBE">
      <w:pPr>
        <w:pStyle w:val="2"/>
        <w:spacing w:before="0" w:after="0" w:line="240" w:lineRule="auto"/>
        <w:rPr>
          <w:rFonts w:ascii="楷体" w:eastAsia="楷体" w:hAnsi="楷体"/>
          <w:sz w:val="24"/>
          <w:szCs w:val="24"/>
        </w:rPr>
      </w:pPr>
      <w:r w:rsidRPr="00CE3DBE">
        <w:rPr>
          <w:rFonts w:ascii="楷体" w:eastAsia="楷体" w:hAnsi="楷体" w:hint="eastAsia"/>
          <w:sz w:val="24"/>
          <w:szCs w:val="24"/>
        </w:rPr>
        <w:t>2.6</w:t>
      </w:r>
      <w:r w:rsidRPr="00CE3DBE">
        <w:rPr>
          <w:rFonts w:ascii="楷体" w:eastAsia="楷体" w:hAnsi="楷体"/>
          <w:sz w:val="24"/>
          <w:szCs w:val="24"/>
        </w:rPr>
        <w:t xml:space="preserve"> </w:t>
      </w:r>
      <w:r w:rsidR="002A44A8" w:rsidRPr="00CE3DBE">
        <w:rPr>
          <w:rFonts w:ascii="楷体" w:eastAsia="楷体" w:hAnsi="楷体"/>
          <w:sz w:val="24"/>
          <w:szCs w:val="24"/>
        </w:rPr>
        <w:t>国内药物研发生产服务外包（CXO）市场快速增长</w:t>
      </w:r>
    </w:p>
    <w:p w14:paraId="75CD2E0E" w14:textId="64BDC8E6" w:rsidR="002A44A8" w:rsidRPr="00D60463" w:rsidRDefault="002A44A8" w:rsidP="00CE3DBE">
      <w:pPr>
        <w:ind w:firstLineChars="200" w:firstLine="360"/>
        <w:rPr>
          <w:rFonts w:ascii="楷体" w:eastAsia="楷体" w:hAnsi="楷体"/>
          <w:sz w:val="18"/>
          <w:szCs w:val="20"/>
        </w:rPr>
      </w:pPr>
      <w:r w:rsidRPr="00D60463">
        <w:rPr>
          <w:rFonts w:ascii="楷体" w:eastAsia="楷体" w:hAnsi="楷体"/>
          <w:sz w:val="18"/>
          <w:szCs w:val="20"/>
        </w:rPr>
        <w:t>在研发成本增加、专利悬崖、研发人员限制等压力下，</w:t>
      </w:r>
      <w:proofErr w:type="gramStart"/>
      <w:r w:rsidRPr="00D60463">
        <w:rPr>
          <w:rFonts w:ascii="楷体" w:eastAsia="楷体" w:hAnsi="楷体"/>
          <w:sz w:val="18"/>
          <w:szCs w:val="20"/>
        </w:rPr>
        <w:t>药企逐步</w:t>
      </w:r>
      <w:proofErr w:type="gramEnd"/>
      <w:r w:rsidRPr="00D60463">
        <w:rPr>
          <w:rFonts w:ascii="楷体" w:eastAsia="楷体" w:hAnsi="楷体"/>
          <w:sz w:val="18"/>
          <w:szCs w:val="20"/>
        </w:rPr>
        <w:t>倾向于选择药品研发生产外包服务，以提升公司研发效率和降低研发成本。国内 CDMO、临床 CRO、临床前 CRO、药物发现的市场规模分别为 104 亿美元、42 亿美元、18 亿美元、2.4 亿美元，分别同比增长 38.67%、35.48%、20.00%、33.33%。</w:t>
      </w:r>
    </w:p>
    <w:p w14:paraId="222FA5BB" w14:textId="483052E7" w:rsidR="00255386" w:rsidRPr="00D60463" w:rsidRDefault="002B221C" w:rsidP="00CE3DBE">
      <w:pPr>
        <w:rPr>
          <w:rFonts w:ascii="楷体" w:eastAsia="楷体" w:hAnsi="楷体" w:hint="eastAsia"/>
          <w:sz w:val="18"/>
          <w:szCs w:val="20"/>
        </w:rPr>
      </w:pPr>
      <w:r w:rsidRPr="00D60463">
        <w:rPr>
          <w:rFonts w:ascii="楷体" w:eastAsia="楷体" w:hAnsi="楷体"/>
          <w:noProof/>
          <w:sz w:val="18"/>
          <w:szCs w:val="20"/>
        </w:rPr>
        <w:drawing>
          <wp:inline distT="0" distB="0" distL="0" distR="0" wp14:anchorId="4D34BD57" wp14:editId="78FFD3E3">
            <wp:extent cx="5274310" cy="22726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72665"/>
                    </a:xfrm>
                    <a:prstGeom prst="rect">
                      <a:avLst/>
                    </a:prstGeom>
                  </pic:spPr>
                </pic:pic>
              </a:graphicData>
            </a:graphic>
          </wp:inline>
        </w:drawing>
      </w:r>
    </w:p>
    <w:p w14:paraId="59E857F3" w14:textId="0D8158B0" w:rsidR="00854540" w:rsidRPr="00CE3DBE" w:rsidRDefault="002B221C" w:rsidP="00CE3DBE">
      <w:pPr>
        <w:ind w:firstLineChars="200" w:firstLine="361"/>
        <w:rPr>
          <w:rFonts w:ascii="楷体" w:eastAsia="楷体" w:hAnsi="楷体"/>
          <w:b/>
          <w:bCs/>
          <w:sz w:val="18"/>
          <w:szCs w:val="20"/>
        </w:rPr>
      </w:pPr>
      <w:r w:rsidRPr="00CE3DBE">
        <w:rPr>
          <w:rFonts w:ascii="楷体" w:eastAsia="楷体" w:hAnsi="楷体"/>
          <w:b/>
          <w:bCs/>
          <w:sz w:val="18"/>
          <w:szCs w:val="20"/>
        </w:rPr>
        <w:t>“新药创新研发+工程师红利”将持续推动国内 CXO 行业蓬勃发展</w:t>
      </w:r>
      <w:r w:rsidR="00CE3DBE">
        <w:rPr>
          <w:rFonts w:ascii="楷体" w:eastAsia="楷体" w:hAnsi="楷体" w:hint="eastAsia"/>
          <w:b/>
          <w:bCs/>
          <w:sz w:val="18"/>
          <w:szCs w:val="20"/>
        </w:rPr>
        <w:t>：</w:t>
      </w:r>
      <w:r w:rsidR="006D7396" w:rsidRPr="00D60463">
        <w:rPr>
          <w:rFonts w:ascii="楷体" w:eastAsia="楷体" w:hAnsi="楷体"/>
          <w:sz w:val="18"/>
          <w:szCs w:val="20"/>
        </w:rPr>
        <w:t>国内新药创新研发和国内工程师红利是推动国内 CXO 行业快速发展的核心因素。其中，创新研发层面的驱动体现在国家出台政策鼓励药品研发，研发需求增长拉动研发生产服务外包的需求；国内工程师红利体现在国内高性价比高素质人才的增加，相对于发达国家，国内高素质人才具备成本优势。</w:t>
      </w:r>
    </w:p>
    <w:p w14:paraId="579268D5" w14:textId="5EAE7EFE" w:rsidR="00311182" w:rsidRDefault="00311182" w:rsidP="00CE3DBE">
      <w:pPr>
        <w:ind w:firstLineChars="200" w:firstLine="360"/>
        <w:rPr>
          <w:rFonts w:ascii="楷体" w:eastAsia="楷体" w:hAnsi="楷体"/>
          <w:sz w:val="18"/>
          <w:szCs w:val="20"/>
        </w:rPr>
      </w:pPr>
      <w:r w:rsidRPr="00CE3DBE">
        <w:rPr>
          <w:rFonts w:ascii="楷体" w:eastAsia="楷体" w:hAnsi="楷体"/>
          <w:sz w:val="18"/>
          <w:szCs w:val="20"/>
        </w:rPr>
        <w:lastRenderedPageBreak/>
        <w:t>持续受益于中国药审改革迚程、龙头企业创新投入、中小生物科技公司蓬勃发展，</w:t>
      </w:r>
      <w:proofErr w:type="gramStart"/>
      <w:r w:rsidRPr="00CE3DBE">
        <w:rPr>
          <w:rFonts w:ascii="楷体" w:eastAsia="楷体" w:hAnsi="楷体"/>
          <w:sz w:val="18"/>
          <w:szCs w:val="20"/>
        </w:rPr>
        <w:t>药明康德</w:t>
      </w:r>
      <w:proofErr w:type="gramEnd"/>
      <w:r w:rsidRPr="00CE3DBE">
        <w:rPr>
          <w:rFonts w:ascii="楷体" w:eastAsia="楷体" w:hAnsi="楷体"/>
          <w:sz w:val="18"/>
          <w:szCs w:val="20"/>
        </w:rPr>
        <w:t>、泰格医药等龙头标的长期空间广阔。</w:t>
      </w:r>
    </w:p>
    <w:p w14:paraId="674AC790" w14:textId="32111189" w:rsidR="001E7343" w:rsidRPr="001E7343" w:rsidRDefault="001E7343" w:rsidP="001E7343">
      <w:pPr>
        <w:ind w:firstLineChars="200" w:firstLine="321"/>
        <w:jc w:val="center"/>
        <w:rPr>
          <w:rFonts w:ascii="楷体" w:eastAsia="楷体" w:hAnsi="楷体" w:hint="eastAsia"/>
          <w:b/>
          <w:bCs/>
          <w:sz w:val="16"/>
          <w:szCs w:val="18"/>
        </w:rPr>
      </w:pPr>
      <w:r w:rsidRPr="001E7343">
        <w:rPr>
          <w:rFonts w:ascii="楷体" w:eastAsia="楷体" w:hAnsi="楷体" w:hint="eastAsia"/>
          <w:b/>
          <w:bCs/>
          <w:sz w:val="16"/>
          <w:szCs w:val="18"/>
        </w:rPr>
        <w:t>2018年C</w:t>
      </w:r>
      <w:r w:rsidRPr="001E7343">
        <w:rPr>
          <w:rFonts w:ascii="楷体" w:eastAsia="楷体" w:hAnsi="楷体"/>
          <w:b/>
          <w:bCs/>
          <w:sz w:val="16"/>
          <w:szCs w:val="18"/>
        </w:rPr>
        <w:t>RO</w:t>
      </w:r>
      <w:r w:rsidRPr="001E7343">
        <w:rPr>
          <w:rFonts w:ascii="楷体" w:eastAsia="楷体" w:hAnsi="楷体" w:hint="eastAsia"/>
          <w:b/>
          <w:bCs/>
          <w:sz w:val="16"/>
          <w:szCs w:val="18"/>
        </w:rPr>
        <w:t>领域领头企业市场份额</w:t>
      </w:r>
      <w:r w:rsidR="00647ABB">
        <w:rPr>
          <w:rFonts w:ascii="楷体" w:eastAsia="楷体" w:hAnsi="楷体" w:hint="eastAsia"/>
          <w:b/>
          <w:bCs/>
          <w:sz w:val="16"/>
          <w:szCs w:val="18"/>
        </w:rPr>
        <w:t>对比</w:t>
      </w:r>
    </w:p>
    <w:p w14:paraId="19FC6264" w14:textId="1BB10D33" w:rsidR="00944CDE" w:rsidRPr="00D60463" w:rsidRDefault="001E7343" w:rsidP="001E7343">
      <w:pPr>
        <w:jc w:val="center"/>
        <w:rPr>
          <w:rFonts w:ascii="楷体" w:eastAsia="楷体" w:hAnsi="楷体" w:hint="eastAsia"/>
          <w:sz w:val="18"/>
          <w:szCs w:val="20"/>
        </w:rPr>
      </w:pPr>
      <w:r>
        <w:rPr>
          <w:noProof/>
        </w:rPr>
        <w:drawing>
          <wp:inline distT="0" distB="0" distL="0" distR="0" wp14:anchorId="72541280" wp14:editId="08AFE345">
            <wp:extent cx="2867526" cy="1491916"/>
            <wp:effectExtent l="0" t="0" r="9525" b="13335"/>
            <wp:docPr id="52" name="图表 52">
              <a:extLst xmlns:a="http://schemas.openxmlformats.org/drawingml/2006/main">
                <a:ext uri="{FF2B5EF4-FFF2-40B4-BE49-F238E27FC236}">
                  <a16:creationId xmlns:a16="http://schemas.microsoft.com/office/drawing/2014/main" id="{07DF620C-1D10-41AB-9129-27603CCE6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A150724" w14:textId="16E59F55" w:rsidR="00764889" w:rsidRDefault="00647ABB" w:rsidP="00805E0E">
      <w:pPr>
        <w:pStyle w:val="2"/>
        <w:spacing w:before="0" w:after="0" w:line="240" w:lineRule="auto"/>
        <w:rPr>
          <w:rFonts w:ascii="楷体" w:eastAsia="楷体" w:hAnsi="楷体"/>
          <w:sz w:val="24"/>
          <w:szCs w:val="24"/>
        </w:rPr>
      </w:pPr>
      <w:r w:rsidRPr="00805E0E">
        <w:rPr>
          <w:rFonts w:ascii="楷体" w:eastAsia="楷体" w:hAnsi="楷体" w:hint="eastAsia"/>
          <w:sz w:val="24"/>
          <w:szCs w:val="24"/>
        </w:rPr>
        <w:t>2.7</w:t>
      </w:r>
      <w:r w:rsidRPr="00805E0E">
        <w:rPr>
          <w:rFonts w:ascii="楷体" w:eastAsia="楷体" w:hAnsi="楷体"/>
          <w:sz w:val="24"/>
          <w:szCs w:val="24"/>
        </w:rPr>
        <w:t xml:space="preserve"> </w:t>
      </w:r>
      <w:r w:rsidRPr="00805E0E">
        <w:rPr>
          <w:rFonts w:ascii="楷体" w:eastAsia="楷体" w:hAnsi="楷体" w:hint="eastAsia"/>
          <w:sz w:val="24"/>
          <w:szCs w:val="24"/>
        </w:rPr>
        <w:t>医疗商业</w:t>
      </w:r>
      <w:r w:rsidR="00805E0E" w:rsidRPr="00805E0E">
        <w:rPr>
          <w:rFonts w:ascii="楷体" w:eastAsia="楷体" w:hAnsi="楷体" w:hint="eastAsia"/>
          <w:sz w:val="24"/>
          <w:szCs w:val="24"/>
        </w:rPr>
        <w:t>零售</w:t>
      </w:r>
      <w:r w:rsidR="00805E0E" w:rsidRPr="00805E0E">
        <w:rPr>
          <w:rFonts w:ascii="楷体" w:eastAsia="楷体" w:hAnsi="楷体" w:hint="eastAsia"/>
          <w:sz w:val="24"/>
          <w:szCs w:val="24"/>
        </w:rPr>
        <w:t>行业规模接近饱和</w:t>
      </w:r>
    </w:p>
    <w:p w14:paraId="5B79DDAB" w14:textId="77777777" w:rsidR="00805E0E" w:rsidRPr="00805E0E" w:rsidRDefault="00805E0E" w:rsidP="00805E0E">
      <w:pPr>
        <w:ind w:firstLineChars="200" w:firstLine="360"/>
        <w:rPr>
          <w:rFonts w:ascii="楷体" w:eastAsia="楷体" w:hAnsi="楷体"/>
          <w:color w:val="000000"/>
          <w:sz w:val="18"/>
          <w:szCs w:val="18"/>
        </w:rPr>
      </w:pPr>
      <w:r w:rsidRPr="00805E0E">
        <w:rPr>
          <w:rFonts w:ascii="楷体" w:eastAsia="楷体" w:hAnsi="楷体"/>
          <w:color w:val="000000"/>
          <w:sz w:val="18"/>
          <w:szCs w:val="18"/>
        </w:rPr>
        <w:t>零售药店是直接向患者提供所需药品和保健品的机构，将成批的多种药品拆零，供应给附近的患者。与医院、基层诊疗机构并称三大药品服务终端</w:t>
      </w:r>
      <w:r w:rsidRPr="00805E0E">
        <w:rPr>
          <w:rFonts w:ascii="楷体" w:eastAsia="楷体" w:hAnsi="楷体" w:hint="eastAsia"/>
          <w:color w:val="000000"/>
          <w:sz w:val="18"/>
          <w:szCs w:val="18"/>
        </w:rPr>
        <w:t>。</w:t>
      </w:r>
      <w:r w:rsidRPr="00805E0E">
        <w:rPr>
          <w:rFonts w:ascii="楷体" w:eastAsia="楷体" w:hAnsi="楷体"/>
          <w:color w:val="000000"/>
          <w:sz w:val="18"/>
          <w:szCs w:val="18"/>
        </w:rPr>
        <w:t>我国零售药店的市场规模一直呈现增长态势，</w:t>
      </w:r>
      <w:r w:rsidRPr="00805E0E">
        <w:rPr>
          <w:rFonts w:ascii="楷体" w:eastAsia="楷体" w:hAnsi="楷体" w:cs="Times New Roman"/>
          <w:color w:val="000000"/>
          <w:sz w:val="18"/>
          <w:szCs w:val="18"/>
        </w:rPr>
        <w:t xml:space="preserve">2018 </w:t>
      </w:r>
      <w:r w:rsidRPr="00805E0E">
        <w:rPr>
          <w:rFonts w:ascii="楷体" w:eastAsia="楷体" w:hAnsi="楷体"/>
          <w:color w:val="000000"/>
          <w:sz w:val="18"/>
          <w:szCs w:val="18"/>
        </w:rPr>
        <w:t xml:space="preserve">年的市场规模已经超过 </w:t>
      </w:r>
      <w:r w:rsidRPr="00805E0E">
        <w:rPr>
          <w:rFonts w:ascii="楷体" w:eastAsia="楷体" w:hAnsi="楷体" w:cs="Times New Roman"/>
          <w:color w:val="000000"/>
          <w:sz w:val="18"/>
          <w:szCs w:val="18"/>
        </w:rPr>
        <w:t xml:space="preserve">3900 </w:t>
      </w:r>
      <w:r w:rsidRPr="00805E0E">
        <w:rPr>
          <w:rFonts w:ascii="楷体" w:eastAsia="楷体" w:hAnsi="楷体"/>
          <w:color w:val="000000"/>
          <w:sz w:val="18"/>
          <w:szCs w:val="18"/>
        </w:rPr>
        <w:t>亿元，从同比增速上看，</w:t>
      </w:r>
      <w:r w:rsidRPr="00805E0E">
        <w:rPr>
          <w:rFonts w:ascii="楷体" w:eastAsia="楷体" w:hAnsi="楷体" w:cs="Times New Roman"/>
          <w:color w:val="000000"/>
          <w:sz w:val="18"/>
          <w:szCs w:val="18"/>
        </w:rPr>
        <w:t xml:space="preserve">2013 </w:t>
      </w:r>
      <w:r w:rsidRPr="00805E0E">
        <w:rPr>
          <w:rFonts w:ascii="楷体" w:eastAsia="楷体" w:hAnsi="楷体"/>
          <w:color w:val="000000"/>
          <w:sz w:val="18"/>
          <w:szCs w:val="18"/>
        </w:rPr>
        <w:t xml:space="preserve">年达到高点 </w:t>
      </w:r>
      <w:r w:rsidRPr="00805E0E">
        <w:rPr>
          <w:rFonts w:ascii="楷体" w:eastAsia="楷体" w:hAnsi="楷体" w:cs="Times New Roman"/>
          <w:color w:val="000000"/>
          <w:sz w:val="18"/>
          <w:szCs w:val="18"/>
        </w:rPr>
        <w:t>13.05%</w:t>
      </w:r>
      <w:r w:rsidRPr="00805E0E">
        <w:rPr>
          <w:rFonts w:ascii="楷体" w:eastAsia="楷体" w:hAnsi="楷体"/>
          <w:color w:val="000000"/>
          <w:sz w:val="18"/>
          <w:szCs w:val="18"/>
        </w:rPr>
        <w:t>后，行业市场规模的增长速度进入了下行通道，</w:t>
      </w:r>
      <w:r w:rsidRPr="00805E0E">
        <w:rPr>
          <w:rFonts w:ascii="楷体" w:eastAsia="楷体" w:hAnsi="楷体" w:cs="Times New Roman"/>
          <w:color w:val="000000"/>
          <w:sz w:val="18"/>
          <w:szCs w:val="18"/>
        </w:rPr>
        <w:t xml:space="preserve">2018 </w:t>
      </w:r>
      <w:r w:rsidRPr="00805E0E">
        <w:rPr>
          <w:rFonts w:ascii="楷体" w:eastAsia="楷体" w:hAnsi="楷体"/>
          <w:color w:val="000000"/>
          <w:sz w:val="18"/>
          <w:szCs w:val="18"/>
        </w:rPr>
        <w:t xml:space="preserve">年的同比增速仅为 </w:t>
      </w:r>
      <w:r w:rsidRPr="00805E0E">
        <w:rPr>
          <w:rFonts w:ascii="楷体" w:eastAsia="楷体" w:hAnsi="楷体" w:cs="Times New Roman"/>
          <w:color w:val="000000"/>
          <w:sz w:val="18"/>
          <w:szCs w:val="18"/>
        </w:rPr>
        <w:t>7.39%</w:t>
      </w:r>
      <w:r w:rsidRPr="00805E0E">
        <w:rPr>
          <w:rFonts w:ascii="楷体" w:eastAsia="楷体" w:hAnsi="楷体"/>
          <w:color w:val="000000"/>
          <w:sz w:val="18"/>
          <w:szCs w:val="18"/>
        </w:rPr>
        <w:t>。从行业规模增长的绝对量来看，</w:t>
      </w:r>
      <w:r w:rsidRPr="00805E0E">
        <w:rPr>
          <w:rFonts w:ascii="楷体" w:eastAsia="楷体" w:hAnsi="楷体" w:cs="Times New Roman"/>
          <w:color w:val="000000"/>
          <w:sz w:val="18"/>
          <w:szCs w:val="18"/>
        </w:rPr>
        <w:t xml:space="preserve">2012-2018 </w:t>
      </w:r>
      <w:r w:rsidRPr="00805E0E">
        <w:rPr>
          <w:rFonts w:ascii="楷体" w:eastAsia="楷体" w:hAnsi="楷体"/>
          <w:color w:val="000000"/>
          <w:sz w:val="18"/>
          <w:szCs w:val="18"/>
        </w:rPr>
        <w:t xml:space="preserve">年，零售药店的行业规模维持 </w:t>
      </w:r>
      <w:r w:rsidRPr="00805E0E">
        <w:rPr>
          <w:rFonts w:ascii="楷体" w:eastAsia="楷体" w:hAnsi="楷体" w:cs="Times New Roman"/>
          <w:color w:val="000000"/>
          <w:sz w:val="18"/>
          <w:szCs w:val="18"/>
        </w:rPr>
        <w:t xml:space="preserve">200 </w:t>
      </w:r>
      <w:r w:rsidRPr="00805E0E">
        <w:rPr>
          <w:rFonts w:ascii="楷体" w:eastAsia="楷体" w:hAnsi="楷体"/>
          <w:color w:val="000000"/>
          <w:sz w:val="18"/>
          <w:szCs w:val="18"/>
        </w:rPr>
        <w:t>亿元以上的增量，</w:t>
      </w:r>
      <w:r w:rsidRPr="00805E0E">
        <w:rPr>
          <w:rFonts w:ascii="楷体" w:eastAsia="楷体" w:hAnsi="楷体" w:cs="Times New Roman"/>
          <w:color w:val="000000"/>
          <w:sz w:val="18"/>
          <w:szCs w:val="18"/>
        </w:rPr>
        <w:t xml:space="preserve">2017 </w:t>
      </w:r>
      <w:r w:rsidRPr="00805E0E">
        <w:rPr>
          <w:rFonts w:ascii="楷体" w:eastAsia="楷体" w:hAnsi="楷体"/>
          <w:color w:val="000000"/>
          <w:sz w:val="18"/>
          <w:szCs w:val="18"/>
        </w:rPr>
        <w:t xml:space="preserve">年达到了 </w:t>
      </w:r>
      <w:r w:rsidRPr="00805E0E">
        <w:rPr>
          <w:rFonts w:ascii="楷体" w:eastAsia="楷体" w:hAnsi="楷体" w:cs="Times New Roman"/>
          <w:color w:val="000000"/>
          <w:sz w:val="18"/>
          <w:szCs w:val="18"/>
        </w:rPr>
        <w:t xml:space="preserve">310 </w:t>
      </w:r>
      <w:r w:rsidRPr="00805E0E">
        <w:rPr>
          <w:rFonts w:ascii="楷体" w:eastAsia="楷体" w:hAnsi="楷体"/>
          <w:color w:val="000000"/>
          <w:sz w:val="18"/>
          <w:szCs w:val="18"/>
        </w:rPr>
        <w:t>亿元的最高值，</w:t>
      </w:r>
      <w:r w:rsidRPr="00805E0E">
        <w:rPr>
          <w:rFonts w:ascii="楷体" w:eastAsia="楷体" w:hAnsi="楷体" w:cs="Times New Roman"/>
          <w:color w:val="000000"/>
          <w:sz w:val="18"/>
          <w:szCs w:val="18"/>
        </w:rPr>
        <w:t xml:space="preserve">2018 </w:t>
      </w:r>
      <w:r w:rsidRPr="00805E0E">
        <w:rPr>
          <w:rFonts w:ascii="楷体" w:eastAsia="楷体" w:hAnsi="楷体"/>
          <w:color w:val="000000"/>
          <w:sz w:val="18"/>
          <w:szCs w:val="18"/>
        </w:rPr>
        <w:t xml:space="preserve">年，尽管行业规模增速下降显著，但也保持了 </w:t>
      </w:r>
      <w:r w:rsidRPr="00805E0E">
        <w:rPr>
          <w:rFonts w:ascii="楷体" w:eastAsia="楷体" w:hAnsi="楷体" w:cs="Times New Roman"/>
          <w:color w:val="000000"/>
          <w:sz w:val="18"/>
          <w:szCs w:val="18"/>
        </w:rPr>
        <w:t xml:space="preserve">270 </w:t>
      </w:r>
      <w:r w:rsidRPr="00805E0E">
        <w:rPr>
          <w:rFonts w:ascii="楷体" w:eastAsia="楷体" w:hAnsi="楷体"/>
          <w:color w:val="000000"/>
          <w:sz w:val="18"/>
          <w:szCs w:val="18"/>
        </w:rPr>
        <w:t>亿元的绝对增量。</w:t>
      </w:r>
    </w:p>
    <w:p w14:paraId="021E323C" w14:textId="45D03C22" w:rsidR="00805E0E" w:rsidRDefault="00805E0E" w:rsidP="00805E0E">
      <w:r w:rsidRPr="00D60463">
        <w:rPr>
          <w:rFonts w:ascii="楷体" w:eastAsia="楷体" w:hAnsi="楷体"/>
          <w:noProof/>
          <w:sz w:val="18"/>
          <w:szCs w:val="20"/>
        </w:rPr>
        <w:drawing>
          <wp:inline distT="0" distB="0" distL="0" distR="0" wp14:anchorId="25BA9D4F" wp14:editId="662477AE">
            <wp:extent cx="5274310" cy="18567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56740"/>
                    </a:xfrm>
                    <a:prstGeom prst="rect">
                      <a:avLst/>
                    </a:prstGeom>
                  </pic:spPr>
                </pic:pic>
              </a:graphicData>
            </a:graphic>
          </wp:inline>
        </w:drawing>
      </w:r>
    </w:p>
    <w:p w14:paraId="41B1F17A" w14:textId="77777777" w:rsidR="00805E0E" w:rsidRPr="00AC1FC3" w:rsidRDefault="00805E0E" w:rsidP="00AC1FC3">
      <w:pPr>
        <w:ind w:firstLineChars="200" w:firstLine="360"/>
        <w:rPr>
          <w:rFonts w:ascii="楷体" w:eastAsia="楷体" w:hAnsi="楷体"/>
          <w:color w:val="000000"/>
          <w:sz w:val="18"/>
          <w:szCs w:val="18"/>
        </w:rPr>
      </w:pPr>
      <w:r w:rsidRPr="00AC1FC3">
        <w:rPr>
          <w:rFonts w:ascii="楷体" w:eastAsia="楷体" w:hAnsi="楷体"/>
          <w:color w:val="000000"/>
          <w:sz w:val="18"/>
          <w:szCs w:val="18"/>
        </w:rPr>
        <w:t>随着“两票制”的全面推行，流通企业的行业集中度提高，依靠小型流通企业配送的小的连锁药店及单体药店的渠道成本将大幅提升，小型连锁药店和单体药店将面临淘汰或被收购的结果</w:t>
      </w:r>
      <w:r w:rsidRPr="00AC1FC3">
        <w:rPr>
          <w:rFonts w:ascii="楷体" w:eastAsia="楷体" w:hAnsi="楷体" w:hint="eastAsia"/>
          <w:color w:val="000000"/>
          <w:sz w:val="18"/>
          <w:szCs w:val="18"/>
        </w:rPr>
        <w:t>。</w:t>
      </w:r>
    </w:p>
    <w:p w14:paraId="609FAE4E" w14:textId="77777777" w:rsidR="00805E0E" w:rsidRPr="00805E0E" w:rsidRDefault="00805E0E" w:rsidP="00805E0E">
      <w:pPr>
        <w:rPr>
          <w:rFonts w:hint="eastAsia"/>
        </w:rPr>
      </w:pPr>
    </w:p>
    <w:p w14:paraId="28974358" w14:textId="7B6AC503" w:rsidR="00CC58C7" w:rsidRPr="00D60463" w:rsidRDefault="00CC58C7" w:rsidP="00D60463">
      <w:pPr>
        <w:rPr>
          <w:rFonts w:ascii="楷体" w:eastAsia="楷体" w:hAnsi="楷体"/>
          <w:sz w:val="18"/>
          <w:szCs w:val="20"/>
        </w:rPr>
      </w:pPr>
      <w:r w:rsidRPr="00D60463">
        <w:rPr>
          <w:rFonts w:ascii="楷体" w:eastAsia="楷体" w:hAnsi="楷体"/>
          <w:noProof/>
          <w:sz w:val="18"/>
          <w:szCs w:val="20"/>
        </w:rPr>
        <w:lastRenderedPageBreak/>
        <w:drawing>
          <wp:inline distT="0" distB="0" distL="0" distR="0" wp14:anchorId="2CB12F24" wp14:editId="1E840573">
            <wp:extent cx="5274310" cy="35286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28695"/>
                    </a:xfrm>
                    <a:prstGeom prst="rect">
                      <a:avLst/>
                    </a:prstGeom>
                  </pic:spPr>
                </pic:pic>
              </a:graphicData>
            </a:graphic>
          </wp:inline>
        </w:drawing>
      </w:r>
    </w:p>
    <w:p w14:paraId="15D13F26" w14:textId="77777777" w:rsidR="00F7466F" w:rsidRPr="00D60463" w:rsidRDefault="00F7466F" w:rsidP="00D60463">
      <w:pPr>
        <w:rPr>
          <w:rFonts w:ascii="楷体" w:eastAsia="楷体" w:hAnsi="楷体"/>
          <w:sz w:val="18"/>
          <w:szCs w:val="20"/>
        </w:rPr>
      </w:pPr>
    </w:p>
    <w:p w14:paraId="44FC3183" w14:textId="04556517" w:rsidR="001F25B1" w:rsidRPr="00D60463" w:rsidRDefault="001F25B1" w:rsidP="00D60463">
      <w:pPr>
        <w:rPr>
          <w:rFonts w:ascii="楷体" w:eastAsia="楷体" w:hAnsi="楷体"/>
          <w:b/>
          <w:bCs/>
          <w:sz w:val="18"/>
          <w:szCs w:val="20"/>
        </w:rPr>
      </w:pPr>
    </w:p>
    <w:p w14:paraId="06B1EB45" w14:textId="729B7621" w:rsidR="00AB181D" w:rsidRPr="00D60463" w:rsidRDefault="00AB181D" w:rsidP="00D60463">
      <w:pPr>
        <w:rPr>
          <w:rFonts w:ascii="楷体" w:eastAsia="楷体" w:hAnsi="楷体"/>
          <w:b/>
          <w:bCs/>
          <w:sz w:val="18"/>
          <w:szCs w:val="20"/>
        </w:rPr>
      </w:pPr>
    </w:p>
    <w:p w14:paraId="295CE080" w14:textId="53DA7907" w:rsidR="00920C6E" w:rsidRPr="00D60463" w:rsidRDefault="00920C6E" w:rsidP="00D60463">
      <w:pPr>
        <w:rPr>
          <w:rFonts w:ascii="楷体" w:eastAsia="楷体" w:hAnsi="楷体"/>
          <w:b/>
          <w:bCs/>
          <w:sz w:val="18"/>
          <w:szCs w:val="20"/>
        </w:rPr>
      </w:pPr>
    </w:p>
    <w:sectPr w:rsidR="00920C6E" w:rsidRPr="00D604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2967F" w14:textId="77777777" w:rsidR="00624E00" w:rsidRDefault="00624E00" w:rsidP="00FA6D45">
      <w:r>
        <w:separator/>
      </w:r>
    </w:p>
  </w:endnote>
  <w:endnote w:type="continuationSeparator" w:id="0">
    <w:p w14:paraId="43CE1B37" w14:textId="77777777" w:rsidR="00624E00" w:rsidRDefault="00624E00" w:rsidP="00FA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宋体"/>
    <w:panose1 w:val="00000000000000000000"/>
    <w:charset w:val="86"/>
    <w:family w:val="roman"/>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A18DF" w14:textId="77777777" w:rsidR="00624E00" w:rsidRDefault="00624E00" w:rsidP="00FA6D45">
      <w:r>
        <w:separator/>
      </w:r>
    </w:p>
  </w:footnote>
  <w:footnote w:type="continuationSeparator" w:id="0">
    <w:p w14:paraId="328EDF51" w14:textId="77777777" w:rsidR="00624E00" w:rsidRDefault="00624E00" w:rsidP="00FA6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CA0"/>
    <w:multiLevelType w:val="multilevel"/>
    <w:tmpl w:val="CE64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1D4078"/>
    <w:multiLevelType w:val="hybridMultilevel"/>
    <w:tmpl w:val="EEE4529C"/>
    <w:lvl w:ilvl="0" w:tplc="9B42A7A4">
      <w:start w:val="1"/>
      <w:numFmt w:val="bullet"/>
      <w:lvlText w:val=""/>
      <w:lvlJc w:val="left"/>
      <w:pPr>
        <w:ind w:left="420" w:hanging="420"/>
      </w:pPr>
      <w:rPr>
        <w:rFonts w:ascii="Wingdings" w:hAnsi="Wingdings" w:hint="default"/>
        <w:sz w:val="11"/>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CC0E58"/>
    <w:multiLevelType w:val="multilevel"/>
    <w:tmpl w:val="DA244F02"/>
    <w:lvl w:ilvl="0">
      <w:start w:val="2"/>
      <w:numFmt w:val="decimal"/>
      <w:lvlText w:val="%1"/>
      <w:lvlJc w:val="left"/>
      <w:pPr>
        <w:ind w:left="360" w:hanging="360"/>
      </w:pPr>
      <w:rPr>
        <w:rFonts w:hint="default"/>
      </w:rPr>
    </w:lvl>
    <w:lvl w:ilvl="1">
      <w:start w:val="3"/>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3" w15:restartNumberingAfterBreak="0">
    <w:nsid w:val="311F2D47"/>
    <w:multiLevelType w:val="multilevel"/>
    <w:tmpl w:val="201C1E8C"/>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5162740D"/>
    <w:multiLevelType w:val="hybridMultilevel"/>
    <w:tmpl w:val="58B0CE3C"/>
    <w:lvl w:ilvl="0" w:tplc="8FF0527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84057D"/>
    <w:multiLevelType w:val="hybridMultilevel"/>
    <w:tmpl w:val="41721F4C"/>
    <w:lvl w:ilvl="0" w:tplc="A57C2860">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0F23B27"/>
    <w:multiLevelType w:val="multilevel"/>
    <w:tmpl w:val="02967E3C"/>
    <w:lvl w:ilvl="0">
      <w:start w:val="3"/>
      <w:numFmt w:val="decimal"/>
      <w:lvlText w:val="%1"/>
      <w:lvlJc w:val="left"/>
      <w:pPr>
        <w:ind w:left="360" w:hanging="360"/>
      </w:pPr>
      <w:rPr>
        <w:rFonts w:hint="default"/>
      </w:rPr>
    </w:lvl>
    <w:lvl w:ilvl="1">
      <w:start w:val="9"/>
      <w:numFmt w:val="decimalZero"/>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803704"/>
    <w:multiLevelType w:val="multilevel"/>
    <w:tmpl w:val="E996AF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7D921460"/>
    <w:multiLevelType w:val="multilevel"/>
    <w:tmpl w:val="98B83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8"/>
  </w:num>
  <w:num w:numId="4">
    <w:abstractNumId w:val="6"/>
  </w:num>
  <w:num w:numId="5">
    <w:abstractNumId w:val="7"/>
  </w:num>
  <w:num w:numId="6">
    <w:abstractNumId w:val="5"/>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27B"/>
    <w:rsid w:val="00006DAF"/>
    <w:rsid w:val="00012847"/>
    <w:rsid w:val="00013D59"/>
    <w:rsid w:val="000217A1"/>
    <w:rsid w:val="000246EA"/>
    <w:rsid w:val="00030195"/>
    <w:rsid w:val="000306D0"/>
    <w:rsid w:val="000341F3"/>
    <w:rsid w:val="0004021A"/>
    <w:rsid w:val="00040C1C"/>
    <w:rsid w:val="000478B0"/>
    <w:rsid w:val="00054B01"/>
    <w:rsid w:val="00060CAE"/>
    <w:rsid w:val="000665EF"/>
    <w:rsid w:val="00076A40"/>
    <w:rsid w:val="00091989"/>
    <w:rsid w:val="00095531"/>
    <w:rsid w:val="00097453"/>
    <w:rsid w:val="000A34BE"/>
    <w:rsid w:val="000A44FA"/>
    <w:rsid w:val="000B2477"/>
    <w:rsid w:val="000B27C5"/>
    <w:rsid w:val="000C4362"/>
    <w:rsid w:val="000C6AF3"/>
    <w:rsid w:val="000D430F"/>
    <w:rsid w:val="000D4D2D"/>
    <w:rsid w:val="000D5D13"/>
    <w:rsid w:val="000E06D0"/>
    <w:rsid w:val="000E3172"/>
    <w:rsid w:val="000E5075"/>
    <w:rsid w:val="000F0D16"/>
    <w:rsid w:val="000F0E8C"/>
    <w:rsid w:val="000F32CF"/>
    <w:rsid w:val="000F3781"/>
    <w:rsid w:val="000F6B5F"/>
    <w:rsid w:val="000F7B13"/>
    <w:rsid w:val="00113A8B"/>
    <w:rsid w:val="00123422"/>
    <w:rsid w:val="001269B2"/>
    <w:rsid w:val="0012782C"/>
    <w:rsid w:val="00127C0E"/>
    <w:rsid w:val="00134D18"/>
    <w:rsid w:val="00141593"/>
    <w:rsid w:val="00142F56"/>
    <w:rsid w:val="001479EC"/>
    <w:rsid w:val="00152438"/>
    <w:rsid w:val="00157421"/>
    <w:rsid w:val="00161453"/>
    <w:rsid w:val="001620F1"/>
    <w:rsid w:val="001707E7"/>
    <w:rsid w:val="00187D4E"/>
    <w:rsid w:val="0019012B"/>
    <w:rsid w:val="00192BD6"/>
    <w:rsid w:val="001B7E16"/>
    <w:rsid w:val="001C2FC1"/>
    <w:rsid w:val="001C42D4"/>
    <w:rsid w:val="001E1775"/>
    <w:rsid w:val="001E7343"/>
    <w:rsid w:val="001F138D"/>
    <w:rsid w:val="001F25B1"/>
    <w:rsid w:val="001F301E"/>
    <w:rsid w:val="001F3DA2"/>
    <w:rsid w:val="001F521E"/>
    <w:rsid w:val="001F68AA"/>
    <w:rsid w:val="002117F7"/>
    <w:rsid w:val="00211F95"/>
    <w:rsid w:val="002126DE"/>
    <w:rsid w:val="0021741C"/>
    <w:rsid w:val="00221C60"/>
    <w:rsid w:val="00227D68"/>
    <w:rsid w:val="00241FED"/>
    <w:rsid w:val="00255386"/>
    <w:rsid w:val="00263870"/>
    <w:rsid w:val="00264289"/>
    <w:rsid w:val="002665AA"/>
    <w:rsid w:val="00284D3B"/>
    <w:rsid w:val="002919FC"/>
    <w:rsid w:val="00297F59"/>
    <w:rsid w:val="002A2732"/>
    <w:rsid w:val="002A43BC"/>
    <w:rsid w:val="002A44A8"/>
    <w:rsid w:val="002A5F48"/>
    <w:rsid w:val="002B0304"/>
    <w:rsid w:val="002B221C"/>
    <w:rsid w:val="002B5A2F"/>
    <w:rsid w:val="002B76DD"/>
    <w:rsid w:val="002C05D3"/>
    <w:rsid w:val="002C0BE1"/>
    <w:rsid w:val="002C4D8C"/>
    <w:rsid w:val="002C7B83"/>
    <w:rsid w:val="002D6C78"/>
    <w:rsid w:val="002E029F"/>
    <w:rsid w:val="002E0FDE"/>
    <w:rsid w:val="002E312F"/>
    <w:rsid w:val="002F2F45"/>
    <w:rsid w:val="00302C71"/>
    <w:rsid w:val="003051CA"/>
    <w:rsid w:val="00311182"/>
    <w:rsid w:val="00312AF8"/>
    <w:rsid w:val="00321595"/>
    <w:rsid w:val="00335D85"/>
    <w:rsid w:val="00342455"/>
    <w:rsid w:val="00347FA6"/>
    <w:rsid w:val="0035486A"/>
    <w:rsid w:val="00361227"/>
    <w:rsid w:val="003711C6"/>
    <w:rsid w:val="00371941"/>
    <w:rsid w:val="003736CA"/>
    <w:rsid w:val="003737AE"/>
    <w:rsid w:val="00377081"/>
    <w:rsid w:val="00381CFC"/>
    <w:rsid w:val="00383AD5"/>
    <w:rsid w:val="00383C75"/>
    <w:rsid w:val="00387168"/>
    <w:rsid w:val="00387C9C"/>
    <w:rsid w:val="003A536C"/>
    <w:rsid w:val="003A6086"/>
    <w:rsid w:val="003A627D"/>
    <w:rsid w:val="003B1F73"/>
    <w:rsid w:val="003C28B7"/>
    <w:rsid w:val="003D0C55"/>
    <w:rsid w:val="003D1933"/>
    <w:rsid w:val="003D5499"/>
    <w:rsid w:val="003E207D"/>
    <w:rsid w:val="003F59AF"/>
    <w:rsid w:val="004018A6"/>
    <w:rsid w:val="00405A2D"/>
    <w:rsid w:val="00410A23"/>
    <w:rsid w:val="004226FB"/>
    <w:rsid w:val="00422FFE"/>
    <w:rsid w:val="0042390F"/>
    <w:rsid w:val="00423B4B"/>
    <w:rsid w:val="00424326"/>
    <w:rsid w:val="0042474E"/>
    <w:rsid w:val="0042541B"/>
    <w:rsid w:val="004314AA"/>
    <w:rsid w:val="004333C1"/>
    <w:rsid w:val="00435038"/>
    <w:rsid w:val="00440A59"/>
    <w:rsid w:val="00443589"/>
    <w:rsid w:val="00450230"/>
    <w:rsid w:val="00462B0E"/>
    <w:rsid w:val="0046320C"/>
    <w:rsid w:val="0047322C"/>
    <w:rsid w:val="0048229C"/>
    <w:rsid w:val="00483051"/>
    <w:rsid w:val="004845E8"/>
    <w:rsid w:val="00490966"/>
    <w:rsid w:val="00494B9C"/>
    <w:rsid w:val="0049515E"/>
    <w:rsid w:val="00497FBD"/>
    <w:rsid w:val="004B1201"/>
    <w:rsid w:val="004C74BD"/>
    <w:rsid w:val="004D718B"/>
    <w:rsid w:val="004E5B5D"/>
    <w:rsid w:val="004E66DC"/>
    <w:rsid w:val="004F02E6"/>
    <w:rsid w:val="004F0D02"/>
    <w:rsid w:val="00501B0B"/>
    <w:rsid w:val="005029D6"/>
    <w:rsid w:val="005063A6"/>
    <w:rsid w:val="00512939"/>
    <w:rsid w:val="00512D49"/>
    <w:rsid w:val="005174FF"/>
    <w:rsid w:val="00526236"/>
    <w:rsid w:val="005269A2"/>
    <w:rsid w:val="00533052"/>
    <w:rsid w:val="00540C8F"/>
    <w:rsid w:val="00547E06"/>
    <w:rsid w:val="00556A19"/>
    <w:rsid w:val="00557E50"/>
    <w:rsid w:val="00566B77"/>
    <w:rsid w:val="00577925"/>
    <w:rsid w:val="00581611"/>
    <w:rsid w:val="00584479"/>
    <w:rsid w:val="00586366"/>
    <w:rsid w:val="005A090C"/>
    <w:rsid w:val="005A61E0"/>
    <w:rsid w:val="005B5E47"/>
    <w:rsid w:val="005C4F15"/>
    <w:rsid w:val="005C5AB6"/>
    <w:rsid w:val="005D074E"/>
    <w:rsid w:val="005D2436"/>
    <w:rsid w:val="005E5635"/>
    <w:rsid w:val="005E5F1B"/>
    <w:rsid w:val="005E7AE5"/>
    <w:rsid w:val="005F5E39"/>
    <w:rsid w:val="005F7160"/>
    <w:rsid w:val="00601913"/>
    <w:rsid w:val="006061D6"/>
    <w:rsid w:val="00611824"/>
    <w:rsid w:val="00617B18"/>
    <w:rsid w:val="006208FA"/>
    <w:rsid w:val="00624144"/>
    <w:rsid w:val="00624E00"/>
    <w:rsid w:val="00634644"/>
    <w:rsid w:val="00635157"/>
    <w:rsid w:val="006357E0"/>
    <w:rsid w:val="006474D4"/>
    <w:rsid w:val="00647ABB"/>
    <w:rsid w:val="00650957"/>
    <w:rsid w:val="00650A94"/>
    <w:rsid w:val="00652941"/>
    <w:rsid w:val="006572BC"/>
    <w:rsid w:val="00660B67"/>
    <w:rsid w:val="00661CAD"/>
    <w:rsid w:val="00665275"/>
    <w:rsid w:val="00667E6D"/>
    <w:rsid w:val="006739AE"/>
    <w:rsid w:val="00683C3E"/>
    <w:rsid w:val="006A107B"/>
    <w:rsid w:val="006A4F2D"/>
    <w:rsid w:val="006A5C13"/>
    <w:rsid w:val="006A7460"/>
    <w:rsid w:val="006B13FE"/>
    <w:rsid w:val="006B1E2C"/>
    <w:rsid w:val="006C0F55"/>
    <w:rsid w:val="006C29C3"/>
    <w:rsid w:val="006C58E6"/>
    <w:rsid w:val="006D5AB7"/>
    <w:rsid w:val="006D7396"/>
    <w:rsid w:val="006E6121"/>
    <w:rsid w:val="006F4C66"/>
    <w:rsid w:val="006F6108"/>
    <w:rsid w:val="006F7DF5"/>
    <w:rsid w:val="00700A02"/>
    <w:rsid w:val="007035F4"/>
    <w:rsid w:val="0071001D"/>
    <w:rsid w:val="007122C9"/>
    <w:rsid w:val="0071500B"/>
    <w:rsid w:val="00715B0A"/>
    <w:rsid w:val="00721F4A"/>
    <w:rsid w:val="00723C6F"/>
    <w:rsid w:val="00732017"/>
    <w:rsid w:val="00735947"/>
    <w:rsid w:val="00745BAD"/>
    <w:rsid w:val="00746431"/>
    <w:rsid w:val="00750176"/>
    <w:rsid w:val="00763B10"/>
    <w:rsid w:val="00764889"/>
    <w:rsid w:val="00776864"/>
    <w:rsid w:val="0078226A"/>
    <w:rsid w:val="00784465"/>
    <w:rsid w:val="00791173"/>
    <w:rsid w:val="0079150E"/>
    <w:rsid w:val="007924F6"/>
    <w:rsid w:val="00792B8B"/>
    <w:rsid w:val="0079370C"/>
    <w:rsid w:val="007946D3"/>
    <w:rsid w:val="00795E9D"/>
    <w:rsid w:val="007B03FE"/>
    <w:rsid w:val="007B2F00"/>
    <w:rsid w:val="007C430F"/>
    <w:rsid w:val="007D23F0"/>
    <w:rsid w:val="007D6F76"/>
    <w:rsid w:val="007E47CF"/>
    <w:rsid w:val="008022B3"/>
    <w:rsid w:val="00802515"/>
    <w:rsid w:val="00802BC7"/>
    <w:rsid w:val="00805E0E"/>
    <w:rsid w:val="008073CA"/>
    <w:rsid w:val="008076C6"/>
    <w:rsid w:val="008152DB"/>
    <w:rsid w:val="00817F78"/>
    <w:rsid w:val="00820D4C"/>
    <w:rsid w:val="008410FF"/>
    <w:rsid w:val="008475B2"/>
    <w:rsid w:val="00847702"/>
    <w:rsid w:val="00854540"/>
    <w:rsid w:val="008565FF"/>
    <w:rsid w:val="008607BD"/>
    <w:rsid w:val="008677D4"/>
    <w:rsid w:val="00872BE8"/>
    <w:rsid w:val="00886E5C"/>
    <w:rsid w:val="00887692"/>
    <w:rsid w:val="00894969"/>
    <w:rsid w:val="008A021B"/>
    <w:rsid w:val="008A6A71"/>
    <w:rsid w:val="008B42A9"/>
    <w:rsid w:val="008C1E30"/>
    <w:rsid w:val="008C6310"/>
    <w:rsid w:val="008C78A4"/>
    <w:rsid w:val="008D2387"/>
    <w:rsid w:val="008E0451"/>
    <w:rsid w:val="008E5393"/>
    <w:rsid w:val="008E5D39"/>
    <w:rsid w:val="00902AEB"/>
    <w:rsid w:val="00905F86"/>
    <w:rsid w:val="00911A4F"/>
    <w:rsid w:val="0091228E"/>
    <w:rsid w:val="009137EA"/>
    <w:rsid w:val="00916290"/>
    <w:rsid w:val="00920C6E"/>
    <w:rsid w:val="009272F9"/>
    <w:rsid w:val="0093619D"/>
    <w:rsid w:val="009428BD"/>
    <w:rsid w:val="00944CDE"/>
    <w:rsid w:val="00951A22"/>
    <w:rsid w:val="009618E9"/>
    <w:rsid w:val="009746E4"/>
    <w:rsid w:val="00975B73"/>
    <w:rsid w:val="00984916"/>
    <w:rsid w:val="00984A72"/>
    <w:rsid w:val="00991649"/>
    <w:rsid w:val="00991A3D"/>
    <w:rsid w:val="00994B5E"/>
    <w:rsid w:val="009A6FB9"/>
    <w:rsid w:val="009B3068"/>
    <w:rsid w:val="009C7B0F"/>
    <w:rsid w:val="009D06DB"/>
    <w:rsid w:val="009D1E75"/>
    <w:rsid w:val="009D4B1D"/>
    <w:rsid w:val="009E6FE2"/>
    <w:rsid w:val="009E7C14"/>
    <w:rsid w:val="00A05506"/>
    <w:rsid w:val="00A26111"/>
    <w:rsid w:val="00A31ACB"/>
    <w:rsid w:val="00A43422"/>
    <w:rsid w:val="00A4357D"/>
    <w:rsid w:val="00A463AA"/>
    <w:rsid w:val="00A61C05"/>
    <w:rsid w:val="00A7558E"/>
    <w:rsid w:val="00A76F23"/>
    <w:rsid w:val="00A80C58"/>
    <w:rsid w:val="00A9132A"/>
    <w:rsid w:val="00A9547F"/>
    <w:rsid w:val="00AB181D"/>
    <w:rsid w:val="00AB5B9C"/>
    <w:rsid w:val="00AB7083"/>
    <w:rsid w:val="00AB7FF2"/>
    <w:rsid w:val="00AC1FC3"/>
    <w:rsid w:val="00AC2850"/>
    <w:rsid w:val="00AC2F0A"/>
    <w:rsid w:val="00AC3BFA"/>
    <w:rsid w:val="00AD42A9"/>
    <w:rsid w:val="00AD661B"/>
    <w:rsid w:val="00AE02B6"/>
    <w:rsid w:val="00AE34D2"/>
    <w:rsid w:val="00AE3C4E"/>
    <w:rsid w:val="00AF594B"/>
    <w:rsid w:val="00B00999"/>
    <w:rsid w:val="00B17145"/>
    <w:rsid w:val="00B26193"/>
    <w:rsid w:val="00B278F4"/>
    <w:rsid w:val="00B42407"/>
    <w:rsid w:val="00B42D72"/>
    <w:rsid w:val="00B43A3B"/>
    <w:rsid w:val="00B6498F"/>
    <w:rsid w:val="00B7380D"/>
    <w:rsid w:val="00B76947"/>
    <w:rsid w:val="00B83D96"/>
    <w:rsid w:val="00B83F37"/>
    <w:rsid w:val="00B927F1"/>
    <w:rsid w:val="00BA18B8"/>
    <w:rsid w:val="00BA2BD2"/>
    <w:rsid w:val="00BA31D2"/>
    <w:rsid w:val="00BB5A4E"/>
    <w:rsid w:val="00BC523B"/>
    <w:rsid w:val="00BC5BD5"/>
    <w:rsid w:val="00BC67ED"/>
    <w:rsid w:val="00BD192D"/>
    <w:rsid w:val="00BE154B"/>
    <w:rsid w:val="00BE79EA"/>
    <w:rsid w:val="00BF026C"/>
    <w:rsid w:val="00C031E5"/>
    <w:rsid w:val="00C16F0B"/>
    <w:rsid w:val="00C204D7"/>
    <w:rsid w:val="00C21DDF"/>
    <w:rsid w:val="00C23FE8"/>
    <w:rsid w:val="00C25F03"/>
    <w:rsid w:val="00C26C73"/>
    <w:rsid w:val="00C27FB2"/>
    <w:rsid w:val="00C3392A"/>
    <w:rsid w:val="00C37DA1"/>
    <w:rsid w:val="00C4135C"/>
    <w:rsid w:val="00C43CA6"/>
    <w:rsid w:val="00C47423"/>
    <w:rsid w:val="00C52096"/>
    <w:rsid w:val="00C54DA5"/>
    <w:rsid w:val="00C57CA8"/>
    <w:rsid w:val="00C7216D"/>
    <w:rsid w:val="00C81562"/>
    <w:rsid w:val="00C96F2E"/>
    <w:rsid w:val="00CA20F0"/>
    <w:rsid w:val="00CA6566"/>
    <w:rsid w:val="00CB2D28"/>
    <w:rsid w:val="00CB7063"/>
    <w:rsid w:val="00CC58C7"/>
    <w:rsid w:val="00CD4B8E"/>
    <w:rsid w:val="00CE3DBE"/>
    <w:rsid w:val="00CE4C21"/>
    <w:rsid w:val="00D02D28"/>
    <w:rsid w:val="00D0421E"/>
    <w:rsid w:val="00D05BF3"/>
    <w:rsid w:val="00D05E49"/>
    <w:rsid w:val="00D10A2C"/>
    <w:rsid w:val="00D16200"/>
    <w:rsid w:val="00D17B77"/>
    <w:rsid w:val="00D2463A"/>
    <w:rsid w:val="00D25971"/>
    <w:rsid w:val="00D303D3"/>
    <w:rsid w:val="00D31868"/>
    <w:rsid w:val="00D432B2"/>
    <w:rsid w:val="00D443DA"/>
    <w:rsid w:val="00D44A8E"/>
    <w:rsid w:val="00D57750"/>
    <w:rsid w:val="00D60463"/>
    <w:rsid w:val="00D62C7F"/>
    <w:rsid w:val="00D7168D"/>
    <w:rsid w:val="00D906B5"/>
    <w:rsid w:val="00DA02EA"/>
    <w:rsid w:val="00DA5CA9"/>
    <w:rsid w:val="00DB34FA"/>
    <w:rsid w:val="00DC1130"/>
    <w:rsid w:val="00DC451F"/>
    <w:rsid w:val="00DD3709"/>
    <w:rsid w:val="00DD7BB4"/>
    <w:rsid w:val="00DE10AF"/>
    <w:rsid w:val="00DE3B48"/>
    <w:rsid w:val="00E02E2D"/>
    <w:rsid w:val="00E03A1D"/>
    <w:rsid w:val="00E054AC"/>
    <w:rsid w:val="00E23036"/>
    <w:rsid w:val="00E4218B"/>
    <w:rsid w:val="00E43143"/>
    <w:rsid w:val="00E52660"/>
    <w:rsid w:val="00E611B2"/>
    <w:rsid w:val="00E65AC3"/>
    <w:rsid w:val="00E663C0"/>
    <w:rsid w:val="00E71A22"/>
    <w:rsid w:val="00E7573B"/>
    <w:rsid w:val="00E90119"/>
    <w:rsid w:val="00E913F3"/>
    <w:rsid w:val="00E92A25"/>
    <w:rsid w:val="00EA2B54"/>
    <w:rsid w:val="00EA423F"/>
    <w:rsid w:val="00EA763B"/>
    <w:rsid w:val="00EB1F84"/>
    <w:rsid w:val="00EB3B24"/>
    <w:rsid w:val="00EB4ABD"/>
    <w:rsid w:val="00EB5662"/>
    <w:rsid w:val="00EC0D2E"/>
    <w:rsid w:val="00EE16FF"/>
    <w:rsid w:val="00EE5DDC"/>
    <w:rsid w:val="00EE7387"/>
    <w:rsid w:val="00F01CE9"/>
    <w:rsid w:val="00F13529"/>
    <w:rsid w:val="00F21B36"/>
    <w:rsid w:val="00F30CCF"/>
    <w:rsid w:val="00F3352B"/>
    <w:rsid w:val="00F33EC8"/>
    <w:rsid w:val="00F36694"/>
    <w:rsid w:val="00F4072A"/>
    <w:rsid w:val="00F44D51"/>
    <w:rsid w:val="00F5622E"/>
    <w:rsid w:val="00F61435"/>
    <w:rsid w:val="00F63D41"/>
    <w:rsid w:val="00F64C3F"/>
    <w:rsid w:val="00F656E6"/>
    <w:rsid w:val="00F72A5E"/>
    <w:rsid w:val="00F7382E"/>
    <w:rsid w:val="00F7466F"/>
    <w:rsid w:val="00F751A7"/>
    <w:rsid w:val="00F85040"/>
    <w:rsid w:val="00F87570"/>
    <w:rsid w:val="00F93E29"/>
    <w:rsid w:val="00F94AB7"/>
    <w:rsid w:val="00F9627B"/>
    <w:rsid w:val="00F97D0F"/>
    <w:rsid w:val="00FA1D95"/>
    <w:rsid w:val="00FA3ABC"/>
    <w:rsid w:val="00FA6D45"/>
    <w:rsid w:val="00FB0A2B"/>
    <w:rsid w:val="00FB0A78"/>
    <w:rsid w:val="00FB101C"/>
    <w:rsid w:val="00FB625C"/>
    <w:rsid w:val="00FB77D1"/>
    <w:rsid w:val="00FC653A"/>
    <w:rsid w:val="00FC7696"/>
    <w:rsid w:val="00FD2A09"/>
    <w:rsid w:val="00FD4285"/>
    <w:rsid w:val="00FF5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9E3D4"/>
  <w15:chartTrackingRefBased/>
  <w15:docId w15:val="{06472216-04A4-4AD1-A7FB-5C741D1F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627B"/>
    <w:pPr>
      <w:widowControl w:val="0"/>
      <w:jc w:val="both"/>
    </w:pPr>
  </w:style>
  <w:style w:type="paragraph" w:styleId="1">
    <w:name w:val="heading 1"/>
    <w:basedOn w:val="a"/>
    <w:next w:val="a"/>
    <w:link w:val="10"/>
    <w:uiPriority w:val="9"/>
    <w:qFormat/>
    <w:rsid w:val="00D577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77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1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627B"/>
    <w:pPr>
      <w:ind w:firstLineChars="200" w:firstLine="420"/>
    </w:pPr>
  </w:style>
  <w:style w:type="character" w:customStyle="1" w:styleId="fontstyle01">
    <w:name w:val="fontstyle01"/>
    <w:basedOn w:val="a0"/>
    <w:rsid w:val="00CE4C21"/>
    <w:rPr>
      <w:rFonts w:ascii="仿宋_GB2312" w:eastAsia="仿宋_GB2312" w:hint="eastAsia"/>
      <w:b w:val="0"/>
      <w:bCs w:val="0"/>
      <w:i w:val="0"/>
      <w:iCs w:val="0"/>
      <w:color w:val="000000"/>
      <w:sz w:val="22"/>
      <w:szCs w:val="22"/>
    </w:rPr>
  </w:style>
  <w:style w:type="character" w:customStyle="1" w:styleId="fontstyle11">
    <w:name w:val="fontstyle11"/>
    <w:basedOn w:val="a0"/>
    <w:rsid w:val="00C21DDF"/>
    <w:rPr>
      <w:rFonts w:ascii="Times New Roman" w:hAnsi="Times New Roman" w:cs="Times New Roman" w:hint="default"/>
      <w:b w:val="0"/>
      <w:bCs w:val="0"/>
      <w:i w:val="0"/>
      <w:iCs w:val="0"/>
      <w:color w:val="000000"/>
      <w:sz w:val="22"/>
      <w:szCs w:val="22"/>
    </w:rPr>
  </w:style>
  <w:style w:type="character" w:customStyle="1" w:styleId="fontstyle21">
    <w:name w:val="fontstyle21"/>
    <w:basedOn w:val="a0"/>
    <w:rsid w:val="00F13529"/>
    <w:rPr>
      <w:rFonts w:ascii="Times New Roman" w:hAnsi="Times New Roman" w:cs="Times New Roman" w:hint="default"/>
      <w:b w:val="0"/>
      <w:bCs w:val="0"/>
      <w:i w:val="0"/>
      <w:iCs w:val="0"/>
      <w:color w:val="000000"/>
      <w:sz w:val="22"/>
      <w:szCs w:val="22"/>
    </w:rPr>
  </w:style>
  <w:style w:type="paragraph" w:styleId="a4">
    <w:name w:val="Balloon Text"/>
    <w:basedOn w:val="a"/>
    <w:link w:val="a5"/>
    <w:uiPriority w:val="99"/>
    <w:semiHidden/>
    <w:unhideWhenUsed/>
    <w:rsid w:val="003A627D"/>
    <w:rPr>
      <w:sz w:val="18"/>
      <w:szCs w:val="18"/>
    </w:rPr>
  </w:style>
  <w:style w:type="character" w:customStyle="1" w:styleId="a5">
    <w:name w:val="批注框文本 字符"/>
    <w:basedOn w:val="a0"/>
    <w:link w:val="a4"/>
    <w:uiPriority w:val="99"/>
    <w:semiHidden/>
    <w:rsid w:val="003A627D"/>
    <w:rPr>
      <w:sz w:val="18"/>
      <w:szCs w:val="18"/>
    </w:rPr>
  </w:style>
  <w:style w:type="table" w:styleId="a6">
    <w:name w:val="Table Grid"/>
    <w:basedOn w:val="a1"/>
    <w:uiPriority w:val="39"/>
    <w:rsid w:val="00815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57750"/>
    <w:rPr>
      <w:b/>
      <w:bCs/>
      <w:kern w:val="44"/>
      <w:sz w:val="44"/>
      <w:szCs w:val="44"/>
    </w:rPr>
  </w:style>
  <w:style w:type="character" w:customStyle="1" w:styleId="20">
    <w:name w:val="标题 2 字符"/>
    <w:basedOn w:val="a0"/>
    <w:link w:val="2"/>
    <w:uiPriority w:val="9"/>
    <w:rsid w:val="00D5775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61E0"/>
    <w:rPr>
      <w:b/>
      <w:bCs/>
      <w:sz w:val="32"/>
      <w:szCs w:val="32"/>
    </w:rPr>
  </w:style>
  <w:style w:type="paragraph" w:styleId="a7">
    <w:name w:val="header"/>
    <w:basedOn w:val="a"/>
    <w:link w:val="a8"/>
    <w:uiPriority w:val="99"/>
    <w:unhideWhenUsed/>
    <w:rsid w:val="00FA6D4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6D45"/>
    <w:rPr>
      <w:sz w:val="18"/>
      <w:szCs w:val="18"/>
    </w:rPr>
  </w:style>
  <w:style w:type="paragraph" w:styleId="a9">
    <w:name w:val="footer"/>
    <w:basedOn w:val="a"/>
    <w:link w:val="aa"/>
    <w:uiPriority w:val="99"/>
    <w:unhideWhenUsed/>
    <w:rsid w:val="00FA6D45"/>
    <w:pPr>
      <w:tabs>
        <w:tab w:val="center" w:pos="4153"/>
        <w:tab w:val="right" w:pos="8306"/>
      </w:tabs>
      <w:snapToGrid w:val="0"/>
      <w:jc w:val="left"/>
    </w:pPr>
    <w:rPr>
      <w:sz w:val="18"/>
      <w:szCs w:val="18"/>
    </w:rPr>
  </w:style>
  <w:style w:type="character" w:customStyle="1" w:styleId="aa">
    <w:name w:val="页脚 字符"/>
    <w:basedOn w:val="a0"/>
    <w:link w:val="a9"/>
    <w:uiPriority w:val="99"/>
    <w:rsid w:val="00FA6D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80921">
      <w:bodyDiv w:val="1"/>
      <w:marLeft w:val="0"/>
      <w:marRight w:val="0"/>
      <w:marTop w:val="0"/>
      <w:marBottom w:val="0"/>
      <w:divBdr>
        <w:top w:val="none" w:sz="0" w:space="0" w:color="auto"/>
        <w:left w:val="none" w:sz="0" w:space="0" w:color="auto"/>
        <w:bottom w:val="none" w:sz="0" w:space="0" w:color="auto"/>
        <w:right w:val="none" w:sz="0" w:space="0" w:color="auto"/>
      </w:divBdr>
    </w:div>
    <w:div w:id="42682747">
      <w:bodyDiv w:val="1"/>
      <w:marLeft w:val="0"/>
      <w:marRight w:val="0"/>
      <w:marTop w:val="0"/>
      <w:marBottom w:val="0"/>
      <w:divBdr>
        <w:top w:val="none" w:sz="0" w:space="0" w:color="auto"/>
        <w:left w:val="none" w:sz="0" w:space="0" w:color="auto"/>
        <w:bottom w:val="none" w:sz="0" w:space="0" w:color="auto"/>
        <w:right w:val="none" w:sz="0" w:space="0" w:color="auto"/>
      </w:divBdr>
    </w:div>
    <w:div w:id="78336935">
      <w:bodyDiv w:val="1"/>
      <w:marLeft w:val="0"/>
      <w:marRight w:val="0"/>
      <w:marTop w:val="0"/>
      <w:marBottom w:val="0"/>
      <w:divBdr>
        <w:top w:val="none" w:sz="0" w:space="0" w:color="auto"/>
        <w:left w:val="none" w:sz="0" w:space="0" w:color="auto"/>
        <w:bottom w:val="none" w:sz="0" w:space="0" w:color="auto"/>
        <w:right w:val="none" w:sz="0" w:space="0" w:color="auto"/>
      </w:divBdr>
    </w:div>
    <w:div w:id="257492267">
      <w:bodyDiv w:val="1"/>
      <w:marLeft w:val="0"/>
      <w:marRight w:val="0"/>
      <w:marTop w:val="0"/>
      <w:marBottom w:val="0"/>
      <w:divBdr>
        <w:top w:val="none" w:sz="0" w:space="0" w:color="auto"/>
        <w:left w:val="none" w:sz="0" w:space="0" w:color="auto"/>
        <w:bottom w:val="none" w:sz="0" w:space="0" w:color="auto"/>
        <w:right w:val="none" w:sz="0" w:space="0" w:color="auto"/>
      </w:divBdr>
    </w:div>
    <w:div w:id="476924236">
      <w:bodyDiv w:val="1"/>
      <w:marLeft w:val="0"/>
      <w:marRight w:val="0"/>
      <w:marTop w:val="0"/>
      <w:marBottom w:val="0"/>
      <w:divBdr>
        <w:top w:val="none" w:sz="0" w:space="0" w:color="auto"/>
        <w:left w:val="none" w:sz="0" w:space="0" w:color="auto"/>
        <w:bottom w:val="none" w:sz="0" w:space="0" w:color="auto"/>
        <w:right w:val="none" w:sz="0" w:space="0" w:color="auto"/>
      </w:divBdr>
    </w:div>
    <w:div w:id="599721409">
      <w:bodyDiv w:val="1"/>
      <w:marLeft w:val="0"/>
      <w:marRight w:val="0"/>
      <w:marTop w:val="0"/>
      <w:marBottom w:val="0"/>
      <w:divBdr>
        <w:top w:val="none" w:sz="0" w:space="0" w:color="auto"/>
        <w:left w:val="none" w:sz="0" w:space="0" w:color="auto"/>
        <w:bottom w:val="none" w:sz="0" w:space="0" w:color="auto"/>
        <w:right w:val="none" w:sz="0" w:space="0" w:color="auto"/>
      </w:divBdr>
    </w:div>
    <w:div w:id="612903162">
      <w:bodyDiv w:val="1"/>
      <w:marLeft w:val="0"/>
      <w:marRight w:val="0"/>
      <w:marTop w:val="0"/>
      <w:marBottom w:val="0"/>
      <w:divBdr>
        <w:top w:val="none" w:sz="0" w:space="0" w:color="auto"/>
        <w:left w:val="none" w:sz="0" w:space="0" w:color="auto"/>
        <w:bottom w:val="none" w:sz="0" w:space="0" w:color="auto"/>
        <w:right w:val="none" w:sz="0" w:space="0" w:color="auto"/>
      </w:divBdr>
    </w:div>
    <w:div w:id="680277454">
      <w:bodyDiv w:val="1"/>
      <w:marLeft w:val="0"/>
      <w:marRight w:val="0"/>
      <w:marTop w:val="0"/>
      <w:marBottom w:val="0"/>
      <w:divBdr>
        <w:top w:val="none" w:sz="0" w:space="0" w:color="auto"/>
        <w:left w:val="none" w:sz="0" w:space="0" w:color="auto"/>
        <w:bottom w:val="none" w:sz="0" w:space="0" w:color="auto"/>
        <w:right w:val="none" w:sz="0" w:space="0" w:color="auto"/>
      </w:divBdr>
    </w:div>
    <w:div w:id="687021909">
      <w:bodyDiv w:val="1"/>
      <w:marLeft w:val="0"/>
      <w:marRight w:val="0"/>
      <w:marTop w:val="0"/>
      <w:marBottom w:val="0"/>
      <w:divBdr>
        <w:top w:val="none" w:sz="0" w:space="0" w:color="auto"/>
        <w:left w:val="none" w:sz="0" w:space="0" w:color="auto"/>
        <w:bottom w:val="none" w:sz="0" w:space="0" w:color="auto"/>
        <w:right w:val="none" w:sz="0" w:space="0" w:color="auto"/>
      </w:divBdr>
    </w:div>
    <w:div w:id="712316908">
      <w:bodyDiv w:val="1"/>
      <w:marLeft w:val="0"/>
      <w:marRight w:val="0"/>
      <w:marTop w:val="0"/>
      <w:marBottom w:val="0"/>
      <w:divBdr>
        <w:top w:val="none" w:sz="0" w:space="0" w:color="auto"/>
        <w:left w:val="none" w:sz="0" w:space="0" w:color="auto"/>
        <w:bottom w:val="none" w:sz="0" w:space="0" w:color="auto"/>
        <w:right w:val="none" w:sz="0" w:space="0" w:color="auto"/>
      </w:divBdr>
    </w:div>
    <w:div w:id="712660245">
      <w:bodyDiv w:val="1"/>
      <w:marLeft w:val="0"/>
      <w:marRight w:val="0"/>
      <w:marTop w:val="0"/>
      <w:marBottom w:val="0"/>
      <w:divBdr>
        <w:top w:val="none" w:sz="0" w:space="0" w:color="auto"/>
        <w:left w:val="none" w:sz="0" w:space="0" w:color="auto"/>
        <w:bottom w:val="none" w:sz="0" w:space="0" w:color="auto"/>
        <w:right w:val="none" w:sz="0" w:space="0" w:color="auto"/>
      </w:divBdr>
    </w:div>
    <w:div w:id="743600621">
      <w:bodyDiv w:val="1"/>
      <w:marLeft w:val="0"/>
      <w:marRight w:val="0"/>
      <w:marTop w:val="0"/>
      <w:marBottom w:val="0"/>
      <w:divBdr>
        <w:top w:val="none" w:sz="0" w:space="0" w:color="auto"/>
        <w:left w:val="none" w:sz="0" w:space="0" w:color="auto"/>
        <w:bottom w:val="none" w:sz="0" w:space="0" w:color="auto"/>
        <w:right w:val="none" w:sz="0" w:space="0" w:color="auto"/>
      </w:divBdr>
    </w:div>
    <w:div w:id="787159996">
      <w:bodyDiv w:val="1"/>
      <w:marLeft w:val="0"/>
      <w:marRight w:val="0"/>
      <w:marTop w:val="0"/>
      <w:marBottom w:val="0"/>
      <w:divBdr>
        <w:top w:val="none" w:sz="0" w:space="0" w:color="auto"/>
        <w:left w:val="none" w:sz="0" w:space="0" w:color="auto"/>
        <w:bottom w:val="none" w:sz="0" w:space="0" w:color="auto"/>
        <w:right w:val="none" w:sz="0" w:space="0" w:color="auto"/>
      </w:divBdr>
    </w:div>
    <w:div w:id="789203040">
      <w:bodyDiv w:val="1"/>
      <w:marLeft w:val="0"/>
      <w:marRight w:val="0"/>
      <w:marTop w:val="0"/>
      <w:marBottom w:val="0"/>
      <w:divBdr>
        <w:top w:val="none" w:sz="0" w:space="0" w:color="auto"/>
        <w:left w:val="none" w:sz="0" w:space="0" w:color="auto"/>
        <w:bottom w:val="none" w:sz="0" w:space="0" w:color="auto"/>
        <w:right w:val="none" w:sz="0" w:space="0" w:color="auto"/>
      </w:divBdr>
    </w:div>
    <w:div w:id="1031568845">
      <w:bodyDiv w:val="1"/>
      <w:marLeft w:val="0"/>
      <w:marRight w:val="0"/>
      <w:marTop w:val="0"/>
      <w:marBottom w:val="0"/>
      <w:divBdr>
        <w:top w:val="none" w:sz="0" w:space="0" w:color="auto"/>
        <w:left w:val="none" w:sz="0" w:space="0" w:color="auto"/>
        <w:bottom w:val="none" w:sz="0" w:space="0" w:color="auto"/>
        <w:right w:val="none" w:sz="0" w:space="0" w:color="auto"/>
      </w:divBdr>
    </w:div>
    <w:div w:id="1045986726">
      <w:bodyDiv w:val="1"/>
      <w:marLeft w:val="0"/>
      <w:marRight w:val="0"/>
      <w:marTop w:val="0"/>
      <w:marBottom w:val="0"/>
      <w:divBdr>
        <w:top w:val="none" w:sz="0" w:space="0" w:color="auto"/>
        <w:left w:val="none" w:sz="0" w:space="0" w:color="auto"/>
        <w:bottom w:val="none" w:sz="0" w:space="0" w:color="auto"/>
        <w:right w:val="none" w:sz="0" w:space="0" w:color="auto"/>
      </w:divBdr>
    </w:div>
    <w:div w:id="1070269958">
      <w:bodyDiv w:val="1"/>
      <w:marLeft w:val="0"/>
      <w:marRight w:val="0"/>
      <w:marTop w:val="0"/>
      <w:marBottom w:val="0"/>
      <w:divBdr>
        <w:top w:val="none" w:sz="0" w:space="0" w:color="auto"/>
        <w:left w:val="none" w:sz="0" w:space="0" w:color="auto"/>
        <w:bottom w:val="none" w:sz="0" w:space="0" w:color="auto"/>
        <w:right w:val="none" w:sz="0" w:space="0" w:color="auto"/>
      </w:divBdr>
    </w:div>
    <w:div w:id="1231382373">
      <w:bodyDiv w:val="1"/>
      <w:marLeft w:val="0"/>
      <w:marRight w:val="0"/>
      <w:marTop w:val="0"/>
      <w:marBottom w:val="0"/>
      <w:divBdr>
        <w:top w:val="none" w:sz="0" w:space="0" w:color="auto"/>
        <w:left w:val="none" w:sz="0" w:space="0" w:color="auto"/>
        <w:bottom w:val="none" w:sz="0" w:space="0" w:color="auto"/>
        <w:right w:val="none" w:sz="0" w:space="0" w:color="auto"/>
      </w:divBdr>
    </w:div>
    <w:div w:id="1264610386">
      <w:bodyDiv w:val="1"/>
      <w:marLeft w:val="0"/>
      <w:marRight w:val="0"/>
      <w:marTop w:val="0"/>
      <w:marBottom w:val="0"/>
      <w:divBdr>
        <w:top w:val="none" w:sz="0" w:space="0" w:color="auto"/>
        <w:left w:val="none" w:sz="0" w:space="0" w:color="auto"/>
        <w:bottom w:val="none" w:sz="0" w:space="0" w:color="auto"/>
        <w:right w:val="none" w:sz="0" w:space="0" w:color="auto"/>
      </w:divBdr>
    </w:div>
    <w:div w:id="1306664095">
      <w:bodyDiv w:val="1"/>
      <w:marLeft w:val="0"/>
      <w:marRight w:val="0"/>
      <w:marTop w:val="0"/>
      <w:marBottom w:val="0"/>
      <w:divBdr>
        <w:top w:val="none" w:sz="0" w:space="0" w:color="auto"/>
        <w:left w:val="none" w:sz="0" w:space="0" w:color="auto"/>
        <w:bottom w:val="none" w:sz="0" w:space="0" w:color="auto"/>
        <w:right w:val="none" w:sz="0" w:space="0" w:color="auto"/>
      </w:divBdr>
    </w:div>
    <w:div w:id="1308054563">
      <w:bodyDiv w:val="1"/>
      <w:marLeft w:val="0"/>
      <w:marRight w:val="0"/>
      <w:marTop w:val="0"/>
      <w:marBottom w:val="0"/>
      <w:divBdr>
        <w:top w:val="none" w:sz="0" w:space="0" w:color="auto"/>
        <w:left w:val="none" w:sz="0" w:space="0" w:color="auto"/>
        <w:bottom w:val="none" w:sz="0" w:space="0" w:color="auto"/>
        <w:right w:val="none" w:sz="0" w:space="0" w:color="auto"/>
      </w:divBdr>
    </w:div>
    <w:div w:id="1368872855">
      <w:bodyDiv w:val="1"/>
      <w:marLeft w:val="0"/>
      <w:marRight w:val="0"/>
      <w:marTop w:val="0"/>
      <w:marBottom w:val="0"/>
      <w:divBdr>
        <w:top w:val="none" w:sz="0" w:space="0" w:color="auto"/>
        <w:left w:val="none" w:sz="0" w:space="0" w:color="auto"/>
        <w:bottom w:val="none" w:sz="0" w:space="0" w:color="auto"/>
        <w:right w:val="none" w:sz="0" w:space="0" w:color="auto"/>
      </w:divBdr>
    </w:div>
    <w:div w:id="1464426335">
      <w:bodyDiv w:val="1"/>
      <w:marLeft w:val="0"/>
      <w:marRight w:val="0"/>
      <w:marTop w:val="0"/>
      <w:marBottom w:val="0"/>
      <w:divBdr>
        <w:top w:val="none" w:sz="0" w:space="0" w:color="auto"/>
        <w:left w:val="none" w:sz="0" w:space="0" w:color="auto"/>
        <w:bottom w:val="none" w:sz="0" w:space="0" w:color="auto"/>
        <w:right w:val="none" w:sz="0" w:space="0" w:color="auto"/>
      </w:divBdr>
    </w:div>
    <w:div w:id="1487237422">
      <w:bodyDiv w:val="1"/>
      <w:marLeft w:val="0"/>
      <w:marRight w:val="0"/>
      <w:marTop w:val="0"/>
      <w:marBottom w:val="0"/>
      <w:divBdr>
        <w:top w:val="none" w:sz="0" w:space="0" w:color="auto"/>
        <w:left w:val="none" w:sz="0" w:space="0" w:color="auto"/>
        <w:bottom w:val="none" w:sz="0" w:space="0" w:color="auto"/>
        <w:right w:val="none" w:sz="0" w:space="0" w:color="auto"/>
      </w:divBdr>
    </w:div>
    <w:div w:id="1593512573">
      <w:bodyDiv w:val="1"/>
      <w:marLeft w:val="0"/>
      <w:marRight w:val="0"/>
      <w:marTop w:val="0"/>
      <w:marBottom w:val="0"/>
      <w:divBdr>
        <w:top w:val="none" w:sz="0" w:space="0" w:color="auto"/>
        <w:left w:val="none" w:sz="0" w:space="0" w:color="auto"/>
        <w:bottom w:val="none" w:sz="0" w:space="0" w:color="auto"/>
        <w:right w:val="none" w:sz="0" w:space="0" w:color="auto"/>
      </w:divBdr>
    </w:div>
    <w:div w:id="1646468423">
      <w:bodyDiv w:val="1"/>
      <w:marLeft w:val="0"/>
      <w:marRight w:val="0"/>
      <w:marTop w:val="0"/>
      <w:marBottom w:val="0"/>
      <w:divBdr>
        <w:top w:val="none" w:sz="0" w:space="0" w:color="auto"/>
        <w:left w:val="none" w:sz="0" w:space="0" w:color="auto"/>
        <w:bottom w:val="none" w:sz="0" w:space="0" w:color="auto"/>
        <w:right w:val="none" w:sz="0" w:space="0" w:color="auto"/>
      </w:divBdr>
    </w:div>
    <w:div w:id="1960262260">
      <w:bodyDiv w:val="1"/>
      <w:marLeft w:val="0"/>
      <w:marRight w:val="0"/>
      <w:marTop w:val="0"/>
      <w:marBottom w:val="0"/>
      <w:divBdr>
        <w:top w:val="none" w:sz="0" w:space="0" w:color="auto"/>
        <w:left w:val="none" w:sz="0" w:space="0" w:color="auto"/>
        <w:bottom w:val="none" w:sz="0" w:space="0" w:color="auto"/>
        <w:right w:val="none" w:sz="0" w:space="0" w:color="auto"/>
      </w:divBdr>
    </w:div>
    <w:div w:id="2062363925">
      <w:bodyDiv w:val="1"/>
      <w:marLeft w:val="0"/>
      <w:marRight w:val="0"/>
      <w:marTop w:val="0"/>
      <w:marBottom w:val="0"/>
      <w:divBdr>
        <w:top w:val="none" w:sz="0" w:space="0" w:color="auto"/>
        <w:left w:val="none" w:sz="0" w:space="0" w:color="auto"/>
        <w:bottom w:val="none" w:sz="0" w:space="0" w:color="auto"/>
        <w:right w:val="none" w:sz="0" w:space="0" w:color="auto"/>
      </w:divBdr>
    </w:div>
    <w:div w:id="212703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image" Target="media/image5.png"/><Relationship Id="rId39" Type="http://schemas.openxmlformats.org/officeDocument/2006/relationships/chart" Target="charts/chart24.xml"/><Relationship Id="rId3" Type="http://schemas.openxmlformats.org/officeDocument/2006/relationships/settings" Target="settings.xml"/><Relationship Id="rId21" Type="http://schemas.openxmlformats.org/officeDocument/2006/relationships/chart" Target="charts/chart13.xml"/><Relationship Id="rId34" Type="http://schemas.openxmlformats.org/officeDocument/2006/relationships/chart" Target="charts/chart21.xml"/><Relationship Id="rId42"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4.png"/><Relationship Id="rId33" Type="http://schemas.openxmlformats.org/officeDocument/2006/relationships/chart" Target="charts/chart20.xm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9.xml"/><Relationship Id="rId20" Type="http://schemas.openxmlformats.org/officeDocument/2006/relationships/chart" Target="charts/chart12.xm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24" Type="http://schemas.openxmlformats.org/officeDocument/2006/relationships/chart" Target="charts/chart15.xml"/><Relationship Id="rId32" Type="http://schemas.openxmlformats.org/officeDocument/2006/relationships/chart" Target="charts/chart19.xml"/><Relationship Id="rId37" Type="http://schemas.openxmlformats.org/officeDocument/2006/relationships/chart" Target="charts/chart23.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chart" Target="charts/chart14.xml"/><Relationship Id="rId28" Type="http://schemas.openxmlformats.org/officeDocument/2006/relationships/chart" Target="charts/chart16.xml"/><Relationship Id="rId36" Type="http://schemas.openxmlformats.org/officeDocument/2006/relationships/chart" Target="charts/chart22.xml"/><Relationship Id="rId10" Type="http://schemas.openxmlformats.org/officeDocument/2006/relationships/chart" Target="charts/chart3.xml"/><Relationship Id="rId19" Type="http://schemas.openxmlformats.org/officeDocument/2006/relationships/image" Target="media/image2.png"/><Relationship Id="rId31" Type="http://schemas.openxmlformats.org/officeDocument/2006/relationships/chart" Target="charts/chart18.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chart" Target="charts/chart17.xml"/><Relationship Id="rId35" Type="http://schemas.openxmlformats.org/officeDocument/2006/relationships/image" Target="media/image8.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xlsx"/></Relationships>
</file>

<file path=word/charts/_rels/chart17.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novo\Desktop\&#21307;&#30103;&#20581;&#24247;&#34892;&#19994;&#30740;&#3135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67303230329956"/>
          <c:y val="0.18725972114757333"/>
          <c:w val="0.76018363477851736"/>
          <c:h val="0.72508002973616736"/>
        </c:manualLayout>
      </c:layout>
      <c:barChart>
        <c:barDir val="col"/>
        <c:grouping val="clustered"/>
        <c:varyColors val="0"/>
        <c:ser>
          <c:idx val="0"/>
          <c:order val="0"/>
          <c:tx>
            <c:strRef>
              <c:f>市场概况!$A$3</c:f>
              <c:strCache>
                <c:ptCount val="1"/>
                <c:pt idx="0">
                  <c:v>规模</c:v>
                </c:pt>
              </c:strCache>
            </c:strRef>
          </c:tx>
          <c:spPr>
            <a:solidFill>
              <a:srgbClr val="FF0000"/>
            </a:solidFill>
            <a:ln>
              <a:noFill/>
            </a:ln>
            <a:effectLst/>
          </c:spPr>
          <c:invertIfNegative val="0"/>
          <c:cat>
            <c:numRef>
              <c:f>市场概况!$E$1:$I$1</c:f>
              <c:numCache>
                <c:formatCode>General</c:formatCode>
                <c:ptCount val="5"/>
                <c:pt idx="0">
                  <c:v>2014</c:v>
                </c:pt>
                <c:pt idx="1">
                  <c:v>2015</c:v>
                </c:pt>
                <c:pt idx="2">
                  <c:v>2016</c:v>
                </c:pt>
                <c:pt idx="3">
                  <c:v>2017</c:v>
                </c:pt>
                <c:pt idx="4">
                  <c:v>2018</c:v>
                </c:pt>
              </c:numCache>
            </c:numRef>
          </c:cat>
          <c:val>
            <c:numRef>
              <c:f>市场概况!$E$3:$I$3</c:f>
              <c:numCache>
                <c:formatCode>0.00_);[Red]\(0.00\)</c:formatCode>
                <c:ptCount val="5"/>
                <c:pt idx="0">
                  <c:v>8206.5047234143967</c:v>
                </c:pt>
                <c:pt idx="1">
                  <c:v>9202.977335628495</c:v>
                </c:pt>
                <c:pt idx="2">
                  <c:v>10994.660534518602</c:v>
                </c:pt>
                <c:pt idx="3">
                  <c:v>13290.471086747893</c:v>
                </c:pt>
                <c:pt idx="4">
                  <c:v>15855.536683370308</c:v>
                </c:pt>
              </c:numCache>
            </c:numRef>
          </c:val>
          <c:extLst>
            <c:ext xmlns:c16="http://schemas.microsoft.com/office/drawing/2014/chart" uri="{C3380CC4-5D6E-409C-BE32-E72D297353CC}">
              <c16:uniqueId val="{00000000-4F20-4D7D-A26D-0697C9454C34}"/>
            </c:ext>
          </c:extLst>
        </c:ser>
        <c:dLbls>
          <c:showLegendKey val="0"/>
          <c:showVal val="0"/>
          <c:showCatName val="0"/>
          <c:showSerName val="0"/>
          <c:showPercent val="0"/>
          <c:showBubbleSize val="0"/>
        </c:dLbls>
        <c:gapWidth val="128"/>
        <c:overlap val="-27"/>
        <c:axId val="750685888"/>
        <c:axId val="750686216"/>
      </c:barChart>
      <c:lineChart>
        <c:grouping val="standard"/>
        <c:varyColors val="0"/>
        <c:ser>
          <c:idx val="1"/>
          <c:order val="1"/>
          <c:tx>
            <c:strRef>
              <c:f>市场概况!$A$4</c:f>
              <c:strCache>
                <c:ptCount val="1"/>
                <c:pt idx="0">
                  <c:v>增速</c:v>
                </c:pt>
              </c:strCache>
            </c:strRef>
          </c:tx>
          <c:spPr>
            <a:ln w="28575" cap="rnd">
              <a:solidFill>
                <a:schemeClr val="bg2">
                  <a:lumMod val="75000"/>
                </a:schemeClr>
              </a:solidFill>
              <a:round/>
            </a:ln>
            <a:effectLst/>
          </c:spPr>
          <c:marker>
            <c:symbol val="none"/>
          </c:marker>
          <c:dPt>
            <c:idx val="2"/>
            <c:marker>
              <c:symbol val="none"/>
            </c:marker>
            <c:bubble3D val="0"/>
            <c:spPr>
              <a:ln w="9525" cap="rnd">
                <a:solidFill>
                  <a:schemeClr val="bg2">
                    <a:lumMod val="75000"/>
                  </a:schemeClr>
                </a:solidFill>
                <a:round/>
              </a:ln>
              <a:effectLst/>
            </c:spPr>
            <c:extLst>
              <c:ext xmlns:c16="http://schemas.microsoft.com/office/drawing/2014/chart" uri="{C3380CC4-5D6E-409C-BE32-E72D297353CC}">
                <c16:uniqueId val="{00000002-4F20-4D7D-A26D-0697C9454C34}"/>
              </c:ext>
            </c:extLst>
          </c:dPt>
          <c:dPt>
            <c:idx val="3"/>
            <c:marker>
              <c:symbol val="none"/>
            </c:marker>
            <c:bubble3D val="0"/>
            <c:spPr>
              <a:ln w="9525" cap="rnd">
                <a:solidFill>
                  <a:schemeClr val="bg2">
                    <a:lumMod val="75000"/>
                  </a:schemeClr>
                </a:solidFill>
                <a:round/>
              </a:ln>
              <a:effectLst/>
            </c:spPr>
            <c:extLst>
              <c:ext xmlns:c16="http://schemas.microsoft.com/office/drawing/2014/chart" uri="{C3380CC4-5D6E-409C-BE32-E72D297353CC}">
                <c16:uniqueId val="{00000004-4F20-4D7D-A26D-0697C9454C34}"/>
              </c:ext>
            </c:extLst>
          </c:dPt>
          <c:dPt>
            <c:idx val="4"/>
            <c:marker>
              <c:symbol val="none"/>
            </c:marker>
            <c:bubble3D val="0"/>
            <c:spPr>
              <a:ln w="9525" cap="rnd">
                <a:solidFill>
                  <a:schemeClr val="bg2">
                    <a:lumMod val="75000"/>
                  </a:schemeClr>
                </a:solidFill>
                <a:round/>
              </a:ln>
              <a:effectLst/>
            </c:spPr>
            <c:extLst>
              <c:ext xmlns:c16="http://schemas.microsoft.com/office/drawing/2014/chart" uri="{C3380CC4-5D6E-409C-BE32-E72D297353CC}">
                <c16:uniqueId val="{00000006-4F20-4D7D-A26D-0697C9454C34}"/>
              </c:ext>
            </c:extLst>
          </c:dPt>
          <c:dLbls>
            <c:dLbl>
              <c:idx val="4"/>
              <c:layout>
                <c:manualLayout>
                  <c:x val="-7.6076507571878643E-2"/>
                  <c:y val="-6.49928693884362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F20-4D7D-A26D-0697C9454C34}"/>
                </c:ext>
              </c:extLst>
            </c:dLbl>
            <c:spPr>
              <a:noFill/>
              <a:ln>
                <a:noFill/>
              </a:ln>
              <a:effectLst/>
            </c:spPr>
            <c:txPr>
              <a:bodyPr rot="0" spcFirstLastPara="1" vertOverflow="ellipsis" vert="horz" wrap="square" lIns="38100" tIns="19050" rIns="38100" bIns="19050" anchor="t" anchorCtr="0">
                <a:spAutoFit/>
              </a:bodyPr>
              <a:lstStyle/>
              <a:p>
                <a:pPr>
                  <a:defRPr sz="5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市场概况!$E$4:$I$4</c:f>
              <c:numCache>
                <c:formatCode>0.00%</c:formatCode>
                <c:ptCount val="5"/>
                <c:pt idx="1">
                  <c:v>0.10827719941853432</c:v>
                </c:pt>
                <c:pt idx="2">
                  <c:v>0.16295939226727157</c:v>
                </c:pt>
                <c:pt idx="3">
                  <c:v>0.17274109677861421</c:v>
                </c:pt>
                <c:pt idx="4">
                  <c:v>0.16177727993986613</c:v>
                </c:pt>
              </c:numCache>
            </c:numRef>
          </c:val>
          <c:smooth val="0"/>
          <c:extLst>
            <c:ext xmlns:c16="http://schemas.microsoft.com/office/drawing/2014/chart" uri="{C3380CC4-5D6E-409C-BE32-E72D297353CC}">
              <c16:uniqueId val="{00000007-4F20-4D7D-A26D-0697C9454C34}"/>
            </c:ext>
          </c:extLst>
        </c:ser>
        <c:dLbls>
          <c:showLegendKey val="0"/>
          <c:showVal val="0"/>
          <c:showCatName val="0"/>
          <c:showSerName val="0"/>
          <c:showPercent val="0"/>
          <c:showBubbleSize val="0"/>
        </c:dLbls>
        <c:marker val="1"/>
        <c:smooth val="0"/>
        <c:axId val="750702944"/>
        <c:axId val="750704584"/>
      </c:lineChart>
      <c:catAx>
        <c:axId val="750685888"/>
        <c:scaling>
          <c:orientation val="minMax"/>
        </c:scaling>
        <c:delete val="0"/>
        <c:axPos val="b"/>
        <c:numFmt formatCode="General" sourceLinked="1"/>
        <c:majorTickMark val="none"/>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0686216"/>
        <c:crosses val="autoZero"/>
        <c:auto val="1"/>
        <c:lblAlgn val="ctr"/>
        <c:lblOffset val="100"/>
        <c:noMultiLvlLbl val="0"/>
      </c:catAx>
      <c:valAx>
        <c:axId val="750686216"/>
        <c:scaling>
          <c:orientation val="minMax"/>
        </c:scaling>
        <c:delete val="0"/>
        <c:axPos val="l"/>
        <c:majorGridlines>
          <c:spPr>
            <a:ln w="9525" cap="flat" cmpd="sng" algn="ctr">
              <a:no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0685888"/>
        <c:crosses val="autoZero"/>
        <c:crossBetween val="between"/>
      </c:valAx>
      <c:valAx>
        <c:axId val="75070458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0702944"/>
        <c:crosses val="max"/>
        <c:crossBetween val="between"/>
      </c:valAx>
      <c:catAx>
        <c:axId val="750702944"/>
        <c:scaling>
          <c:orientation val="minMax"/>
        </c:scaling>
        <c:delete val="1"/>
        <c:axPos val="b"/>
        <c:majorTickMark val="out"/>
        <c:minorTickMark val="none"/>
        <c:tickLblPos val="nextTo"/>
        <c:crossAx val="75070458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市场初版!$D$28</c:f>
              <c:strCache>
                <c:ptCount val="1"/>
                <c:pt idx="0">
                  <c:v>营业收入 （亿元）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市场初版!$E$1:$I$1</c:f>
              <c:numCache>
                <c:formatCode>General</c:formatCode>
                <c:ptCount val="5"/>
                <c:pt idx="0">
                  <c:v>2014</c:v>
                </c:pt>
                <c:pt idx="1">
                  <c:v>2015</c:v>
                </c:pt>
                <c:pt idx="2">
                  <c:v>2016</c:v>
                </c:pt>
                <c:pt idx="3">
                  <c:v>2017</c:v>
                </c:pt>
                <c:pt idx="4">
                  <c:v>2018</c:v>
                </c:pt>
              </c:numCache>
            </c:numRef>
          </c:cat>
          <c:val>
            <c:numRef>
              <c:f>市场初版!$E$28:$I$28</c:f>
              <c:numCache>
                <c:formatCode>0.00</c:formatCode>
                <c:ptCount val="5"/>
                <c:pt idx="0">
                  <c:v>398.67250000000001</c:v>
                </c:pt>
                <c:pt idx="1">
                  <c:v>456.50229999999999</c:v>
                </c:pt>
                <c:pt idx="2">
                  <c:v>508.7176</c:v>
                </c:pt>
                <c:pt idx="3">
                  <c:v>707.74980000000005</c:v>
                </c:pt>
                <c:pt idx="4">
                  <c:v>529.65139999999997</c:v>
                </c:pt>
              </c:numCache>
            </c:numRef>
          </c:val>
          <c:extLst>
            <c:ext xmlns:c16="http://schemas.microsoft.com/office/drawing/2014/chart" uri="{C3380CC4-5D6E-409C-BE32-E72D297353CC}">
              <c16:uniqueId val="{00000000-8A00-49C1-8FEB-DC072353003A}"/>
            </c:ext>
          </c:extLst>
        </c:ser>
        <c:dLbls>
          <c:showLegendKey val="0"/>
          <c:showVal val="0"/>
          <c:showCatName val="0"/>
          <c:showSerName val="0"/>
          <c:showPercent val="0"/>
          <c:showBubbleSize val="0"/>
        </c:dLbls>
        <c:gapWidth val="219"/>
        <c:overlap val="-27"/>
        <c:axId val="743326424"/>
        <c:axId val="743327080"/>
      </c:barChart>
      <c:lineChart>
        <c:grouping val="standard"/>
        <c:varyColors val="0"/>
        <c:ser>
          <c:idx val="1"/>
          <c:order val="1"/>
          <c:tx>
            <c:strRef>
              <c:f>市场初版!$D$29</c:f>
              <c:strCache>
                <c:ptCount val="1"/>
                <c:pt idx="0">
                  <c:v>营业收入增长率</c:v>
                </c:pt>
              </c:strCache>
            </c:strRef>
          </c:tx>
          <c:spPr>
            <a:ln w="9525" cap="rnd">
              <a:solidFill>
                <a:schemeClr val="accent2"/>
              </a:solidFill>
              <a:round/>
            </a:ln>
            <a:effectLst/>
          </c:spPr>
          <c:marker>
            <c:symbol val="none"/>
          </c:marker>
          <c:val>
            <c:numRef>
              <c:f>市场初版!$E$29:$I$29</c:f>
              <c:numCache>
                <c:formatCode>0.00</c:formatCode>
                <c:ptCount val="5"/>
                <c:pt idx="0">
                  <c:v>15.850099999999999</c:v>
                </c:pt>
                <c:pt idx="1">
                  <c:v>11.2667</c:v>
                </c:pt>
                <c:pt idx="2">
                  <c:v>11.361000000000001</c:v>
                </c:pt>
                <c:pt idx="3">
                  <c:v>43.7239</c:v>
                </c:pt>
                <c:pt idx="4">
                  <c:v>31.256799999999998</c:v>
                </c:pt>
              </c:numCache>
            </c:numRef>
          </c:val>
          <c:smooth val="0"/>
          <c:extLst>
            <c:ext xmlns:c16="http://schemas.microsoft.com/office/drawing/2014/chart" uri="{C3380CC4-5D6E-409C-BE32-E72D297353CC}">
              <c16:uniqueId val="{00000001-8A00-49C1-8FEB-DC072353003A}"/>
            </c:ext>
          </c:extLst>
        </c:ser>
        <c:dLbls>
          <c:showLegendKey val="0"/>
          <c:showVal val="0"/>
          <c:showCatName val="0"/>
          <c:showSerName val="0"/>
          <c:showPercent val="0"/>
          <c:showBubbleSize val="0"/>
        </c:dLbls>
        <c:marker val="1"/>
        <c:smooth val="0"/>
        <c:axId val="636864840"/>
        <c:axId val="636864512"/>
      </c:lineChart>
      <c:catAx>
        <c:axId val="743326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3327080"/>
        <c:crosses val="autoZero"/>
        <c:auto val="1"/>
        <c:lblAlgn val="ctr"/>
        <c:lblOffset val="100"/>
        <c:noMultiLvlLbl val="0"/>
      </c:catAx>
      <c:valAx>
        <c:axId val="7433270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3326424"/>
        <c:crosses val="autoZero"/>
        <c:crossBetween val="between"/>
      </c:valAx>
      <c:valAx>
        <c:axId val="63686451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36864840"/>
        <c:crosses val="max"/>
        <c:crossBetween val="between"/>
      </c:valAx>
      <c:catAx>
        <c:axId val="636864840"/>
        <c:scaling>
          <c:orientation val="minMax"/>
        </c:scaling>
        <c:delete val="1"/>
        <c:axPos val="b"/>
        <c:majorTickMark val="out"/>
        <c:minorTickMark val="none"/>
        <c:tickLblPos val="nextTo"/>
        <c:crossAx val="6368645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市场初版!$K$36</c:f>
              <c:strCache>
                <c:ptCount val="1"/>
                <c:pt idx="0">
                  <c:v>化学原料药</c:v>
                </c:pt>
              </c:strCache>
            </c:strRef>
          </c:tx>
          <c:spPr>
            <a:ln w="9525" cap="rnd">
              <a:solidFill>
                <a:schemeClr val="accent1"/>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市场初版!$S$35:$W$35</c:f>
              <c:numCache>
                <c:formatCode>0.00%</c:formatCode>
                <c:ptCount val="5"/>
                <c:pt idx="0">
                  <c:v>0.30327999999999999</c:v>
                </c:pt>
                <c:pt idx="1">
                  <c:v>0.31330400000000003</c:v>
                </c:pt>
                <c:pt idx="2">
                  <c:v>0.342611</c:v>
                </c:pt>
                <c:pt idx="3">
                  <c:v>0.33520299999999997</c:v>
                </c:pt>
                <c:pt idx="4">
                  <c:v>0.38649700000000003</c:v>
                </c:pt>
              </c:numCache>
            </c:numRef>
          </c:val>
          <c:smooth val="0"/>
          <c:extLst>
            <c:ext xmlns:c16="http://schemas.microsoft.com/office/drawing/2014/chart" uri="{C3380CC4-5D6E-409C-BE32-E72D297353CC}">
              <c16:uniqueId val="{00000000-286F-4D5B-82DB-BD7298BC0392}"/>
            </c:ext>
          </c:extLst>
        </c:ser>
        <c:ser>
          <c:idx val="1"/>
          <c:order val="1"/>
          <c:tx>
            <c:strRef>
              <c:f>市场初版!$K$37</c:f>
              <c:strCache>
                <c:ptCount val="1"/>
                <c:pt idx="0">
                  <c:v>生物医药</c:v>
                </c:pt>
              </c:strCache>
            </c:strRef>
          </c:tx>
          <c:spPr>
            <a:ln w="9525" cap="rnd">
              <a:solidFill>
                <a:schemeClr val="accent2"/>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市场初版!$S$36:$W$36</c:f>
              <c:numCache>
                <c:formatCode>0.00%</c:formatCode>
                <c:ptCount val="5"/>
                <c:pt idx="0">
                  <c:v>0.43961599999999995</c:v>
                </c:pt>
                <c:pt idx="1">
                  <c:v>0.61700699999999997</c:v>
                </c:pt>
                <c:pt idx="2">
                  <c:v>0.64450000000000007</c:v>
                </c:pt>
                <c:pt idx="3">
                  <c:v>0.45428600000000002</c:v>
                </c:pt>
                <c:pt idx="4">
                  <c:v>0.65423299999999995</c:v>
                </c:pt>
              </c:numCache>
            </c:numRef>
          </c:val>
          <c:smooth val="0"/>
          <c:extLst>
            <c:ext xmlns:c16="http://schemas.microsoft.com/office/drawing/2014/chart" uri="{C3380CC4-5D6E-409C-BE32-E72D297353CC}">
              <c16:uniqueId val="{00000001-286F-4D5B-82DB-BD7298BC0392}"/>
            </c:ext>
          </c:extLst>
        </c:ser>
        <c:ser>
          <c:idx val="2"/>
          <c:order val="2"/>
          <c:tx>
            <c:strRef>
              <c:f>市场初版!$K$38</c:f>
              <c:strCache>
                <c:ptCount val="1"/>
                <c:pt idx="0">
                  <c:v>中药</c:v>
                </c:pt>
              </c:strCache>
            </c:strRef>
          </c:tx>
          <c:spPr>
            <a:ln w="9525" cap="rnd">
              <a:solidFill>
                <a:schemeClr val="accent3"/>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市场初版!$S$37:$W$37</c:f>
              <c:numCache>
                <c:formatCode>0.00%</c:formatCode>
                <c:ptCount val="5"/>
                <c:pt idx="0">
                  <c:v>0.43473999999999996</c:v>
                </c:pt>
                <c:pt idx="1">
                  <c:v>0.43077800000000005</c:v>
                </c:pt>
                <c:pt idx="2">
                  <c:v>0.45901899999999995</c:v>
                </c:pt>
                <c:pt idx="3">
                  <c:v>0.49252299999999999</c:v>
                </c:pt>
                <c:pt idx="4">
                  <c:v>0.48198300000000005</c:v>
                </c:pt>
              </c:numCache>
            </c:numRef>
          </c:val>
          <c:smooth val="0"/>
          <c:extLst>
            <c:ext xmlns:c16="http://schemas.microsoft.com/office/drawing/2014/chart" uri="{C3380CC4-5D6E-409C-BE32-E72D297353CC}">
              <c16:uniqueId val="{00000002-286F-4D5B-82DB-BD7298BC0392}"/>
            </c:ext>
          </c:extLst>
        </c:ser>
        <c:ser>
          <c:idx val="3"/>
          <c:order val="3"/>
          <c:tx>
            <c:strRef>
              <c:f>市场初版!$K$39</c:f>
              <c:strCache>
                <c:ptCount val="1"/>
                <c:pt idx="0">
                  <c:v>医疗器械</c:v>
                </c:pt>
              </c:strCache>
            </c:strRef>
          </c:tx>
          <c:spPr>
            <a:ln w="9525" cap="rnd">
              <a:solidFill>
                <a:schemeClr val="accent4"/>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市场初版!$S$38:$W$38</c:f>
              <c:numCache>
                <c:formatCode>0.00%</c:formatCode>
                <c:ptCount val="5"/>
                <c:pt idx="0">
                  <c:v>0.39077399999999995</c:v>
                </c:pt>
                <c:pt idx="1">
                  <c:v>0.38388699999999998</c:v>
                </c:pt>
                <c:pt idx="2">
                  <c:v>0.41144900000000001</c:v>
                </c:pt>
                <c:pt idx="3">
                  <c:v>0.48451900000000003</c:v>
                </c:pt>
                <c:pt idx="4">
                  <c:v>0.48461599999999999</c:v>
                </c:pt>
              </c:numCache>
            </c:numRef>
          </c:val>
          <c:smooth val="0"/>
          <c:extLst>
            <c:ext xmlns:c16="http://schemas.microsoft.com/office/drawing/2014/chart" uri="{C3380CC4-5D6E-409C-BE32-E72D297353CC}">
              <c16:uniqueId val="{00000003-286F-4D5B-82DB-BD7298BC0392}"/>
            </c:ext>
          </c:extLst>
        </c:ser>
        <c:ser>
          <c:idx val="4"/>
          <c:order val="4"/>
          <c:tx>
            <c:strRef>
              <c:f>市场初版!$K$40</c:f>
              <c:strCache>
                <c:ptCount val="1"/>
                <c:pt idx="0">
                  <c:v>医疗服务</c:v>
                </c:pt>
              </c:strCache>
            </c:strRef>
          </c:tx>
          <c:spPr>
            <a:ln w="9525" cap="rnd">
              <a:solidFill>
                <a:schemeClr val="accent5"/>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市场初版!$S$39:$W$39</c:f>
              <c:numCache>
                <c:formatCode>0.00%</c:formatCode>
                <c:ptCount val="5"/>
                <c:pt idx="0">
                  <c:v>0.31118800000000002</c:v>
                </c:pt>
                <c:pt idx="1">
                  <c:v>0.31925000000000003</c:v>
                </c:pt>
                <c:pt idx="2">
                  <c:v>0.35642200000000002</c:v>
                </c:pt>
                <c:pt idx="3">
                  <c:v>0.38758300000000001</c:v>
                </c:pt>
                <c:pt idx="4">
                  <c:v>0.37122500000000003</c:v>
                </c:pt>
              </c:numCache>
            </c:numRef>
          </c:val>
          <c:smooth val="0"/>
          <c:extLst>
            <c:ext xmlns:c16="http://schemas.microsoft.com/office/drawing/2014/chart" uri="{C3380CC4-5D6E-409C-BE32-E72D297353CC}">
              <c16:uniqueId val="{00000004-286F-4D5B-82DB-BD7298BC0392}"/>
            </c:ext>
          </c:extLst>
        </c:ser>
        <c:ser>
          <c:idx val="5"/>
          <c:order val="5"/>
          <c:tx>
            <c:strRef>
              <c:f>市场初版!$K$41</c:f>
              <c:strCache>
                <c:ptCount val="1"/>
                <c:pt idx="0">
                  <c:v>CRO</c:v>
                </c:pt>
              </c:strCache>
            </c:strRef>
          </c:tx>
          <c:spPr>
            <a:ln w="9525" cap="rnd">
              <a:solidFill>
                <a:schemeClr val="accent6"/>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市场初版!$S$40:$W$40</c:f>
              <c:numCache>
                <c:formatCode>0.00%</c:formatCode>
                <c:ptCount val="5"/>
                <c:pt idx="0">
                  <c:v>0.4728</c:v>
                </c:pt>
                <c:pt idx="1">
                  <c:v>0.46799999999999997</c:v>
                </c:pt>
                <c:pt idx="2">
                  <c:v>0.32700000000000001</c:v>
                </c:pt>
                <c:pt idx="3">
                  <c:v>0.4093</c:v>
                </c:pt>
                <c:pt idx="4">
                  <c:v>0.40389999999999998</c:v>
                </c:pt>
              </c:numCache>
            </c:numRef>
          </c:val>
          <c:smooth val="0"/>
          <c:extLst>
            <c:ext xmlns:c16="http://schemas.microsoft.com/office/drawing/2014/chart" uri="{C3380CC4-5D6E-409C-BE32-E72D297353CC}">
              <c16:uniqueId val="{00000005-286F-4D5B-82DB-BD7298BC0392}"/>
            </c:ext>
          </c:extLst>
        </c:ser>
        <c:ser>
          <c:idx val="6"/>
          <c:order val="6"/>
          <c:tx>
            <c:strRef>
              <c:f>市场初版!$K$42</c:f>
              <c:strCache>
                <c:ptCount val="1"/>
                <c:pt idx="0">
                  <c:v>CMO</c:v>
                </c:pt>
              </c:strCache>
            </c:strRef>
          </c:tx>
          <c:spPr>
            <a:ln w="9525" cap="rnd">
              <a:solidFill>
                <a:schemeClr val="accent1">
                  <a:lumMod val="60000"/>
                </a:schemeClr>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市场初版!$S$41:$W$41</c:f>
              <c:numCache>
                <c:formatCode>0.00%</c:formatCode>
                <c:ptCount val="5"/>
                <c:pt idx="0">
                  <c:v>0.31780000000000003</c:v>
                </c:pt>
                <c:pt idx="1">
                  <c:v>0.34420000000000001</c:v>
                </c:pt>
                <c:pt idx="2">
                  <c:v>0.39799999999999996</c:v>
                </c:pt>
                <c:pt idx="3">
                  <c:v>0.41</c:v>
                </c:pt>
                <c:pt idx="4">
                  <c:v>0.39759999999999995</c:v>
                </c:pt>
              </c:numCache>
            </c:numRef>
          </c:val>
          <c:smooth val="0"/>
          <c:extLst>
            <c:ext xmlns:c16="http://schemas.microsoft.com/office/drawing/2014/chart" uri="{C3380CC4-5D6E-409C-BE32-E72D297353CC}">
              <c16:uniqueId val="{00000006-286F-4D5B-82DB-BD7298BC0392}"/>
            </c:ext>
          </c:extLst>
        </c:ser>
        <c:ser>
          <c:idx val="7"/>
          <c:order val="7"/>
          <c:tx>
            <c:strRef>
              <c:f>市场初版!$K$43</c:f>
              <c:strCache>
                <c:ptCount val="1"/>
                <c:pt idx="0">
                  <c:v>医疗商业</c:v>
                </c:pt>
              </c:strCache>
            </c:strRef>
          </c:tx>
          <c:spPr>
            <a:ln w="9525" cap="rnd">
              <a:solidFill>
                <a:schemeClr val="accent2">
                  <a:lumMod val="60000"/>
                </a:schemeClr>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市场初版!$S$42:$W$42</c:f>
              <c:numCache>
                <c:formatCode>0.00%</c:formatCode>
                <c:ptCount val="5"/>
                <c:pt idx="0">
                  <c:v>0.119037</c:v>
                </c:pt>
                <c:pt idx="1">
                  <c:v>0.122185</c:v>
                </c:pt>
                <c:pt idx="2">
                  <c:v>0.122406</c:v>
                </c:pt>
                <c:pt idx="3">
                  <c:v>0.126947</c:v>
                </c:pt>
                <c:pt idx="4">
                  <c:v>0.13794399999999998</c:v>
                </c:pt>
              </c:numCache>
            </c:numRef>
          </c:val>
          <c:smooth val="0"/>
          <c:extLst>
            <c:ext xmlns:c16="http://schemas.microsoft.com/office/drawing/2014/chart" uri="{C3380CC4-5D6E-409C-BE32-E72D297353CC}">
              <c16:uniqueId val="{00000007-286F-4D5B-82DB-BD7298BC0392}"/>
            </c:ext>
          </c:extLst>
        </c:ser>
        <c:dLbls>
          <c:showLegendKey val="0"/>
          <c:showVal val="0"/>
          <c:showCatName val="0"/>
          <c:showSerName val="0"/>
          <c:showPercent val="0"/>
          <c:showBubbleSize val="0"/>
        </c:dLbls>
        <c:smooth val="0"/>
        <c:axId val="741157688"/>
        <c:axId val="741153096"/>
      </c:lineChart>
      <c:catAx>
        <c:axId val="741157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1153096"/>
        <c:crosses val="autoZero"/>
        <c:auto val="1"/>
        <c:lblAlgn val="ctr"/>
        <c:lblOffset val="100"/>
        <c:noMultiLvlLbl val="0"/>
      </c:catAx>
      <c:valAx>
        <c:axId val="7411530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1157688"/>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849-43C1-AEC3-670AD235F7A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849-43C1-AEC3-670AD235F7A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849-43C1-AEC3-670AD235F7A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849-43C1-AEC3-670AD235F7A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849-43C1-AEC3-670AD235F7A4}"/>
              </c:ext>
            </c:extLst>
          </c:dPt>
          <c:dLbls>
            <c:spPr>
              <a:noFill/>
              <a:ln>
                <a:noFill/>
              </a:ln>
              <a:effectLst/>
            </c:spPr>
            <c:txPr>
              <a:bodyPr rot="0" spcFirstLastPara="1" vertOverflow="ellipsis" vert="horz" wrap="square" anchor="ctr" anchorCtr="1"/>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细分市场龙头企业!$E$38:$E$42</c:f>
              <c:strCache>
                <c:ptCount val="5"/>
                <c:pt idx="0">
                  <c:v>智飞生物</c:v>
                </c:pt>
                <c:pt idx="1">
                  <c:v>康泰生物</c:v>
                </c:pt>
                <c:pt idx="2">
                  <c:v>成大生物</c:v>
                </c:pt>
                <c:pt idx="3">
                  <c:v>沃森生物</c:v>
                </c:pt>
                <c:pt idx="4">
                  <c:v>其他</c:v>
                </c:pt>
              </c:strCache>
            </c:strRef>
          </c:cat>
          <c:val>
            <c:numRef>
              <c:f>细分市场龙头企业!$H$38:$H$42</c:f>
              <c:numCache>
                <c:formatCode>0.00%</c:formatCode>
                <c:ptCount val="5"/>
                <c:pt idx="0">
                  <c:v>0.53470437017994854</c:v>
                </c:pt>
                <c:pt idx="1">
                  <c:v>0.20627249357326477</c:v>
                </c:pt>
                <c:pt idx="2">
                  <c:v>0.14169665809768636</c:v>
                </c:pt>
                <c:pt idx="3">
                  <c:v>8.9357326478149091E-2</c:v>
                </c:pt>
              </c:numCache>
            </c:numRef>
          </c:val>
          <c:extLst>
            <c:ext xmlns:c16="http://schemas.microsoft.com/office/drawing/2014/chart" uri="{C3380CC4-5D6E-409C-BE32-E72D297353CC}">
              <c16:uniqueId val="{0000000A-6849-43C1-AEC3-670AD235F7A4}"/>
            </c:ext>
          </c:extLst>
        </c:ser>
        <c:dLbls>
          <c:showLegendKey val="0"/>
          <c:showVal val="1"/>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市场初版!$D$36</c:f>
              <c:strCache>
                <c:ptCount val="1"/>
                <c:pt idx="0">
                  <c:v>营业收入 （亿元）</c:v>
                </c:pt>
              </c:strCache>
            </c:strRef>
          </c:tx>
          <c:spPr>
            <a:solidFill>
              <a:schemeClr val="accent1"/>
            </a:solidFill>
            <a:ln>
              <a:noFill/>
            </a:ln>
            <a:effectLst/>
          </c:spPr>
          <c:invertIfNegative val="0"/>
          <c:cat>
            <c:numRef>
              <c:f>市场初版!$E$1:$I$1</c:f>
              <c:numCache>
                <c:formatCode>General</c:formatCode>
                <c:ptCount val="5"/>
                <c:pt idx="0">
                  <c:v>2014</c:v>
                </c:pt>
                <c:pt idx="1">
                  <c:v>2015</c:v>
                </c:pt>
                <c:pt idx="2">
                  <c:v>2016</c:v>
                </c:pt>
                <c:pt idx="3">
                  <c:v>2017</c:v>
                </c:pt>
                <c:pt idx="4">
                  <c:v>2018</c:v>
                </c:pt>
              </c:numCache>
            </c:numRef>
          </c:cat>
          <c:val>
            <c:numRef>
              <c:f>市场初版!$E$36:$I$36</c:f>
              <c:numCache>
                <c:formatCode>General</c:formatCode>
                <c:ptCount val="5"/>
                <c:pt idx="0">
                  <c:v>53.17</c:v>
                </c:pt>
                <c:pt idx="1">
                  <c:v>62.24</c:v>
                </c:pt>
                <c:pt idx="2">
                  <c:v>80.41</c:v>
                </c:pt>
                <c:pt idx="3">
                  <c:v>89.25</c:v>
                </c:pt>
                <c:pt idx="4">
                  <c:v>120.37</c:v>
                </c:pt>
              </c:numCache>
            </c:numRef>
          </c:val>
          <c:extLst>
            <c:ext xmlns:c16="http://schemas.microsoft.com/office/drawing/2014/chart" uri="{C3380CC4-5D6E-409C-BE32-E72D297353CC}">
              <c16:uniqueId val="{00000000-4DED-4CF1-B457-0255E8E2393C}"/>
            </c:ext>
          </c:extLst>
        </c:ser>
        <c:dLbls>
          <c:showLegendKey val="0"/>
          <c:showVal val="0"/>
          <c:showCatName val="0"/>
          <c:showSerName val="0"/>
          <c:showPercent val="0"/>
          <c:showBubbleSize val="0"/>
        </c:dLbls>
        <c:gapWidth val="219"/>
        <c:overlap val="-27"/>
        <c:axId val="745207960"/>
        <c:axId val="745204352"/>
      </c:barChart>
      <c:lineChart>
        <c:grouping val="standard"/>
        <c:varyColors val="0"/>
        <c:ser>
          <c:idx val="1"/>
          <c:order val="1"/>
          <c:tx>
            <c:strRef>
              <c:f>市场初版!$D$37</c:f>
              <c:strCache>
                <c:ptCount val="1"/>
                <c:pt idx="0">
                  <c:v>营业收入增长率 %</c:v>
                </c:pt>
              </c:strCache>
            </c:strRef>
          </c:tx>
          <c:spPr>
            <a:ln w="9525" cap="rnd">
              <a:solidFill>
                <a:schemeClr val="accent2"/>
              </a:solidFill>
              <a:round/>
            </a:ln>
            <a:effectLst/>
          </c:spPr>
          <c:marker>
            <c:symbol val="none"/>
          </c:marker>
          <c:val>
            <c:numRef>
              <c:f>市场初版!$E$37:$I$37</c:f>
              <c:numCache>
                <c:formatCode>General</c:formatCode>
                <c:ptCount val="5"/>
                <c:pt idx="0">
                  <c:v>27.4</c:v>
                </c:pt>
                <c:pt idx="1">
                  <c:v>15.93</c:v>
                </c:pt>
                <c:pt idx="2">
                  <c:v>27.63</c:v>
                </c:pt>
                <c:pt idx="3">
                  <c:v>4.33</c:v>
                </c:pt>
                <c:pt idx="4">
                  <c:v>24.82</c:v>
                </c:pt>
              </c:numCache>
            </c:numRef>
          </c:val>
          <c:smooth val="0"/>
          <c:extLst>
            <c:ext xmlns:c16="http://schemas.microsoft.com/office/drawing/2014/chart" uri="{C3380CC4-5D6E-409C-BE32-E72D297353CC}">
              <c16:uniqueId val="{00000001-4DED-4CF1-B457-0255E8E2393C}"/>
            </c:ext>
          </c:extLst>
        </c:ser>
        <c:dLbls>
          <c:showLegendKey val="0"/>
          <c:showVal val="0"/>
          <c:showCatName val="0"/>
          <c:showSerName val="0"/>
          <c:showPercent val="0"/>
          <c:showBubbleSize val="0"/>
        </c:dLbls>
        <c:marker val="1"/>
        <c:smooth val="0"/>
        <c:axId val="752096992"/>
        <c:axId val="752098960"/>
      </c:lineChart>
      <c:catAx>
        <c:axId val="745207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5204352"/>
        <c:crosses val="autoZero"/>
        <c:auto val="1"/>
        <c:lblAlgn val="ctr"/>
        <c:lblOffset val="100"/>
        <c:noMultiLvlLbl val="0"/>
      </c:catAx>
      <c:valAx>
        <c:axId val="74520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5207960"/>
        <c:crosses val="autoZero"/>
        <c:crossBetween val="between"/>
      </c:valAx>
      <c:valAx>
        <c:axId val="7520989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2096992"/>
        <c:crosses val="max"/>
        <c:crossBetween val="between"/>
      </c:valAx>
      <c:catAx>
        <c:axId val="752096992"/>
        <c:scaling>
          <c:orientation val="minMax"/>
        </c:scaling>
        <c:delete val="1"/>
        <c:axPos val="b"/>
        <c:majorTickMark val="out"/>
        <c:minorTickMark val="none"/>
        <c:tickLblPos val="nextTo"/>
        <c:crossAx val="75209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市场初版!$L$44</c:f>
              <c:strCache>
                <c:ptCount val="1"/>
                <c:pt idx="0">
                  <c:v>营业收入 （亿元）</c:v>
                </c:pt>
              </c:strCache>
            </c:strRef>
          </c:tx>
          <c:spPr>
            <a:solidFill>
              <a:schemeClr val="accent1"/>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市场初版!$M$44:$Q$44</c:f>
              <c:numCache>
                <c:formatCode>#,##0.00</c:formatCode>
                <c:ptCount val="5"/>
                <c:pt idx="0">
                  <c:v>1642.2420999999999</c:v>
                </c:pt>
                <c:pt idx="1">
                  <c:v>1993.5125</c:v>
                </c:pt>
                <c:pt idx="2">
                  <c:v>2238.4497999999999</c:v>
                </c:pt>
                <c:pt idx="3">
                  <c:v>2659.8141000000001</c:v>
                </c:pt>
                <c:pt idx="4">
                  <c:v>3049.3895000000002</c:v>
                </c:pt>
              </c:numCache>
            </c:numRef>
          </c:val>
          <c:extLst>
            <c:ext xmlns:c16="http://schemas.microsoft.com/office/drawing/2014/chart" uri="{C3380CC4-5D6E-409C-BE32-E72D297353CC}">
              <c16:uniqueId val="{00000000-504A-4DB4-A52F-D7020C14BE03}"/>
            </c:ext>
          </c:extLst>
        </c:ser>
        <c:dLbls>
          <c:showLegendKey val="0"/>
          <c:showVal val="0"/>
          <c:showCatName val="0"/>
          <c:showSerName val="0"/>
          <c:showPercent val="0"/>
          <c:showBubbleSize val="0"/>
        </c:dLbls>
        <c:gapWidth val="219"/>
        <c:overlap val="-27"/>
        <c:axId val="637039816"/>
        <c:axId val="745460960"/>
      </c:barChart>
      <c:lineChart>
        <c:grouping val="standard"/>
        <c:varyColors val="0"/>
        <c:ser>
          <c:idx val="1"/>
          <c:order val="1"/>
          <c:tx>
            <c:strRef>
              <c:f>市场初版!$L$45</c:f>
              <c:strCache>
                <c:ptCount val="1"/>
                <c:pt idx="0">
                  <c:v>营业收入增长率 %</c:v>
                </c:pt>
              </c:strCache>
            </c:strRef>
          </c:tx>
          <c:spPr>
            <a:ln w="9525" cap="rnd">
              <a:solidFill>
                <a:schemeClr val="accent2"/>
              </a:solidFill>
              <a:round/>
            </a:ln>
            <a:effectLst/>
          </c:spPr>
          <c:marker>
            <c:symbol val="none"/>
          </c:marker>
          <c:val>
            <c:numRef>
              <c:f>市场初版!$M$45:$Q$45</c:f>
              <c:numCache>
                <c:formatCode>#,##0.00</c:formatCode>
                <c:ptCount val="5"/>
                <c:pt idx="0">
                  <c:v>11.419</c:v>
                </c:pt>
                <c:pt idx="1">
                  <c:v>8.8557000000000006</c:v>
                </c:pt>
                <c:pt idx="2">
                  <c:v>11.222899999999999</c:v>
                </c:pt>
                <c:pt idx="3">
                  <c:v>12.165900000000001</c:v>
                </c:pt>
                <c:pt idx="4">
                  <c:v>18.477699999999999</c:v>
                </c:pt>
              </c:numCache>
            </c:numRef>
          </c:val>
          <c:smooth val="0"/>
          <c:extLst>
            <c:ext xmlns:c16="http://schemas.microsoft.com/office/drawing/2014/chart" uri="{C3380CC4-5D6E-409C-BE32-E72D297353CC}">
              <c16:uniqueId val="{00000001-504A-4DB4-A52F-D7020C14BE03}"/>
            </c:ext>
          </c:extLst>
        </c:ser>
        <c:dLbls>
          <c:showLegendKey val="0"/>
          <c:showVal val="0"/>
          <c:showCatName val="0"/>
          <c:showSerName val="0"/>
          <c:showPercent val="0"/>
          <c:showBubbleSize val="0"/>
        </c:dLbls>
        <c:marker val="1"/>
        <c:smooth val="0"/>
        <c:axId val="745464240"/>
        <c:axId val="745463584"/>
      </c:lineChart>
      <c:catAx>
        <c:axId val="63703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5460960"/>
        <c:crosses val="autoZero"/>
        <c:auto val="1"/>
        <c:lblAlgn val="ctr"/>
        <c:lblOffset val="100"/>
        <c:noMultiLvlLbl val="0"/>
      </c:catAx>
      <c:valAx>
        <c:axId val="7454609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37039816"/>
        <c:crosses val="autoZero"/>
        <c:crossBetween val="between"/>
      </c:valAx>
      <c:valAx>
        <c:axId val="74546358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5464240"/>
        <c:crosses val="max"/>
        <c:crossBetween val="between"/>
      </c:valAx>
      <c:catAx>
        <c:axId val="745464240"/>
        <c:scaling>
          <c:orientation val="minMax"/>
        </c:scaling>
        <c:delete val="1"/>
        <c:axPos val="b"/>
        <c:majorTickMark val="out"/>
        <c:minorTickMark val="none"/>
        <c:tickLblPos val="nextTo"/>
        <c:crossAx val="7454635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市场初版!$L$56</c:f>
              <c:strCache>
                <c:ptCount val="1"/>
                <c:pt idx="0">
                  <c:v>营业收入 （亿元）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市场初版!$M$1:$Q$1</c:f>
              <c:numCache>
                <c:formatCode>General</c:formatCode>
                <c:ptCount val="5"/>
                <c:pt idx="0">
                  <c:v>2014</c:v>
                </c:pt>
                <c:pt idx="1">
                  <c:v>2015</c:v>
                </c:pt>
                <c:pt idx="2">
                  <c:v>2016</c:v>
                </c:pt>
                <c:pt idx="3">
                  <c:v>2017</c:v>
                </c:pt>
                <c:pt idx="4">
                  <c:v>2018</c:v>
                </c:pt>
              </c:numCache>
            </c:numRef>
          </c:cat>
          <c:val>
            <c:numRef>
              <c:f>市场初版!$M$48:$Q$48</c:f>
              <c:numCache>
                <c:formatCode>#,##0.00</c:formatCode>
                <c:ptCount val="5"/>
                <c:pt idx="0">
                  <c:v>171.3081</c:v>
                </c:pt>
                <c:pt idx="1">
                  <c:v>180.66829999999999</c:v>
                </c:pt>
                <c:pt idx="2">
                  <c:v>231.42060000000001</c:v>
                </c:pt>
                <c:pt idx="3">
                  <c:v>281.20740000000001</c:v>
                </c:pt>
                <c:pt idx="4">
                  <c:v>212.65360000000001</c:v>
                </c:pt>
              </c:numCache>
            </c:numRef>
          </c:val>
          <c:extLst>
            <c:ext xmlns:c16="http://schemas.microsoft.com/office/drawing/2014/chart" uri="{C3380CC4-5D6E-409C-BE32-E72D297353CC}">
              <c16:uniqueId val="{00000000-8944-449C-9D6F-891D48450D31}"/>
            </c:ext>
          </c:extLst>
        </c:ser>
        <c:dLbls>
          <c:showLegendKey val="0"/>
          <c:showVal val="0"/>
          <c:showCatName val="0"/>
          <c:showSerName val="0"/>
          <c:showPercent val="0"/>
          <c:showBubbleSize val="0"/>
        </c:dLbls>
        <c:gapWidth val="219"/>
        <c:overlap val="-27"/>
        <c:axId val="753641192"/>
        <c:axId val="753639880"/>
      </c:barChart>
      <c:lineChart>
        <c:grouping val="standard"/>
        <c:varyColors val="0"/>
        <c:ser>
          <c:idx val="1"/>
          <c:order val="1"/>
          <c:tx>
            <c:strRef>
              <c:f>市场初版!$L$49</c:f>
              <c:strCache>
                <c:ptCount val="1"/>
                <c:pt idx="0">
                  <c:v>营业收入增长率 %</c:v>
                </c:pt>
              </c:strCache>
            </c:strRef>
          </c:tx>
          <c:spPr>
            <a:ln w="9525" cap="rnd">
              <a:solidFill>
                <a:schemeClr val="accent2"/>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市场初版!$M$49:$Q$49</c:f>
              <c:numCache>
                <c:formatCode>#,##0.00</c:formatCode>
                <c:ptCount val="5"/>
                <c:pt idx="0">
                  <c:v>19.391500000000001</c:v>
                </c:pt>
                <c:pt idx="1">
                  <c:v>13.2774</c:v>
                </c:pt>
                <c:pt idx="2">
                  <c:v>19.790400000000002</c:v>
                </c:pt>
                <c:pt idx="3">
                  <c:v>21.5136</c:v>
                </c:pt>
                <c:pt idx="4">
                  <c:v>10.6281</c:v>
                </c:pt>
              </c:numCache>
            </c:numRef>
          </c:val>
          <c:smooth val="0"/>
          <c:extLst>
            <c:ext xmlns:c16="http://schemas.microsoft.com/office/drawing/2014/chart" uri="{C3380CC4-5D6E-409C-BE32-E72D297353CC}">
              <c16:uniqueId val="{00000001-8944-449C-9D6F-891D48450D31}"/>
            </c:ext>
          </c:extLst>
        </c:ser>
        <c:dLbls>
          <c:showLegendKey val="0"/>
          <c:showVal val="0"/>
          <c:showCatName val="0"/>
          <c:showSerName val="0"/>
          <c:showPercent val="0"/>
          <c:showBubbleSize val="0"/>
        </c:dLbls>
        <c:marker val="1"/>
        <c:smooth val="0"/>
        <c:axId val="752169608"/>
        <c:axId val="752168624"/>
      </c:lineChart>
      <c:catAx>
        <c:axId val="753641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3639880"/>
        <c:crosses val="autoZero"/>
        <c:auto val="1"/>
        <c:lblAlgn val="ctr"/>
        <c:lblOffset val="100"/>
        <c:noMultiLvlLbl val="0"/>
      </c:catAx>
      <c:valAx>
        <c:axId val="7536398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3641192"/>
        <c:crosses val="autoZero"/>
        <c:crossBetween val="between"/>
      </c:valAx>
      <c:valAx>
        <c:axId val="7521686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2169608"/>
        <c:crosses val="max"/>
        <c:crossBetween val="between"/>
      </c:valAx>
      <c:catAx>
        <c:axId val="752169608"/>
        <c:scaling>
          <c:orientation val="minMax"/>
        </c:scaling>
        <c:delete val="1"/>
        <c:axPos val="b"/>
        <c:numFmt formatCode="General" sourceLinked="1"/>
        <c:majorTickMark val="out"/>
        <c:minorTickMark val="none"/>
        <c:tickLblPos val="nextTo"/>
        <c:crossAx val="7521686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市场初版!$L$56</c:f>
              <c:strCache>
                <c:ptCount val="1"/>
                <c:pt idx="0">
                  <c:v>营业收入 （亿元）</c:v>
                </c:pt>
              </c:strCache>
            </c:strRef>
          </c:tx>
          <c:spPr>
            <a:solidFill>
              <a:schemeClr val="accent1"/>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市场初版!$M$52:$Q$52</c:f>
              <c:numCache>
                <c:formatCode>#,##0.00</c:formatCode>
                <c:ptCount val="5"/>
                <c:pt idx="0">
                  <c:v>1470.3133</c:v>
                </c:pt>
                <c:pt idx="1">
                  <c:v>3008.0792000000001</c:v>
                </c:pt>
                <c:pt idx="2">
                  <c:v>2380.3624</c:v>
                </c:pt>
                <c:pt idx="3">
                  <c:v>2667.5592000000001</c:v>
                </c:pt>
                <c:pt idx="4">
                  <c:v>3220.7536</c:v>
                </c:pt>
              </c:numCache>
            </c:numRef>
          </c:val>
          <c:extLst>
            <c:ext xmlns:c16="http://schemas.microsoft.com/office/drawing/2014/chart" uri="{C3380CC4-5D6E-409C-BE32-E72D297353CC}">
              <c16:uniqueId val="{00000000-9BBB-457A-83E7-08F05B05CFC2}"/>
            </c:ext>
          </c:extLst>
        </c:ser>
        <c:dLbls>
          <c:showLegendKey val="0"/>
          <c:showVal val="0"/>
          <c:showCatName val="0"/>
          <c:showSerName val="0"/>
          <c:showPercent val="0"/>
          <c:showBubbleSize val="0"/>
        </c:dLbls>
        <c:gapWidth val="219"/>
        <c:overlap val="-27"/>
        <c:axId val="635600008"/>
        <c:axId val="635600664"/>
      </c:barChart>
      <c:lineChart>
        <c:grouping val="standard"/>
        <c:varyColors val="0"/>
        <c:ser>
          <c:idx val="1"/>
          <c:order val="1"/>
          <c:tx>
            <c:strRef>
              <c:f>市场初版!$L$53</c:f>
              <c:strCache>
                <c:ptCount val="1"/>
                <c:pt idx="0">
                  <c:v>营业收入增长率 %</c:v>
                </c:pt>
              </c:strCache>
            </c:strRef>
          </c:tx>
          <c:spPr>
            <a:ln w="9525" cap="rnd">
              <a:solidFill>
                <a:schemeClr val="accent2"/>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市场初版!$M$53:$Q$53</c:f>
              <c:numCache>
                <c:formatCode>#,##0.00</c:formatCode>
                <c:ptCount val="5"/>
                <c:pt idx="0">
                  <c:v>13.9801</c:v>
                </c:pt>
                <c:pt idx="1">
                  <c:v>10.2782</c:v>
                </c:pt>
                <c:pt idx="2">
                  <c:v>14.8657</c:v>
                </c:pt>
                <c:pt idx="3">
                  <c:v>14.267899999999999</c:v>
                </c:pt>
                <c:pt idx="4">
                  <c:v>20.698499999999999</c:v>
                </c:pt>
              </c:numCache>
            </c:numRef>
          </c:val>
          <c:smooth val="0"/>
          <c:extLst>
            <c:ext xmlns:c16="http://schemas.microsoft.com/office/drawing/2014/chart" uri="{C3380CC4-5D6E-409C-BE32-E72D297353CC}">
              <c16:uniqueId val="{00000001-9BBB-457A-83E7-08F05B05CFC2}"/>
            </c:ext>
          </c:extLst>
        </c:ser>
        <c:dLbls>
          <c:showLegendKey val="0"/>
          <c:showVal val="0"/>
          <c:showCatName val="0"/>
          <c:showSerName val="0"/>
          <c:showPercent val="0"/>
          <c:showBubbleSize val="0"/>
        </c:dLbls>
        <c:marker val="1"/>
        <c:smooth val="0"/>
        <c:axId val="635590168"/>
        <c:axId val="635590824"/>
      </c:lineChart>
      <c:catAx>
        <c:axId val="63560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35600664"/>
        <c:crosses val="autoZero"/>
        <c:auto val="1"/>
        <c:lblAlgn val="ctr"/>
        <c:lblOffset val="100"/>
        <c:noMultiLvlLbl val="0"/>
      </c:catAx>
      <c:valAx>
        <c:axId val="635600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35600008"/>
        <c:crosses val="autoZero"/>
        <c:crossBetween val="between"/>
      </c:valAx>
      <c:valAx>
        <c:axId val="635590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35590168"/>
        <c:crosses val="max"/>
        <c:crossBetween val="between"/>
      </c:valAx>
      <c:catAx>
        <c:axId val="635590168"/>
        <c:scaling>
          <c:orientation val="minMax"/>
        </c:scaling>
        <c:delete val="1"/>
        <c:axPos val="b"/>
        <c:numFmt formatCode="General" sourceLinked="1"/>
        <c:majorTickMark val="out"/>
        <c:minorTickMark val="none"/>
        <c:tickLblPos val="nextTo"/>
        <c:crossAx val="635590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市场初版!$D$58</c:f>
              <c:strCache>
                <c:ptCount val="1"/>
                <c:pt idx="0">
                  <c:v>毛利率 %</c:v>
                </c:pt>
              </c:strCache>
            </c:strRef>
          </c:tx>
          <c:spPr>
            <a:ln w="9525" cap="rnd">
              <a:solidFill>
                <a:schemeClr val="accent1"/>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市场初版!$E$58:$I$58</c:f>
              <c:numCache>
                <c:formatCode>#,##0.00</c:formatCode>
                <c:ptCount val="5"/>
                <c:pt idx="0">
                  <c:v>39.077399999999997</c:v>
                </c:pt>
                <c:pt idx="1">
                  <c:v>38.3887</c:v>
                </c:pt>
                <c:pt idx="2">
                  <c:v>41.1449</c:v>
                </c:pt>
                <c:pt idx="3">
                  <c:v>48.451900000000002</c:v>
                </c:pt>
                <c:pt idx="4">
                  <c:v>48.461599999999997</c:v>
                </c:pt>
              </c:numCache>
            </c:numRef>
          </c:val>
          <c:smooth val="0"/>
          <c:extLst>
            <c:ext xmlns:c16="http://schemas.microsoft.com/office/drawing/2014/chart" uri="{C3380CC4-5D6E-409C-BE32-E72D297353CC}">
              <c16:uniqueId val="{00000000-0168-4099-8826-9C48866151DF}"/>
            </c:ext>
          </c:extLst>
        </c:ser>
        <c:ser>
          <c:idx val="1"/>
          <c:order val="1"/>
          <c:tx>
            <c:strRef>
              <c:f>市场初版!$D$63</c:f>
              <c:strCache>
                <c:ptCount val="1"/>
                <c:pt idx="0">
                  <c:v>净利率 %</c:v>
                </c:pt>
              </c:strCache>
            </c:strRef>
          </c:tx>
          <c:spPr>
            <a:ln w="9525" cap="rnd">
              <a:solidFill>
                <a:schemeClr val="accent2"/>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市场初版!$E$59:$I$59</c:f>
              <c:numCache>
                <c:formatCode>#,##0.00</c:formatCode>
                <c:ptCount val="5"/>
                <c:pt idx="0">
                  <c:v>14.086399999999999</c:v>
                </c:pt>
                <c:pt idx="1">
                  <c:v>12.043900000000001</c:v>
                </c:pt>
                <c:pt idx="2">
                  <c:v>14.630699999999999</c:v>
                </c:pt>
                <c:pt idx="3">
                  <c:v>12.301299999999999</c:v>
                </c:pt>
                <c:pt idx="4">
                  <c:v>16.041499999999999</c:v>
                </c:pt>
              </c:numCache>
            </c:numRef>
          </c:val>
          <c:smooth val="0"/>
          <c:extLst>
            <c:ext xmlns:c16="http://schemas.microsoft.com/office/drawing/2014/chart" uri="{C3380CC4-5D6E-409C-BE32-E72D297353CC}">
              <c16:uniqueId val="{00000001-0168-4099-8826-9C48866151DF}"/>
            </c:ext>
          </c:extLst>
        </c:ser>
        <c:dLbls>
          <c:showLegendKey val="0"/>
          <c:showVal val="0"/>
          <c:showCatName val="0"/>
          <c:showSerName val="0"/>
          <c:showPercent val="0"/>
          <c:showBubbleSize val="0"/>
        </c:dLbls>
        <c:smooth val="0"/>
        <c:axId val="812283568"/>
        <c:axId val="812277008"/>
      </c:lineChart>
      <c:catAx>
        <c:axId val="81228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12277008"/>
        <c:crosses val="autoZero"/>
        <c:auto val="1"/>
        <c:lblAlgn val="ctr"/>
        <c:lblOffset val="100"/>
        <c:noMultiLvlLbl val="0"/>
      </c:catAx>
      <c:valAx>
        <c:axId val="812277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1228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市场初版!$D$60</c:f>
              <c:strCache>
                <c:ptCount val="1"/>
                <c:pt idx="0">
                  <c:v>营业收入 （亿元）</c:v>
                </c:pt>
              </c:strCache>
            </c:strRef>
          </c:tx>
          <c:spPr>
            <a:solidFill>
              <a:schemeClr val="accent1"/>
            </a:solidFill>
            <a:ln>
              <a:noFill/>
            </a:ln>
            <a:effectLst/>
          </c:spPr>
          <c:invertIfNegative val="0"/>
          <c:val>
            <c:numRef>
              <c:f>市场初版!$E$60:$I$60</c:f>
              <c:numCache>
                <c:formatCode>General</c:formatCode>
                <c:ptCount val="5"/>
                <c:pt idx="0">
                  <c:v>45.89</c:v>
                </c:pt>
                <c:pt idx="1">
                  <c:v>83.04</c:v>
                </c:pt>
                <c:pt idx="2">
                  <c:v>124.09</c:v>
                </c:pt>
                <c:pt idx="3">
                  <c:v>194.38</c:v>
                </c:pt>
                <c:pt idx="4">
                  <c:v>246.04</c:v>
                </c:pt>
              </c:numCache>
            </c:numRef>
          </c:val>
          <c:extLst>
            <c:ext xmlns:c16="http://schemas.microsoft.com/office/drawing/2014/chart" uri="{C3380CC4-5D6E-409C-BE32-E72D297353CC}">
              <c16:uniqueId val="{00000000-3945-4519-A234-D444FAAF8FB6}"/>
            </c:ext>
          </c:extLst>
        </c:ser>
        <c:dLbls>
          <c:showLegendKey val="0"/>
          <c:showVal val="0"/>
          <c:showCatName val="0"/>
          <c:showSerName val="0"/>
          <c:showPercent val="0"/>
          <c:showBubbleSize val="0"/>
        </c:dLbls>
        <c:gapWidth val="219"/>
        <c:overlap val="-27"/>
        <c:axId val="741150800"/>
        <c:axId val="741147520"/>
      </c:barChart>
      <c:lineChart>
        <c:grouping val="standard"/>
        <c:varyColors val="0"/>
        <c:ser>
          <c:idx val="1"/>
          <c:order val="1"/>
          <c:tx>
            <c:strRef>
              <c:f>市场初版!$D$61</c:f>
              <c:strCache>
                <c:ptCount val="1"/>
                <c:pt idx="0">
                  <c:v>营业收入增长率</c:v>
                </c:pt>
              </c:strCache>
            </c:strRef>
          </c:tx>
          <c:spPr>
            <a:ln w="9525" cap="rnd">
              <a:solidFill>
                <a:schemeClr val="accent2"/>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市场初版!$E$61:$I$61</c:f>
              <c:numCache>
                <c:formatCode>General</c:formatCode>
                <c:ptCount val="5"/>
                <c:pt idx="0">
                  <c:v>21.48</c:v>
                </c:pt>
                <c:pt idx="1">
                  <c:v>19.77</c:v>
                </c:pt>
                <c:pt idx="2">
                  <c:v>25.46</c:v>
                </c:pt>
                <c:pt idx="3">
                  <c:v>26.91</c:v>
                </c:pt>
                <c:pt idx="4">
                  <c:v>23.41</c:v>
                </c:pt>
              </c:numCache>
            </c:numRef>
          </c:val>
          <c:smooth val="0"/>
          <c:extLst>
            <c:ext xmlns:c16="http://schemas.microsoft.com/office/drawing/2014/chart" uri="{C3380CC4-5D6E-409C-BE32-E72D297353CC}">
              <c16:uniqueId val="{00000001-3945-4519-A234-D444FAAF8FB6}"/>
            </c:ext>
          </c:extLst>
        </c:ser>
        <c:dLbls>
          <c:showLegendKey val="0"/>
          <c:showVal val="0"/>
          <c:showCatName val="0"/>
          <c:showSerName val="0"/>
          <c:showPercent val="0"/>
          <c:showBubbleSize val="0"/>
        </c:dLbls>
        <c:marker val="1"/>
        <c:smooth val="0"/>
        <c:axId val="741142928"/>
        <c:axId val="741146208"/>
      </c:lineChart>
      <c:catAx>
        <c:axId val="741150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1147520"/>
        <c:crosses val="autoZero"/>
        <c:auto val="1"/>
        <c:lblAlgn val="ctr"/>
        <c:lblOffset val="100"/>
        <c:noMultiLvlLbl val="0"/>
      </c:catAx>
      <c:valAx>
        <c:axId val="74114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1150800"/>
        <c:crosses val="autoZero"/>
        <c:crossBetween val="between"/>
      </c:valAx>
      <c:valAx>
        <c:axId val="74114620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1142928"/>
        <c:crosses val="max"/>
        <c:crossBetween val="between"/>
      </c:valAx>
      <c:catAx>
        <c:axId val="741142928"/>
        <c:scaling>
          <c:orientation val="minMax"/>
        </c:scaling>
        <c:delete val="1"/>
        <c:axPos val="b"/>
        <c:numFmt formatCode="General" sourceLinked="1"/>
        <c:majorTickMark val="out"/>
        <c:minorTickMark val="none"/>
        <c:tickLblPos val="nextTo"/>
        <c:crossAx val="7411462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市场初版!$M$80</c:f>
              <c:strCache>
                <c:ptCount val="1"/>
                <c:pt idx="0">
                  <c:v>体外诊断</c:v>
                </c:pt>
              </c:strCache>
            </c:strRef>
          </c:tx>
          <c:spPr>
            <a:ln w="9525" cap="rnd">
              <a:solidFill>
                <a:schemeClr val="accent1"/>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市场初版!$N$80:$R$80</c:f>
              <c:numCache>
                <c:formatCode>0.00%</c:formatCode>
                <c:ptCount val="5"/>
                <c:pt idx="0">
                  <c:v>0.55259999999999998</c:v>
                </c:pt>
                <c:pt idx="1">
                  <c:v>0.55530000000000002</c:v>
                </c:pt>
                <c:pt idx="2">
                  <c:v>0.57879999999999998</c:v>
                </c:pt>
                <c:pt idx="3">
                  <c:v>0.57689999999999997</c:v>
                </c:pt>
                <c:pt idx="4">
                  <c:v>0.5514</c:v>
                </c:pt>
              </c:numCache>
            </c:numRef>
          </c:val>
          <c:smooth val="0"/>
          <c:extLst>
            <c:ext xmlns:c16="http://schemas.microsoft.com/office/drawing/2014/chart" uri="{C3380CC4-5D6E-409C-BE32-E72D297353CC}">
              <c16:uniqueId val="{00000000-9EA2-486E-BC97-9AE07033CFD2}"/>
            </c:ext>
          </c:extLst>
        </c:ser>
        <c:ser>
          <c:idx val="1"/>
          <c:order val="1"/>
          <c:tx>
            <c:strRef>
              <c:f>市场初版!$M$81</c:f>
              <c:strCache>
                <c:ptCount val="1"/>
                <c:pt idx="0">
                  <c:v>医院基础设备</c:v>
                </c:pt>
              </c:strCache>
            </c:strRef>
          </c:tx>
          <c:spPr>
            <a:ln w="9525" cap="rnd">
              <a:solidFill>
                <a:schemeClr val="accent2"/>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市场初版!$N$81:$R$81</c:f>
              <c:numCache>
                <c:formatCode>0.00%</c:formatCode>
                <c:ptCount val="5"/>
                <c:pt idx="0">
                  <c:v>0.31190000000000001</c:v>
                </c:pt>
                <c:pt idx="1">
                  <c:v>0.29510000000000003</c:v>
                </c:pt>
                <c:pt idx="2">
                  <c:v>0.29600000000000004</c:v>
                </c:pt>
                <c:pt idx="3">
                  <c:v>0.28850000000000003</c:v>
                </c:pt>
                <c:pt idx="4">
                  <c:v>0.29160000000000003</c:v>
                </c:pt>
              </c:numCache>
            </c:numRef>
          </c:val>
          <c:smooth val="0"/>
          <c:extLst>
            <c:ext xmlns:c16="http://schemas.microsoft.com/office/drawing/2014/chart" uri="{C3380CC4-5D6E-409C-BE32-E72D297353CC}">
              <c16:uniqueId val="{00000001-9EA2-486E-BC97-9AE07033CFD2}"/>
            </c:ext>
          </c:extLst>
        </c:ser>
        <c:ser>
          <c:idx val="2"/>
          <c:order val="2"/>
          <c:tx>
            <c:strRef>
              <c:f>市场初版!$M$82</c:f>
              <c:strCache>
                <c:ptCount val="1"/>
                <c:pt idx="0">
                  <c:v>植入器械</c:v>
                </c:pt>
              </c:strCache>
            </c:strRef>
          </c:tx>
          <c:spPr>
            <a:ln w="9525" cap="rnd">
              <a:solidFill>
                <a:schemeClr val="accent3"/>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市场初版!$N$82:$R$82</c:f>
              <c:numCache>
                <c:formatCode>0.00%</c:formatCode>
                <c:ptCount val="5"/>
                <c:pt idx="0">
                  <c:v>0.625</c:v>
                </c:pt>
                <c:pt idx="1">
                  <c:v>0.54100000000000004</c:v>
                </c:pt>
                <c:pt idx="2">
                  <c:v>0.58499999999999996</c:v>
                </c:pt>
                <c:pt idx="3">
                  <c:v>0.67949999999999999</c:v>
                </c:pt>
                <c:pt idx="4">
                  <c:v>0.72489999999999999</c:v>
                </c:pt>
              </c:numCache>
            </c:numRef>
          </c:val>
          <c:smooth val="0"/>
          <c:extLst>
            <c:ext xmlns:c16="http://schemas.microsoft.com/office/drawing/2014/chart" uri="{C3380CC4-5D6E-409C-BE32-E72D297353CC}">
              <c16:uniqueId val="{00000002-9EA2-486E-BC97-9AE07033CFD2}"/>
            </c:ext>
          </c:extLst>
        </c:ser>
        <c:ser>
          <c:idx val="3"/>
          <c:order val="3"/>
          <c:tx>
            <c:strRef>
              <c:f>市场初版!$M$83</c:f>
              <c:strCache>
                <c:ptCount val="1"/>
                <c:pt idx="0">
                  <c:v>医用耗材</c:v>
                </c:pt>
              </c:strCache>
            </c:strRef>
          </c:tx>
          <c:spPr>
            <a:ln w="9525" cap="rnd">
              <a:solidFill>
                <a:schemeClr val="accent4"/>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市场初版!$N$83:$R$83</c:f>
              <c:numCache>
                <c:formatCode>0.00%</c:formatCode>
                <c:ptCount val="5"/>
                <c:pt idx="0">
                  <c:v>0.31</c:v>
                </c:pt>
                <c:pt idx="1">
                  <c:v>0.36009999999999998</c:v>
                </c:pt>
                <c:pt idx="2">
                  <c:v>0.39390000000000003</c:v>
                </c:pt>
                <c:pt idx="3">
                  <c:v>0.3972</c:v>
                </c:pt>
                <c:pt idx="4">
                  <c:v>0.41749999999999998</c:v>
                </c:pt>
              </c:numCache>
            </c:numRef>
          </c:val>
          <c:smooth val="0"/>
          <c:extLst>
            <c:ext xmlns:c16="http://schemas.microsoft.com/office/drawing/2014/chart" uri="{C3380CC4-5D6E-409C-BE32-E72D297353CC}">
              <c16:uniqueId val="{00000003-9EA2-486E-BC97-9AE07033CFD2}"/>
            </c:ext>
          </c:extLst>
        </c:ser>
        <c:ser>
          <c:idx val="4"/>
          <c:order val="4"/>
          <c:tx>
            <c:strRef>
              <c:f>市场初版!$M$84</c:f>
              <c:strCache>
                <c:ptCount val="1"/>
                <c:pt idx="0">
                  <c:v>家用医疗保健</c:v>
                </c:pt>
              </c:strCache>
            </c:strRef>
          </c:tx>
          <c:spPr>
            <a:ln w="9525" cap="rnd">
              <a:solidFill>
                <a:schemeClr val="accent5"/>
              </a:solidFill>
              <a:round/>
            </a:ln>
            <a:effectLst/>
          </c:spPr>
          <c:marker>
            <c:symbol val="none"/>
          </c:marker>
          <c:cat>
            <c:numRef>
              <c:f>市场初版!$M$1:$Q$1</c:f>
              <c:numCache>
                <c:formatCode>General</c:formatCode>
                <c:ptCount val="5"/>
                <c:pt idx="0">
                  <c:v>2014</c:v>
                </c:pt>
                <c:pt idx="1">
                  <c:v>2015</c:v>
                </c:pt>
                <c:pt idx="2">
                  <c:v>2016</c:v>
                </c:pt>
                <c:pt idx="3">
                  <c:v>2017</c:v>
                </c:pt>
                <c:pt idx="4">
                  <c:v>2018</c:v>
                </c:pt>
              </c:numCache>
            </c:numRef>
          </c:cat>
          <c:val>
            <c:numRef>
              <c:f>市场初版!$N$84:$R$84</c:f>
              <c:numCache>
                <c:formatCode>0.00%</c:formatCode>
                <c:ptCount val="5"/>
                <c:pt idx="0">
                  <c:v>0.36780000000000002</c:v>
                </c:pt>
                <c:pt idx="1">
                  <c:v>0.37170000000000003</c:v>
                </c:pt>
                <c:pt idx="2">
                  <c:v>0.37590000000000001</c:v>
                </c:pt>
                <c:pt idx="3">
                  <c:v>0.36709999999999998</c:v>
                </c:pt>
                <c:pt idx="4">
                  <c:v>0.35899999999999999</c:v>
                </c:pt>
              </c:numCache>
            </c:numRef>
          </c:val>
          <c:smooth val="0"/>
          <c:extLst>
            <c:ext xmlns:c16="http://schemas.microsoft.com/office/drawing/2014/chart" uri="{C3380CC4-5D6E-409C-BE32-E72D297353CC}">
              <c16:uniqueId val="{00000004-9EA2-486E-BC97-9AE07033CFD2}"/>
            </c:ext>
          </c:extLst>
        </c:ser>
        <c:dLbls>
          <c:showLegendKey val="0"/>
          <c:showVal val="0"/>
          <c:showCatName val="0"/>
          <c:showSerName val="0"/>
          <c:showPercent val="0"/>
          <c:showBubbleSize val="0"/>
        </c:dLbls>
        <c:smooth val="0"/>
        <c:axId val="806204800"/>
        <c:axId val="806203488"/>
      </c:lineChart>
      <c:catAx>
        <c:axId val="80620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06203488"/>
        <c:crosses val="autoZero"/>
        <c:auto val="1"/>
        <c:lblAlgn val="ctr"/>
        <c:lblOffset val="100"/>
        <c:noMultiLvlLbl val="0"/>
      </c:catAx>
      <c:valAx>
        <c:axId val="8062034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0620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Sheet5!$E$9</c:f>
              <c:strCache>
                <c:ptCount val="1"/>
                <c:pt idx="0">
                  <c:v>化学原料药</c:v>
                </c:pt>
              </c:strCache>
            </c:strRef>
          </c:tx>
          <c:spPr>
            <a:ln w="9525" cap="rnd">
              <a:solidFill>
                <a:schemeClr val="bg2">
                  <a:lumMod val="7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Sheet5!$F$7:$J$7</c:f>
              <c:numCache>
                <c:formatCode>General</c:formatCode>
                <c:ptCount val="5"/>
                <c:pt idx="0">
                  <c:v>2014</c:v>
                </c:pt>
                <c:pt idx="1">
                  <c:v>2015</c:v>
                </c:pt>
                <c:pt idx="2">
                  <c:v>2016</c:v>
                </c:pt>
                <c:pt idx="3">
                  <c:v>2017</c:v>
                </c:pt>
                <c:pt idx="4">
                  <c:v>2018</c:v>
                </c:pt>
              </c:numCache>
            </c:numRef>
          </c:cat>
          <c:val>
            <c:numRef>
              <c:f>Sheet5!$F$9:$J$9</c:f>
              <c:numCache>
                <c:formatCode>0.00_);[Red]\(0.00\)</c:formatCode>
                <c:ptCount val="5"/>
                <c:pt idx="0">
                  <c:v>30.327999999999999</c:v>
                </c:pt>
                <c:pt idx="1">
                  <c:v>31.330400000000001</c:v>
                </c:pt>
                <c:pt idx="2">
                  <c:v>34.261099999999999</c:v>
                </c:pt>
                <c:pt idx="3">
                  <c:v>33.520299999999999</c:v>
                </c:pt>
                <c:pt idx="4">
                  <c:v>38.649700000000003</c:v>
                </c:pt>
              </c:numCache>
            </c:numRef>
          </c:val>
          <c:smooth val="0"/>
          <c:extLst>
            <c:ext xmlns:c16="http://schemas.microsoft.com/office/drawing/2014/chart" uri="{C3380CC4-5D6E-409C-BE32-E72D297353CC}">
              <c16:uniqueId val="{00000000-6BB0-431D-9FA3-C06DBB53898B}"/>
            </c:ext>
          </c:extLst>
        </c:ser>
        <c:ser>
          <c:idx val="1"/>
          <c:order val="1"/>
          <c:tx>
            <c:strRef>
              <c:f>Sheet5!$E$10</c:f>
              <c:strCache>
                <c:ptCount val="1"/>
                <c:pt idx="0">
                  <c:v>制剂</c:v>
                </c:pt>
              </c:strCache>
            </c:strRef>
          </c:tx>
          <c:spPr>
            <a:ln w="9525" cap="rnd">
              <a:solidFill>
                <a:srgbClr val="FF0000"/>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Sheet5!$F$7:$J$7</c:f>
              <c:numCache>
                <c:formatCode>General</c:formatCode>
                <c:ptCount val="5"/>
                <c:pt idx="0">
                  <c:v>2014</c:v>
                </c:pt>
                <c:pt idx="1">
                  <c:v>2015</c:v>
                </c:pt>
                <c:pt idx="2">
                  <c:v>2016</c:v>
                </c:pt>
                <c:pt idx="3">
                  <c:v>2017</c:v>
                </c:pt>
                <c:pt idx="4">
                  <c:v>2018</c:v>
                </c:pt>
              </c:numCache>
            </c:numRef>
          </c:cat>
          <c:val>
            <c:numRef>
              <c:f>Sheet5!$F$10:$J$10</c:f>
              <c:numCache>
                <c:formatCode>0.00_);[Red]\(0.00\)</c:formatCode>
                <c:ptCount val="5"/>
                <c:pt idx="0">
                  <c:v>43.62</c:v>
                </c:pt>
                <c:pt idx="1">
                  <c:v>45.8</c:v>
                </c:pt>
                <c:pt idx="2">
                  <c:v>48.24</c:v>
                </c:pt>
                <c:pt idx="3">
                  <c:v>53.37</c:v>
                </c:pt>
                <c:pt idx="4">
                  <c:v>57.55</c:v>
                </c:pt>
              </c:numCache>
            </c:numRef>
          </c:val>
          <c:smooth val="0"/>
          <c:extLst>
            <c:ext xmlns:c16="http://schemas.microsoft.com/office/drawing/2014/chart" uri="{C3380CC4-5D6E-409C-BE32-E72D297353CC}">
              <c16:uniqueId val="{00000001-6BB0-431D-9FA3-C06DBB53898B}"/>
            </c:ext>
          </c:extLst>
        </c:ser>
        <c:dLbls>
          <c:dLblPos val="t"/>
          <c:showLegendKey val="0"/>
          <c:showVal val="1"/>
          <c:showCatName val="0"/>
          <c:showSerName val="0"/>
          <c:showPercent val="0"/>
          <c:showBubbleSize val="0"/>
        </c:dLbls>
        <c:smooth val="0"/>
        <c:axId val="735832656"/>
        <c:axId val="735834296"/>
      </c:lineChart>
      <c:catAx>
        <c:axId val="735832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5834296"/>
        <c:crosses val="autoZero"/>
        <c:auto val="1"/>
        <c:lblAlgn val="ctr"/>
        <c:lblOffset val="100"/>
        <c:noMultiLvlLbl val="0"/>
      </c:catAx>
      <c:valAx>
        <c:axId val="735834296"/>
        <c:scaling>
          <c:orientation val="minMax"/>
        </c:scaling>
        <c:delete val="0"/>
        <c:axPos val="l"/>
        <c:majorGridlines>
          <c:spPr>
            <a:ln w="9525" cap="flat" cmpd="sng" algn="ctr">
              <a:no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5832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市场初版!$M$87</c:f>
              <c:strCache>
                <c:ptCount val="1"/>
                <c:pt idx="0">
                  <c:v>体外诊断</c:v>
                </c:pt>
              </c:strCache>
            </c:strRef>
          </c:tx>
          <c:spPr>
            <a:solidFill>
              <a:schemeClr val="accent1"/>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市场初版!$N$87:$R$87</c:f>
              <c:numCache>
                <c:formatCode>General</c:formatCode>
                <c:ptCount val="5"/>
                <c:pt idx="0">
                  <c:v>45.89</c:v>
                </c:pt>
                <c:pt idx="1">
                  <c:v>83.04</c:v>
                </c:pt>
                <c:pt idx="2">
                  <c:v>124.09</c:v>
                </c:pt>
                <c:pt idx="3">
                  <c:v>194.38</c:v>
                </c:pt>
                <c:pt idx="4">
                  <c:v>246.04</c:v>
                </c:pt>
              </c:numCache>
            </c:numRef>
          </c:val>
          <c:extLst>
            <c:ext xmlns:c16="http://schemas.microsoft.com/office/drawing/2014/chart" uri="{C3380CC4-5D6E-409C-BE32-E72D297353CC}">
              <c16:uniqueId val="{00000000-AF59-4F17-B51B-392BEE9E75CD}"/>
            </c:ext>
          </c:extLst>
        </c:ser>
        <c:ser>
          <c:idx val="1"/>
          <c:order val="1"/>
          <c:tx>
            <c:strRef>
              <c:f>市场初版!$M$88</c:f>
              <c:strCache>
                <c:ptCount val="1"/>
                <c:pt idx="0">
                  <c:v>医院基础设备</c:v>
                </c:pt>
              </c:strCache>
            </c:strRef>
          </c:tx>
          <c:spPr>
            <a:solidFill>
              <a:schemeClr val="accent2"/>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市场初版!$N$88:$R$88</c:f>
              <c:numCache>
                <c:formatCode>General</c:formatCode>
                <c:ptCount val="5"/>
                <c:pt idx="0">
                  <c:v>91.52</c:v>
                </c:pt>
                <c:pt idx="1">
                  <c:v>111.45</c:v>
                </c:pt>
                <c:pt idx="2">
                  <c:v>142.13</c:v>
                </c:pt>
                <c:pt idx="3">
                  <c:v>162.82</c:v>
                </c:pt>
                <c:pt idx="4">
                  <c:v>163.1</c:v>
                </c:pt>
              </c:numCache>
            </c:numRef>
          </c:val>
          <c:extLst>
            <c:ext xmlns:c16="http://schemas.microsoft.com/office/drawing/2014/chart" uri="{C3380CC4-5D6E-409C-BE32-E72D297353CC}">
              <c16:uniqueId val="{00000001-AF59-4F17-B51B-392BEE9E75CD}"/>
            </c:ext>
          </c:extLst>
        </c:ser>
        <c:ser>
          <c:idx val="2"/>
          <c:order val="2"/>
          <c:tx>
            <c:strRef>
              <c:f>市场初版!$M$89</c:f>
              <c:strCache>
                <c:ptCount val="1"/>
                <c:pt idx="0">
                  <c:v>家用医疗保健</c:v>
                </c:pt>
              </c:strCache>
            </c:strRef>
          </c:tx>
          <c:spPr>
            <a:solidFill>
              <a:schemeClr val="accent3"/>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市场初版!$N$89:$R$89</c:f>
              <c:numCache>
                <c:formatCode>General</c:formatCode>
                <c:ptCount val="5"/>
                <c:pt idx="0">
                  <c:v>57.25</c:v>
                </c:pt>
                <c:pt idx="1">
                  <c:v>63.12</c:v>
                </c:pt>
                <c:pt idx="2">
                  <c:v>89.97</c:v>
                </c:pt>
                <c:pt idx="3">
                  <c:v>140.97</c:v>
                </c:pt>
                <c:pt idx="4">
                  <c:v>161.18</c:v>
                </c:pt>
              </c:numCache>
            </c:numRef>
          </c:val>
          <c:extLst>
            <c:ext xmlns:c16="http://schemas.microsoft.com/office/drawing/2014/chart" uri="{C3380CC4-5D6E-409C-BE32-E72D297353CC}">
              <c16:uniqueId val="{00000002-AF59-4F17-B51B-392BEE9E75CD}"/>
            </c:ext>
          </c:extLst>
        </c:ser>
        <c:ser>
          <c:idx val="3"/>
          <c:order val="3"/>
          <c:tx>
            <c:strRef>
              <c:f>市场初版!$M$90</c:f>
              <c:strCache>
                <c:ptCount val="1"/>
                <c:pt idx="0">
                  <c:v>植入器械</c:v>
                </c:pt>
              </c:strCache>
            </c:strRef>
          </c:tx>
          <c:spPr>
            <a:solidFill>
              <a:schemeClr val="accent4"/>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市场初版!$N$90:$R$90</c:f>
              <c:numCache>
                <c:formatCode>General</c:formatCode>
                <c:ptCount val="5"/>
                <c:pt idx="0">
                  <c:v>17.18</c:v>
                </c:pt>
                <c:pt idx="1">
                  <c:v>30.11</c:v>
                </c:pt>
                <c:pt idx="2">
                  <c:v>40.4</c:v>
                </c:pt>
                <c:pt idx="3">
                  <c:v>59.45</c:v>
                </c:pt>
                <c:pt idx="4">
                  <c:v>78.819999999999993</c:v>
                </c:pt>
              </c:numCache>
            </c:numRef>
          </c:val>
          <c:extLst>
            <c:ext xmlns:c16="http://schemas.microsoft.com/office/drawing/2014/chart" uri="{C3380CC4-5D6E-409C-BE32-E72D297353CC}">
              <c16:uniqueId val="{00000003-AF59-4F17-B51B-392BEE9E75CD}"/>
            </c:ext>
          </c:extLst>
        </c:ser>
        <c:ser>
          <c:idx val="4"/>
          <c:order val="4"/>
          <c:tx>
            <c:strRef>
              <c:f>市场初版!$M$91</c:f>
              <c:strCache>
                <c:ptCount val="1"/>
                <c:pt idx="0">
                  <c:v>医用耗材</c:v>
                </c:pt>
              </c:strCache>
            </c:strRef>
          </c:tx>
          <c:spPr>
            <a:solidFill>
              <a:schemeClr val="accent5"/>
            </a:solidFill>
            <a:ln>
              <a:noFill/>
            </a:ln>
            <a:effectLst/>
          </c:spPr>
          <c:invertIfNegative val="0"/>
          <c:cat>
            <c:numRef>
              <c:f>市场初版!$M$1:$Q$1</c:f>
              <c:numCache>
                <c:formatCode>General</c:formatCode>
                <c:ptCount val="5"/>
                <c:pt idx="0">
                  <c:v>2014</c:v>
                </c:pt>
                <c:pt idx="1">
                  <c:v>2015</c:v>
                </c:pt>
                <c:pt idx="2">
                  <c:v>2016</c:v>
                </c:pt>
                <c:pt idx="3">
                  <c:v>2017</c:v>
                </c:pt>
                <c:pt idx="4">
                  <c:v>2018</c:v>
                </c:pt>
              </c:numCache>
            </c:numRef>
          </c:cat>
          <c:val>
            <c:numRef>
              <c:f>市场初版!$N$91:$R$91</c:f>
              <c:numCache>
                <c:formatCode>General</c:formatCode>
                <c:ptCount val="5"/>
                <c:pt idx="0">
                  <c:v>60.06</c:v>
                </c:pt>
                <c:pt idx="1">
                  <c:v>69.11</c:v>
                </c:pt>
                <c:pt idx="2">
                  <c:v>88.47</c:v>
                </c:pt>
                <c:pt idx="3">
                  <c:v>112.62</c:v>
                </c:pt>
                <c:pt idx="4">
                  <c:v>140.79</c:v>
                </c:pt>
              </c:numCache>
            </c:numRef>
          </c:val>
          <c:extLst>
            <c:ext xmlns:c16="http://schemas.microsoft.com/office/drawing/2014/chart" uri="{C3380CC4-5D6E-409C-BE32-E72D297353CC}">
              <c16:uniqueId val="{00000004-AF59-4F17-B51B-392BEE9E75CD}"/>
            </c:ext>
          </c:extLst>
        </c:ser>
        <c:dLbls>
          <c:showLegendKey val="0"/>
          <c:showVal val="0"/>
          <c:showCatName val="0"/>
          <c:showSerName val="0"/>
          <c:showPercent val="0"/>
          <c:showBubbleSize val="0"/>
        </c:dLbls>
        <c:gapWidth val="219"/>
        <c:overlap val="-27"/>
        <c:axId val="740773968"/>
        <c:axId val="740775936"/>
      </c:barChart>
      <c:catAx>
        <c:axId val="74077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0775936"/>
        <c:crosses val="autoZero"/>
        <c:auto val="1"/>
        <c:lblAlgn val="ctr"/>
        <c:lblOffset val="100"/>
        <c:noMultiLvlLbl val="0"/>
      </c:catAx>
      <c:valAx>
        <c:axId val="74077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077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39-4647-BEE5-5F1C962187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39-4647-BEE5-5F1C962187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39-4647-BEE5-5F1C962187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239-4647-BEE5-5F1C962187D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239-4647-BEE5-5F1C962187D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239-4647-BEE5-5F1C962187D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239-4647-BEE5-5F1C962187D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239-4647-BEE5-5F1C962187D5}"/>
              </c:ext>
            </c:extLst>
          </c:dPt>
          <c:dLbls>
            <c:spPr>
              <a:noFill/>
              <a:ln>
                <a:noFill/>
              </a:ln>
              <a:effectLst/>
            </c:spPr>
            <c:txPr>
              <a:bodyPr rot="0" spcFirstLastPara="1" vertOverflow="ellipsis" vert="horz" wrap="square" anchor="ctr" anchorCtr="1"/>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细分市场龙头企业!$E$99:$E$106</c:f>
              <c:strCache>
                <c:ptCount val="8"/>
                <c:pt idx="0">
                  <c:v>美康生物</c:v>
                </c:pt>
                <c:pt idx="1">
                  <c:v>迈克生物</c:v>
                </c:pt>
                <c:pt idx="2">
                  <c:v>华大基因</c:v>
                </c:pt>
                <c:pt idx="3">
                  <c:v>安图生物</c:v>
                </c:pt>
                <c:pt idx="4">
                  <c:v>科华生物</c:v>
                </c:pt>
                <c:pt idx="5">
                  <c:v>万孚生物</c:v>
                </c:pt>
                <c:pt idx="6">
                  <c:v>贝瑞基因</c:v>
                </c:pt>
                <c:pt idx="7">
                  <c:v>达安基因</c:v>
                </c:pt>
              </c:strCache>
            </c:strRef>
          </c:cat>
          <c:val>
            <c:numRef>
              <c:f>细分市场龙头企业!$H$99:$H$106</c:f>
              <c:numCache>
                <c:formatCode>0.00%</c:formatCode>
                <c:ptCount val="8"/>
                <c:pt idx="0">
                  <c:v>0.12603581389708557</c:v>
                </c:pt>
                <c:pt idx="1">
                  <c:v>0.10756295727393993</c:v>
                </c:pt>
                <c:pt idx="2">
                  <c:v>0.10222725251626985</c:v>
                </c:pt>
                <c:pt idx="3">
                  <c:v>7.704434294029669E-2</c:v>
                </c:pt>
                <c:pt idx="4">
                  <c:v>7.9954727353571287E-2</c:v>
                </c:pt>
                <c:pt idx="5">
                  <c:v>6.6332511419216617E-2</c:v>
                </c:pt>
                <c:pt idx="6">
                  <c:v>5.7843890213832412E-2</c:v>
                </c:pt>
                <c:pt idx="7">
                  <c:v>5.94607704434294E-2</c:v>
                </c:pt>
              </c:numCache>
            </c:numRef>
          </c:val>
          <c:extLst>
            <c:ext xmlns:c16="http://schemas.microsoft.com/office/drawing/2014/chart" uri="{C3380CC4-5D6E-409C-BE32-E72D297353CC}">
              <c16:uniqueId val="{00000010-A239-4647-BEE5-5F1C962187D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市场初版!$D$82</c:f>
              <c:strCache>
                <c:ptCount val="1"/>
                <c:pt idx="0">
                  <c:v>毛利率 %</c:v>
                </c:pt>
              </c:strCache>
            </c:strRef>
          </c:tx>
          <c:spPr>
            <a:ln w="9525" cap="rnd">
              <a:solidFill>
                <a:schemeClr val="accent1"/>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市场初版!$E$82:$I$82</c:f>
              <c:numCache>
                <c:formatCode>0.00</c:formatCode>
                <c:ptCount val="5"/>
                <c:pt idx="0">
                  <c:v>31.1188</c:v>
                </c:pt>
                <c:pt idx="1">
                  <c:v>31.925000000000001</c:v>
                </c:pt>
                <c:pt idx="2">
                  <c:v>35.642200000000003</c:v>
                </c:pt>
                <c:pt idx="3">
                  <c:v>38.758299999999998</c:v>
                </c:pt>
                <c:pt idx="4">
                  <c:v>37.122500000000002</c:v>
                </c:pt>
              </c:numCache>
            </c:numRef>
          </c:val>
          <c:smooth val="0"/>
          <c:extLst>
            <c:ext xmlns:c16="http://schemas.microsoft.com/office/drawing/2014/chart" uri="{C3380CC4-5D6E-409C-BE32-E72D297353CC}">
              <c16:uniqueId val="{00000000-9754-4086-B253-350CAE94F80E}"/>
            </c:ext>
          </c:extLst>
        </c:ser>
        <c:ser>
          <c:idx val="1"/>
          <c:order val="1"/>
          <c:tx>
            <c:strRef>
              <c:f>市场初版!$D$83</c:f>
              <c:strCache>
                <c:ptCount val="1"/>
                <c:pt idx="0">
                  <c:v>净利率 %</c:v>
                </c:pt>
              </c:strCache>
            </c:strRef>
          </c:tx>
          <c:spPr>
            <a:ln w="9525" cap="rnd">
              <a:solidFill>
                <a:schemeClr val="accent2"/>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市场初版!$E$83:$I$83</c:f>
              <c:numCache>
                <c:formatCode>0.00</c:formatCode>
                <c:ptCount val="5"/>
                <c:pt idx="0">
                  <c:v>12.3826</c:v>
                </c:pt>
                <c:pt idx="1">
                  <c:v>8.5949000000000009</c:v>
                </c:pt>
                <c:pt idx="2">
                  <c:v>14.4285</c:v>
                </c:pt>
                <c:pt idx="3">
                  <c:v>6.4408000000000003</c:v>
                </c:pt>
                <c:pt idx="4">
                  <c:v>8.2881999999999998</c:v>
                </c:pt>
              </c:numCache>
            </c:numRef>
          </c:val>
          <c:smooth val="0"/>
          <c:extLst>
            <c:ext xmlns:c16="http://schemas.microsoft.com/office/drawing/2014/chart" uri="{C3380CC4-5D6E-409C-BE32-E72D297353CC}">
              <c16:uniqueId val="{00000001-9754-4086-B253-350CAE94F80E}"/>
            </c:ext>
          </c:extLst>
        </c:ser>
        <c:dLbls>
          <c:showLegendKey val="0"/>
          <c:showVal val="0"/>
          <c:showCatName val="0"/>
          <c:showSerName val="0"/>
          <c:showPercent val="0"/>
          <c:showBubbleSize val="0"/>
        </c:dLbls>
        <c:smooth val="0"/>
        <c:axId val="743171792"/>
        <c:axId val="743170480"/>
      </c:lineChart>
      <c:catAx>
        <c:axId val="74317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3170480"/>
        <c:crosses val="autoZero"/>
        <c:auto val="1"/>
        <c:lblAlgn val="ctr"/>
        <c:lblOffset val="100"/>
        <c:noMultiLvlLbl val="0"/>
      </c:catAx>
      <c:valAx>
        <c:axId val="7431704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3171792"/>
        <c:crosses val="autoZero"/>
        <c:crossBetween val="between"/>
      </c:valAx>
      <c:spPr>
        <a:noFill/>
        <a:ln>
          <a:noFill/>
        </a:ln>
        <a:effectLst/>
      </c:spPr>
    </c:plotArea>
    <c:legend>
      <c:legendPos val="b"/>
      <c:layout>
        <c:manualLayout>
          <c:xMode val="edge"/>
          <c:yMode val="edge"/>
          <c:x val="0.2307658242863114"/>
          <c:y val="0.83304070686816312"/>
          <c:w val="0.53846789954698993"/>
          <c:h val="0.1048474918896007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市场初版!$D$80</c:f>
              <c:strCache>
                <c:ptCount val="1"/>
                <c:pt idx="0">
                  <c:v>营业收入 （亿元）</c:v>
                </c:pt>
              </c:strCache>
            </c:strRef>
          </c:tx>
          <c:spPr>
            <a:solidFill>
              <a:schemeClr val="accent1"/>
            </a:solidFill>
            <a:ln>
              <a:noFill/>
            </a:ln>
            <a:effectLst/>
          </c:spPr>
          <c:invertIfNegative val="0"/>
          <c:cat>
            <c:numRef>
              <c:f>市场初版!$E$1:$I$1</c:f>
              <c:numCache>
                <c:formatCode>General</c:formatCode>
                <c:ptCount val="5"/>
                <c:pt idx="0">
                  <c:v>2014</c:v>
                </c:pt>
                <c:pt idx="1">
                  <c:v>2015</c:v>
                </c:pt>
                <c:pt idx="2">
                  <c:v>2016</c:v>
                </c:pt>
                <c:pt idx="3">
                  <c:v>2017</c:v>
                </c:pt>
                <c:pt idx="4">
                  <c:v>2018</c:v>
                </c:pt>
              </c:numCache>
            </c:numRef>
          </c:cat>
          <c:val>
            <c:numRef>
              <c:f>市场初版!$E$80:$I$80</c:f>
              <c:numCache>
                <c:formatCode>0.00</c:formatCode>
                <c:ptCount val="5"/>
                <c:pt idx="0">
                  <c:v>108.7928</c:v>
                </c:pt>
                <c:pt idx="1">
                  <c:v>170.8124</c:v>
                </c:pt>
                <c:pt idx="2">
                  <c:v>341.6277</c:v>
                </c:pt>
                <c:pt idx="3">
                  <c:v>348.85840000000002</c:v>
                </c:pt>
                <c:pt idx="4">
                  <c:v>493.78199999999998</c:v>
                </c:pt>
              </c:numCache>
            </c:numRef>
          </c:val>
          <c:extLst>
            <c:ext xmlns:c16="http://schemas.microsoft.com/office/drawing/2014/chart" uri="{C3380CC4-5D6E-409C-BE32-E72D297353CC}">
              <c16:uniqueId val="{00000000-F9B6-46B5-A137-0880B739D604}"/>
            </c:ext>
          </c:extLst>
        </c:ser>
        <c:dLbls>
          <c:showLegendKey val="0"/>
          <c:showVal val="0"/>
          <c:showCatName val="0"/>
          <c:showSerName val="0"/>
          <c:showPercent val="0"/>
          <c:showBubbleSize val="0"/>
        </c:dLbls>
        <c:gapWidth val="219"/>
        <c:overlap val="-27"/>
        <c:axId val="739532688"/>
        <c:axId val="739525472"/>
      </c:barChart>
      <c:lineChart>
        <c:grouping val="standard"/>
        <c:varyColors val="0"/>
        <c:ser>
          <c:idx val="1"/>
          <c:order val="1"/>
          <c:tx>
            <c:strRef>
              <c:f>市场初版!$D$81</c:f>
              <c:strCache>
                <c:ptCount val="1"/>
                <c:pt idx="0">
                  <c:v>营业收入增长率</c:v>
                </c:pt>
              </c:strCache>
            </c:strRef>
          </c:tx>
          <c:spPr>
            <a:ln w="9525" cap="rnd">
              <a:solidFill>
                <a:schemeClr val="accent2"/>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市场初版!$E$81:$I$81</c:f>
              <c:numCache>
                <c:formatCode>0.00</c:formatCode>
                <c:ptCount val="5"/>
                <c:pt idx="0">
                  <c:v>44.289400000000001</c:v>
                </c:pt>
                <c:pt idx="1">
                  <c:v>37.956000000000003</c:v>
                </c:pt>
                <c:pt idx="2">
                  <c:v>42.237900000000003</c:v>
                </c:pt>
                <c:pt idx="3">
                  <c:v>38.032600000000002</c:v>
                </c:pt>
                <c:pt idx="4">
                  <c:v>26.836400000000001</c:v>
                </c:pt>
              </c:numCache>
            </c:numRef>
          </c:val>
          <c:smooth val="0"/>
          <c:extLst>
            <c:ext xmlns:c16="http://schemas.microsoft.com/office/drawing/2014/chart" uri="{C3380CC4-5D6E-409C-BE32-E72D297353CC}">
              <c16:uniqueId val="{00000001-F9B6-46B5-A137-0880B739D604}"/>
            </c:ext>
          </c:extLst>
        </c:ser>
        <c:dLbls>
          <c:showLegendKey val="0"/>
          <c:showVal val="0"/>
          <c:showCatName val="0"/>
          <c:showSerName val="0"/>
          <c:showPercent val="0"/>
          <c:showBubbleSize val="0"/>
        </c:dLbls>
        <c:marker val="1"/>
        <c:smooth val="0"/>
        <c:axId val="739521536"/>
        <c:axId val="739519896"/>
      </c:lineChart>
      <c:catAx>
        <c:axId val="739532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9525472"/>
        <c:crosses val="autoZero"/>
        <c:auto val="1"/>
        <c:lblAlgn val="ctr"/>
        <c:lblOffset val="100"/>
        <c:noMultiLvlLbl val="0"/>
      </c:catAx>
      <c:valAx>
        <c:axId val="7395254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9532688"/>
        <c:crosses val="autoZero"/>
        <c:crossBetween val="between"/>
      </c:valAx>
      <c:valAx>
        <c:axId val="73951989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9521536"/>
        <c:crosses val="max"/>
        <c:crossBetween val="between"/>
      </c:valAx>
      <c:catAx>
        <c:axId val="739521536"/>
        <c:scaling>
          <c:orientation val="minMax"/>
        </c:scaling>
        <c:delete val="1"/>
        <c:axPos val="b"/>
        <c:numFmt formatCode="General" sourceLinked="1"/>
        <c:majorTickMark val="out"/>
        <c:minorTickMark val="none"/>
        <c:tickLblPos val="nextTo"/>
        <c:crossAx val="7395198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CF-4DE7-9FD6-572FB7D509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CF-4DE7-9FD6-572FB7D509A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CF-4DE7-9FD6-572FB7D509A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CF-4DE7-9FD6-572FB7D509A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CF-4DE7-9FD6-572FB7D509A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FCF-4DE7-9FD6-572FB7D509AA}"/>
              </c:ext>
            </c:extLst>
          </c:dPt>
          <c:dLbls>
            <c:spPr>
              <a:noFill/>
              <a:ln>
                <a:noFill/>
              </a:ln>
              <a:effectLst/>
            </c:spPr>
            <c:txPr>
              <a:bodyPr rot="0" spcFirstLastPara="1" vertOverflow="ellipsis" vert="horz" wrap="square" anchor="ctr" anchorCtr="1"/>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细分市场龙头企业!$E$129:$E$134</c:f>
              <c:strCache>
                <c:ptCount val="6"/>
                <c:pt idx="0">
                  <c:v>药明康德</c:v>
                </c:pt>
                <c:pt idx="1">
                  <c:v>康龙化成</c:v>
                </c:pt>
                <c:pt idx="2">
                  <c:v>泰格医药</c:v>
                </c:pt>
                <c:pt idx="3">
                  <c:v>量子生物</c:v>
                </c:pt>
                <c:pt idx="4">
                  <c:v>亚太药业</c:v>
                </c:pt>
                <c:pt idx="5">
                  <c:v>其他</c:v>
                </c:pt>
              </c:strCache>
            </c:strRef>
          </c:cat>
          <c:val>
            <c:numRef>
              <c:f>细分市场龙头企业!$H$129:$H$134</c:f>
              <c:numCache>
                <c:formatCode>0.00%</c:formatCode>
                <c:ptCount val="6"/>
                <c:pt idx="0">
                  <c:v>0.49401366836236582</c:v>
                </c:pt>
                <c:pt idx="1">
                  <c:v>0.14947844406762242</c:v>
                </c:pt>
                <c:pt idx="2">
                  <c:v>0.11772262473665281</c:v>
                </c:pt>
                <c:pt idx="3">
                  <c:v>5.0870972714660095E-2</c:v>
                </c:pt>
                <c:pt idx="4">
                  <c:v>6.6748882380144911E-2</c:v>
                </c:pt>
                <c:pt idx="5">
                  <c:v>0.12116540773855389</c:v>
                </c:pt>
              </c:numCache>
            </c:numRef>
          </c:val>
          <c:extLst>
            <c:ext xmlns:c16="http://schemas.microsoft.com/office/drawing/2014/chart" uri="{C3380CC4-5D6E-409C-BE32-E72D297353CC}">
              <c16:uniqueId val="{0000000C-0FCF-4DE7-9FD6-572FB7D509AA}"/>
            </c:ext>
          </c:extLst>
        </c:ser>
        <c:dLbls>
          <c:showLegendKey val="0"/>
          <c:showVal val="1"/>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市场初版!$D$14</c:f>
              <c:strCache>
                <c:ptCount val="1"/>
                <c:pt idx="0">
                  <c:v>毛利率 %</c:v>
                </c:pt>
              </c:strCache>
            </c:strRef>
          </c:tx>
          <c:spPr>
            <a:ln w="9525" cap="rnd">
              <a:solidFill>
                <a:schemeClr val="accent1"/>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市场初版!$E$14:$I$14</c:f>
              <c:numCache>
                <c:formatCode>#,##0.00</c:formatCode>
                <c:ptCount val="5"/>
                <c:pt idx="0">
                  <c:v>30.327999999999999</c:v>
                </c:pt>
                <c:pt idx="1">
                  <c:v>31.330400000000001</c:v>
                </c:pt>
                <c:pt idx="2">
                  <c:v>34.261099999999999</c:v>
                </c:pt>
                <c:pt idx="3">
                  <c:v>33.520299999999999</c:v>
                </c:pt>
                <c:pt idx="4">
                  <c:v>38.649700000000003</c:v>
                </c:pt>
              </c:numCache>
            </c:numRef>
          </c:val>
          <c:smooth val="0"/>
          <c:extLst>
            <c:ext xmlns:c16="http://schemas.microsoft.com/office/drawing/2014/chart" uri="{C3380CC4-5D6E-409C-BE32-E72D297353CC}">
              <c16:uniqueId val="{00000000-6102-46C3-BD20-C5601FEC2595}"/>
            </c:ext>
          </c:extLst>
        </c:ser>
        <c:ser>
          <c:idx val="1"/>
          <c:order val="1"/>
          <c:tx>
            <c:strRef>
              <c:f>市场初版!$D$15</c:f>
              <c:strCache>
                <c:ptCount val="1"/>
                <c:pt idx="0">
                  <c:v>净利率 %</c:v>
                </c:pt>
              </c:strCache>
            </c:strRef>
          </c:tx>
          <c:spPr>
            <a:ln w="9525" cap="rnd">
              <a:solidFill>
                <a:schemeClr val="accent2"/>
              </a:solidFill>
              <a:round/>
            </a:ln>
            <a:effectLst/>
          </c:spPr>
          <c:marker>
            <c:symbol val="none"/>
          </c:marker>
          <c:cat>
            <c:numRef>
              <c:f>市场初版!$E$1:$I$1</c:f>
              <c:numCache>
                <c:formatCode>General</c:formatCode>
                <c:ptCount val="5"/>
                <c:pt idx="0">
                  <c:v>2014</c:v>
                </c:pt>
                <c:pt idx="1">
                  <c:v>2015</c:v>
                </c:pt>
                <c:pt idx="2">
                  <c:v>2016</c:v>
                </c:pt>
                <c:pt idx="3">
                  <c:v>2017</c:v>
                </c:pt>
                <c:pt idx="4">
                  <c:v>2018</c:v>
                </c:pt>
              </c:numCache>
            </c:numRef>
          </c:cat>
          <c:val>
            <c:numRef>
              <c:f>市场初版!$E$15:$I$15</c:f>
              <c:numCache>
                <c:formatCode>#,##0.00</c:formatCode>
                <c:ptCount val="5"/>
                <c:pt idx="0">
                  <c:v>6.4565999999999999</c:v>
                </c:pt>
                <c:pt idx="1">
                  <c:v>7.452</c:v>
                </c:pt>
                <c:pt idx="2">
                  <c:v>9.3884000000000007</c:v>
                </c:pt>
                <c:pt idx="3">
                  <c:v>9.5358000000000001</c:v>
                </c:pt>
                <c:pt idx="4">
                  <c:v>7.8975999999999997</c:v>
                </c:pt>
              </c:numCache>
            </c:numRef>
          </c:val>
          <c:smooth val="0"/>
          <c:extLst>
            <c:ext xmlns:c16="http://schemas.microsoft.com/office/drawing/2014/chart" uri="{C3380CC4-5D6E-409C-BE32-E72D297353CC}">
              <c16:uniqueId val="{00000001-6102-46C3-BD20-C5601FEC2595}"/>
            </c:ext>
          </c:extLst>
        </c:ser>
        <c:dLbls>
          <c:showLegendKey val="0"/>
          <c:showVal val="0"/>
          <c:showCatName val="0"/>
          <c:showSerName val="0"/>
          <c:showPercent val="0"/>
          <c:showBubbleSize val="0"/>
        </c:dLbls>
        <c:smooth val="0"/>
        <c:axId val="807143456"/>
        <c:axId val="807134272"/>
      </c:lineChart>
      <c:catAx>
        <c:axId val="80714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07134272"/>
        <c:crosses val="autoZero"/>
        <c:auto val="1"/>
        <c:lblAlgn val="ctr"/>
        <c:lblOffset val="100"/>
        <c:noMultiLvlLbl val="0"/>
      </c:catAx>
      <c:valAx>
        <c:axId val="807134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80714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Sheet5!$AB$46</c:f>
              <c:strCache>
                <c:ptCount val="1"/>
                <c:pt idx="0">
                  <c:v>收入</c:v>
                </c:pt>
              </c:strCache>
            </c:strRef>
          </c:tx>
          <c:spPr>
            <a:solidFill>
              <a:srgbClr val="FF0000"/>
            </a:solidFill>
            <a:ln>
              <a:noFill/>
            </a:ln>
            <a:effectLst/>
          </c:spPr>
          <c:invertIfNegative val="0"/>
          <c:cat>
            <c:numRef>
              <c:f>Sheet5!$AC$45:$AG$45</c:f>
              <c:numCache>
                <c:formatCode>General</c:formatCode>
                <c:ptCount val="5"/>
                <c:pt idx="0">
                  <c:v>2014</c:v>
                </c:pt>
                <c:pt idx="1">
                  <c:v>2015</c:v>
                </c:pt>
                <c:pt idx="2">
                  <c:v>2016</c:v>
                </c:pt>
                <c:pt idx="3">
                  <c:v>2017</c:v>
                </c:pt>
                <c:pt idx="4">
                  <c:v>2018</c:v>
                </c:pt>
              </c:numCache>
            </c:numRef>
          </c:cat>
          <c:val>
            <c:numRef>
              <c:f>Sheet5!$AC$46:$AG$46</c:f>
              <c:numCache>
                <c:formatCode>0.00_);[Red]\(0.00\)</c:formatCode>
                <c:ptCount val="5"/>
                <c:pt idx="0">
                  <c:v>452.85950000000003</c:v>
                </c:pt>
                <c:pt idx="1">
                  <c:v>692.62329999999997</c:v>
                </c:pt>
                <c:pt idx="2">
                  <c:v>787.66480000000001</c:v>
                </c:pt>
                <c:pt idx="3">
                  <c:v>974.5471</c:v>
                </c:pt>
                <c:pt idx="4">
                  <c:v>1085.3508999999999</c:v>
                </c:pt>
              </c:numCache>
            </c:numRef>
          </c:val>
          <c:extLst>
            <c:ext xmlns:c16="http://schemas.microsoft.com/office/drawing/2014/chart" uri="{C3380CC4-5D6E-409C-BE32-E72D297353CC}">
              <c16:uniqueId val="{00000000-8B6B-4C33-A8C6-1801F84DA691}"/>
            </c:ext>
          </c:extLst>
        </c:ser>
        <c:dLbls>
          <c:showLegendKey val="0"/>
          <c:showVal val="0"/>
          <c:showCatName val="0"/>
          <c:showSerName val="0"/>
          <c:showPercent val="0"/>
          <c:showBubbleSize val="0"/>
        </c:dLbls>
        <c:gapWidth val="163"/>
        <c:overlap val="-27"/>
        <c:axId val="750217224"/>
        <c:axId val="750217552"/>
      </c:barChart>
      <c:lineChart>
        <c:grouping val="standard"/>
        <c:varyColors val="0"/>
        <c:ser>
          <c:idx val="1"/>
          <c:order val="1"/>
          <c:tx>
            <c:strRef>
              <c:f>Sheet5!$AB$47</c:f>
              <c:strCache>
                <c:ptCount val="1"/>
              </c:strCache>
            </c:strRef>
          </c:tx>
          <c:spPr>
            <a:ln w="9525" cap="rnd">
              <a:solidFill>
                <a:schemeClr val="bg2">
                  <a:lumMod val="50000"/>
                </a:schemeClr>
              </a:solidFill>
              <a:round/>
            </a:ln>
            <a:effectLst/>
          </c:spPr>
          <c:marker>
            <c:symbol val="none"/>
          </c:marker>
          <c:dLbls>
            <c:spPr>
              <a:noFill/>
              <a:ln>
                <a:noFill/>
              </a:ln>
              <a:effectLst/>
            </c:spPr>
            <c:txPr>
              <a:bodyPr rot="0" spcFirstLastPara="1" vertOverflow="ellipsis" vert="horz" wrap="square" anchor="ctr" anchorCtr="1"/>
              <a:lstStyle/>
              <a:p>
                <a:pPr>
                  <a:defRPr sz="4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Sheet5!$AC$47:$AG$47</c:f>
              <c:numCache>
                <c:formatCode>General</c:formatCode>
                <c:ptCount val="5"/>
              </c:numCache>
            </c:numRef>
          </c:val>
          <c:smooth val="0"/>
          <c:extLst>
            <c:ext xmlns:c16="http://schemas.microsoft.com/office/drawing/2014/chart" uri="{C3380CC4-5D6E-409C-BE32-E72D297353CC}">
              <c16:uniqueId val="{00000001-8B6B-4C33-A8C6-1801F84DA691}"/>
            </c:ext>
          </c:extLst>
        </c:ser>
        <c:dLbls>
          <c:showLegendKey val="0"/>
          <c:showVal val="0"/>
          <c:showCatName val="0"/>
          <c:showSerName val="0"/>
          <c:showPercent val="0"/>
          <c:showBubbleSize val="0"/>
        </c:dLbls>
        <c:marker val="1"/>
        <c:smooth val="0"/>
        <c:axId val="673564120"/>
        <c:axId val="673560840"/>
      </c:lineChart>
      <c:catAx>
        <c:axId val="750217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0217552"/>
        <c:crosses val="autoZero"/>
        <c:auto val="1"/>
        <c:lblAlgn val="ctr"/>
        <c:lblOffset val="100"/>
        <c:noMultiLvlLbl val="0"/>
      </c:catAx>
      <c:valAx>
        <c:axId val="750217552"/>
        <c:scaling>
          <c:orientation val="minMax"/>
        </c:scaling>
        <c:delete val="0"/>
        <c:axPos val="l"/>
        <c:majorGridlines>
          <c:spPr>
            <a:ln w="9525" cap="flat" cmpd="sng" algn="ctr">
              <a:no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50217224"/>
        <c:crosses val="autoZero"/>
        <c:crossBetween val="between"/>
      </c:valAx>
      <c:valAx>
        <c:axId val="6735608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73564120"/>
        <c:crosses val="max"/>
        <c:crossBetween val="between"/>
      </c:valAx>
      <c:catAx>
        <c:axId val="673564120"/>
        <c:scaling>
          <c:orientation val="minMax"/>
        </c:scaling>
        <c:delete val="1"/>
        <c:axPos val="b"/>
        <c:majorTickMark val="out"/>
        <c:minorTickMark val="none"/>
        <c:tickLblPos val="nextTo"/>
        <c:crossAx val="673560840"/>
        <c:crosses val="autoZero"/>
        <c:auto val="1"/>
        <c:lblAlgn val="ctr"/>
        <c:lblOffset val="100"/>
        <c:noMultiLvlLbl val="0"/>
      </c:catAx>
      <c:spPr>
        <a:noFill/>
        <a:ln>
          <a:noFill/>
        </a:ln>
        <a:effectLst/>
      </c:spPr>
    </c:plotArea>
    <c:legend>
      <c:legendPos val="t"/>
      <c:layout>
        <c:manualLayout>
          <c:xMode val="edge"/>
          <c:yMode val="edge"/>
          <c:x val="0.32952646239554317"/>
          <c:y val="5.1794302626711058E-2"/>
          <c:w val="0.34094707520891365"/>
          <c:h val="7.4940937599226293E-2"/>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62950694180015E-2"/>
          <c:y val="9.2398152036959266E-2"/>
          <c:w val="0.85100176183815157"/>
          <c:h val="0.65595743203246171"/>
        </c:manualLayout>
      </c:layout>
      <c:barChart>
        <c:barDir val="bar"/>
        <c:grouping val="stacked"/>
        <c:varyColors val="0"/>
        <c:ser>
          <c:idx val="0"/>
          <c:order val="0"/>
          <c:tx>
            <c:strRef>
              <c:f>细分市场龙头企业!$E$6</c:f>
              <c:strCache>
                <c:ptCount val="1"/>
                <c:pt idx="0">
                  <c:v>延安必康</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细分市场龙头企业!$F$6:$H$6</c:f>
              <c:numCache>
                <c:formatCode>0.00%</c:formatCode>
                <c:ptCount val="3"/>
                <c:pt idx="0">
                  <c:v>8.302824858757063E-2</c:v>
                </c:pt>
                <c:pt idx="1">
                  <c:v>0.10029075255824492</c:v>
                </c:pt>
                <c:pt idx="2">
                  <c:v>0.13325921219822112</c:v>
                </c:pt>
              </c:numCache>
            </c:numRef>
          </c:val>
          <c:extLst>
            <c:ext xmlns:c16="http://schemas.microsoft.com/office/drawing/2014/chart" uri="{C3380CC4-5D6E-409C-BE32-E72D297353CC}">
              <c16:uniqueId val="{00000000-735C-49DA-A9D5-DF7BD6F40E88}"/>
            </c:ext>
          </c:extLst>
        </c:ser>
        <c:ser>
          <c:idx val="1"/>
          <c:order val="1"/>
          <c:tx>
            <c:strRef>
              <c:f>细分市场龙头企业!$E$7</c:f>
              <c:strCache>
                <c:ptCount val="1"/>
                <c:pt idx="0">
                  <c:v>普洛药业</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细分市场龙头企业!$F$7:$H$7</c:f>
              <c:numCache>
                <c:formatCode>0.00%</c:formatCode>
                <c:ptCount val="3"/>
                <c:pt idx="0">
                  <c:v>0.10687005649717514</c:v>
                </c:pt>
                <c:pt idx="1">
                  <c:v>0.10382131933693314</c:v>
                </c:pt>
                <c:pt idx="2">
                  <c:v>0.10054002541296062</c:v>
                </c:pt>
              </c:numCache>
            </c:numRef>
          </c:val>
          <c:extLst>
            <c:ext xmlns:c16="http://schemas.microsoft.com/office/drawing/2014/chart" uri="{C3380CC4-5D6E-409C-BE32-E72D297353CC}">
              <c16:uniqueId val="{00000001-735C-49DA-A9D5-DF7BD6F40E88}"/>
            </c:ext>
          </c:extLst>
        </c:ser>
        <c:ser>
          <c:idx val="2"/>
          <c:order val="2"/>
          <c:tx>
            <c:strRef>
              <c:f>细分市场龙头企业!$E$8</c:f>
              <c:strCache>
                <c:ptCount val="1"/>
                <c:pt idx="0">
                  <c:v>浙江医药</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细分市场龙头企业!$F$8:$H$8</c:f>
              <c:numCache>
                <c:formatCode>0.00%</c:formatCode>
                <c:ptCount val="3"/>
                <c:pt idx="0">
                  <c:v>0.11846327683615819</c:v>
                </c:pt>
                <c:pt idx="1">
                  <c:v>0.10642676433938754</c:v>
                </c:pt>
                <c:pt idx="2">
                  <c:v>0.10783036848792886</c:v>
                </c:pt>
              </c:numCache>
            </c:numRef>
          </c:val>
          <c:extLst>
            <c:ext xmlns:c16="http://schemas.microsoft.com/office/drawing/2014/chart" uri="{C3380CC4-5D6E-409C-BE32-E72D297353CC}">
              <c16:uniqueId val="{00000002-735C-49DA-A9D5-DF7BD6F40E88}"/>
            </c:ext>
          </c:extLst>
        </c:ser>
        <c:ser>
          <c:idx val="3"/>
          <c:order val="3"/>
          <c:tx>
            <c:strRef>
              <c:f>细分市场龙头企业!$E$9</c:f>
              <c:strCache>
                <c:ptCount val="1"/>
                <c:pt idx="0">
                  <c:v>新华制药</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细分市场龙头企业!$F$9:$H$9</c:f>
              <c:numCache>
                <c:formatCode>0.00%</c:formatCode>
                <c:ptCount val="3"/>
                <c:pt idx="0">
                  <c:v>8.9604519774011293E-2</c:v>
                </c:pt>
                <c:pt idx="1">
                  <c:v>8.4110561492278066E-2</c:v>
                </c:pt>
                <c:pt idx="2">
                  <c:v>8.1734434561626448E-2</c:v>
                </c:pt>
              </c:numCache>
            </c:numRef>
          </c:val>
          <c:extLst>
            <c:ext xmlns:c16="http://schemas.microsoft.com/office/drawing/2014/chart" uri="{C3380CC4-5D6E-409C-BE32-E72D297353CC}">
              <c16:uniqueId val="{00000003-735C-49DA-A9D5-DF7BD6F40E88}"/>
            </c:ext>
          </c:extLst>
        </c:ser>
        <c:ser>
          <c:idx val="4"/>
          <c:order val="4"/>
          <c:tx>
            <c:strRef>
              <c:f>细分市场龙头企业!$E$10</c:f>
              <c:strCache>
                <c:ptCount val="1"/>
                <c:pt idx="0">
                  <c:v>华海药业</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细分市场龙头企业!$F$10:$H$10</c:f>
              <c:numCache>
                <c:formatCode>0.00%</c:formatCode>
                <c:ptCount val="3"/>
                <c:pt idx="0">
                  <c:v>9.1593220338983053E-2</c:v>
                </c:pt>
                <c:pt idx="1">
                  <c:v>9.3286259109617492E-2</c:v>
                </c:pt>
                <c:pt idx="2">
                  <c:v>7.9987293519695052E-2</c:v>
                </c:pt>
              </c:numCache>
            </c:numRef>
          </c:val>
          <c:extLst>
            <c:ext xmlns:c16="http://schemas.microsoft.com/office/drawing/2014/chart" uri="{C3380CC4-5D6E-409C-BE32-E72D297353CC}">
              <c16:uniqueId val="{00000004-735C-49DA-A9D5-DF7BD6F40E88}"/>
            </c:ext>
          </c:extLst>
        </c:ser>
        <c:dLbls>
          <c:dLblPos val="ctr"/>
          <c:showLegendKey val="0"/>
          <c:showVal val="1"/>
          <c:showCatName val="0"/>
          <c:showSerName val="0"/>
          <c:showPercent val="0"/>
          <c:showBubbleSize val="0"/>
        </c:dLbls>
        <c:gapWidth val="150"/>
        <c:overlap val="100"/>
        <c:axId val="734100592"/>
        <c:axId val="734103216"/>
      </c:barChart>
      <c:catAx>
        <c:axId val="73410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734103216"/>
        <c:crosses val="autoZero"/>
        <c:auto val="1"/>
        <c:lblAlgn val="ctr"/>
        <c:lblOffset val="100"/>
        <c:noMultiLvlLbl val="0"/>
      </c:catAx>
      <c:valAx>
        <c:axId val="73410321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73410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400" b="1">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细分市场龙头企业!$E$19</c:f>
              <c:strCache>
                <c:ptCount val="1"/>
                <c:pt idx="0">
                  <c:v>ST冠福</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细分市场龙头企业!$F$19:$H$19</c:f>
              <c:numCache>
                <c:formatCode>0.00%</c:formatCode>
                <c:ptCount val="3"/>
                <c:pt idx="0">
                  <c:v>3.6956430753777261E-2</c:v>
                </c:pt>
                <c:pt idx="1">
                  <c:v>0.26810575359082511</c:v>
                </c:pt>
                <c:pt idx="2">
                  <c:v>0.29741442173469168</c:v>
                </c:pt>
              </c:numCache>
            </c:numRef>
          </c:val>
          <c:extLst>
            <c:ext xmlns:c16="http://schemas.microsoft.com/office/drawing/2014/chart" uri="{C3380CC4-5D6E-409C-BE32-E72D297353CC}">
              <c16:uniqueId val="{00000000-441A-4BDC-9CEA-EF050EE30CD2}"/>
            </c:ext>
          </c:extLst>
        </c:ser>
        <c:ser>
          <c:idx val="1"/>
          <c:order val="1"/>
          <c:tx>
            <c:strRef>
              <c:f>细分市场龙头企业!$E$20</c:f>
              <c:strCache>
                <c:ptCount val="1"/>
                <c:pt idx="0">
                  <c:v>安迪苏</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细分市场龙头企业!$F$20:$H$20</c:f>
              <c:numCache>
                <c:formatCode>0.00%</c:formatCode>
                <c:ptCount val="3"/>
                <c:pt idx="0">
                  <c:v>0.4425563972711673</c:v>
                </c:pt>
                <c:pt idx="1">
                  <c:v>0.28384748986849717</c:v>
                </c:pt>
                <c:pt idx="2">
                  <c:v>0.2360772548284267</c:v>
                </c:pt>
              </c:numCache>
            </c:numRef>
          </c:val>
          <c:extLst>
            <c:ext xmlns:c16="http://schemas.microsoft.com/office/drawing/2014/chart" uri="{C3380CC4-5D6E-409C-BE32-E72D297353CC}">
              <c16:uniqueId val="{00000001-441A-4BDC-9CEA-EF050EE30CD2}"/>
            </c:ext>
          </c:extLst>
        </c:ser>
        <c:ser>
          <c:idx val="2"/>
          <c:order val="2"/>
          <c:tx>
            <c:strRef>
              <c:f>细分市场龙头企业!$E$21</c:f>
              <c:strCache>
                <c:ptCount val="1"/>
                <c:pt idx="0">
                  <c:v>新和成</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细分市场龙头企业!$F$21:$H$21</c:f>
              <c:numCache>
                <c:formatCode>0.00%</c:formatCode>
                <c:ptCount val="3"/>
                <c:pt idx="0">
                  <c:v>0.19344577909848074</c:v>
                </c:pt>
                <c:pt idx="1">
                  <c:v>0.1692167728062195</c:v>
                </c:pt>
                <c:pt idx="2">
                  <c:v>0.17792778715336371</c:v>
                </c:pt>
              </c:numCache>
            </c:numRef>
          </c:val>
          <c:extLst>
            <c:ext xmlns:c16="http://schemas.microsoft.com/office/drawing/2014/chart" uri="{C3380CC4-5D6E-409C-BE32-E72D297353CC}">
              <c16:uniqueId val="{00000002-441A-4BDC-9CEA-EF050EE30CD2}"/>
            </c:ext>
          </c:extLst>
        </c:ser>
        <c:ser>
          <c:idx val="3"/>
          <c:order val="3"/>
          <c:tx>
            <c:strRef>
              <c:f>细分市场龙头企业!$E$22</c:f>
              <c:strCache>
                <c:ptCount val="1"/>
                <c:pt idx="0">
                  <c:v>海普瑞</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细分市场龙头企业!$F$22:$H$22</c:f>
              <c:numCache>
                <c:formatCode>0.00%</c:formatCode>
                <c:ptCount val="3"/>
                <c:pt idx="0">
                  <c:v>9.3625748127066519E-2</c:v>
                </c:pt>
                <c:pt idx="1">
                  <c:v>7.3167369668899723E-2</c:v>
                </c:pt>
                <c:pt idx="2">
                  <c:v>9.9881242577661067E-2</c:v>
                </c:pt>
              </c:numCache>
            </c:numRef>
          </c:val>
          <c:extLst>
            <c:ext xmlns:c16="http://schemas.microsoft.com/office/drawing/2014/chart" uri="{C3380CC4-5D6E-409C-BE32-E72D297353CC}">
              <c16:uniqueId val="{00000003-441A-4BDC-9CEA-EF050EE30CD2}"/>
            </c:ext>
          </c:extLst>
        </c:ser>
        <c:ser>
          <c:idx val="4"/>
          <c:order val="4"/>
          <c:tx>
            <c:strRef>
              <c:f>细分市场龙头企业!$E$23</c:f>
              <c:strCache>
                <c:ptCount val="1"/>
                <c:pt idx="0">
                  <c:v>金达威</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anchor="ctr" anchorCtr="1"/>
              <a:lstStyle/>
              <a:p>
                <a:pPr>
                  <a:defRPr sz="400" b="1"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细分市场龙头企业!$F$1:$H$1</c:f>
              <c:numCache>
                <c:formatCode>General</c:formatCode>
                <c:ptCount val="3"/>
                <c:pt idx="0">
                  <c:v>2016</c:v>
                </c:pt>
                <c:pt idx="1">
                  <c:v>2017</c:v>
                </c:pt>
                <c:pt idx="2">
                  <c:v>2018</c:v>
                </c:pt>
              </c:numCache>
            </c:numRef>
          </c:cat>
          <c:val>
            <c:numRef>
              <c:f>细分市场龙头企业!$F$23:$H$23</c:f>
              <c:numCache>
                <c:formatCode>0.00%</c:formatCode>
                <c:ptCount val="3"/>
                <c:pt idx="0">
                  <c:v>6.893232327459925E-2</c:v>
                </c:pt>
                <c:pt idx="1">
                  <c:v>5.6929396520828159E-2</c:v>
                </c:pt>
                <c:pt idx="2">
                  <c:v>5.9295372627455864E-2</c:v>
                </c:pt>
              </c:numCache>
            </c:numRef>
          </c:val>
          <c:extLst>
            <c:ext xmlns:c16="http://schemas.microsoft.com/office/drawing/2014/chart" uri="{C3380CC4-5D6E-409C-BE32-E72D297353CC}">
              <c16:uniqueId val="{00000004-441A-4BDC-9CEA-EF050EE30CD2}"/>
            </c:ext>
          </c:extLst>
        </c:ser>
        <c:dLbls>
          <c:dLblPos val="ctr"/>
          <c:showLegendKey val="0"/>
          <c:showVal val="1"/>
          <c:showCatName val="0"/>
          <c:showSerName val="0"/>
          <c:showPercent val="0"/>
          <c:showBubbleSize val="0"/>
        </c:dLbls>
        <c:gapWidth val="150"/>
        <c:overlap val="100"/>
        <c:axId val="746816008"/>
        <c:axId val="746819616"/>
      </c:barChart>
      <c:catAx>
        <c:axId val="746816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746819616"/>
        <c:crosses val="autoZero"/>
        <c:auto val="1"/>
        <c:lblAlgn val="ctr"/>
        <c:lblOffset val="100"/>
        <c:noMultiLvlLbl val="0"/>
      </c:catAx>
      <c:valAx>
        <c:axId val="74681961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746816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1"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400" b="1">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Sheet5!$B$57</c:f>
              <c:strCache>
                <c:ptCount val="1"/>
                <c:pt idx="0">
                  <c:v>毛利率</c:v>
                </c:pt>
              </c:strCache>
            </c:strRef>
          </c:tx>
          <c:spPr>
            <a:ln w="95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Sheet5!$C$53:$G$53</c:f>
              <c:numCache>
                <c:formatCode>General</c:formatCode>
                <c:ptCount val="5"/>
                <c:pt idx="0">
                  <c:v>2014</c:v>
                </c:pt>
                <c:pt idx="1">
                  <c:v>2015</c:v>
                </c:pt>
                <c:pt idx="2">
                  <c:v>2016</c:v>
                </c:pt>
                <c:pt idx="3">
                  <c:v>2017</c:v>
                </c:pt>
                <c:pt idx="4">
                  <c:v>2018</c:v>
                </c:pt>
              </c:numCache>
            </c:numRef>
          </c:cat>
          <c:val>
            <c:numRef>
              <c:f>Sheet5!$C$57:$G$57</c:f>
              <c:numCache>
                <c:formatCode>0.00_);[Red]\(0.00\)</c:formatCode>
                <c:ptCount val="5"/>
                <c:pt idx="0">
                  <c:v>43.62</c:v>
                </c:pt>
                <c:pt idx="1">
                  <c:v>45.8</c:v>
                </c:pt>
                <c:pt idx="2">
                  <c:v>48.24</c:v>
                </c:pt>
                <c:pt idx="3">
                  <c:v>53.37</c:v>
                </c:pt>
                <c:pt idx="4">
                  <c:v>57.55</c:v>
                </c:pt>
              </c:numCache>
            </c:numRef>
          </c:val>
          <c:smooth val="0"/>
          <c:extLst>
            <c:ext xmlns:c16="http://schemas.microsoft.com/office/drawing/2014/chart" uri="{C3380CC4-5D6E-409C-BE32-E72D297353CC}">
              <c16:uniqueId val="{00000000-B2D1-4A5E-8A9A-0AB3EAE7C216}"/>
            </c:ext>
          </c:extLst>
        </c:ser>
        <c:ser>
          <c:idx val="1"/>
          <c:order val="1"/>
          <c:tx>
            <c:strRef>
              <c:f>Sheet5!$B$58</c:f>
              <c:strCache>
                <c:ptCount val="1"/>
                <c:pt idx="0">
                  <c:v>净利率 </c:v>
                </c:pt>
              </c:strCache>
            </c:strRef>
          </c:tx>
          <c:spPr>
            <a:ln w="95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4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Sheet5!$C$53:$G$53</c:f>
              <c:numCache>
                <c:formatCode>General</c:formatCode>
                <c:ptCount val="5"/>
                <c:pt idx="0">
                  <c:v>2014</c:v>
                </c:pt>
                <c:pt idx="1">
                  <c:v>2015</c:v>
                </c:pt>
                <c:pt idx="2">
                  <c:v>2016</c:v>
                </c:pt>
                <c:pt idx="3">
                  <c:v>2017</c:v>
                </c:pt>
                <c:pt idx="4">
                  <c:v>2018</c:v>
                </c:pt>
              </c:numCache>
            </c:numRef>
          </c:cat>
          <c:val>
            <c:numRef>
              <c:f>Sheet5!$C$58:$G$58</c:f>
              <c:numCache>
                <c:formatCode>0.00_);[Red]\(0.00\)</c:formatCode>
                <c:ptCount val="5"/>
                <c:pt idx="0">
                  <c:v>10.29</c:v>
                </c:pt>
                <c:pt idx="1">
                  <c:v>11.14</c:v>
                </c:pt>
                <c:pt idx="2">
                  <c:v>12.11</c:v>
                </c:pt>
                <c:pt idx="3">
                  <c:v>15.79</c:v>
                </c:pt>
                <c:pt idx="4">
                  <c:v>8.61</c:v>
                </c:pt>
              </c:numCache>
            </c:numRef>
          </c:val>
          <c:smooth val="0"/>
          <c:extLst>
            <c:ext xmlns:c16="http://schemas.microsoft.com/office/drawing/2014/chart" uri="{C3380CC4-5D6E-409C-BE32-E72D297353CC}">
              <c16:uniqueId val="{00000001-B2D1-4A5E-8A9A-0AB3EAE7C216}"/>
            </c:ext>
          </c:extLst>
        </c:ser>
        <c:dLbls>
          <c:showLegendKey val="0"/>
          <c:showVal val="0"/>
          <c:showCatName val="0"/>
          <c:showSerName val="0"/>
          <c:showPercent val="0"/>
          <c:showBubbleSize val="0"/>
        </c:dLbls>
        <c:smooth val="0"/>
        <c:axId val="90675488"/>
        <c:axId val="734136456"/>
      </c:lineChart>
      <c:catAx>
        <c:axId val="9067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34136456"/>
        <c:crosses val="autoZero"/>
        <c:auto val="1"/>
        <c:lblAlgn val="ctr"/>
        <c:lblOffset val="100"/>
        <c:noMultiLvlLbl val="0"/>
      </c:catAx>
      <c:valAx>
        <c:axId val="73413645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90675488"/>
        <c:crosses val="autoZero"/>
        <c:crossBetween val="between"/>
      </c:valAx>
      <c:spPr>
        <a:noFill/>
        <a:ln>
          <a:noFill/>
        </a:ln>
        <a:effectLst/>
      </c:spPr>
    </c:plotArea>
    <c:legend>
      <c:legendPos val="t"/>
      <c:layout>
        <c:manualLayout>
          <c:xMode val="edge"/>
          <c:yMode val="edge"/>
          <c:x val="0.18075155328869655"/>
          <c:y val="4.4510385756676561E-2"/>
          <c:w val="0.61065088757396446"/>
          <c:h val="7.513551718498096E-2"/>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Sheet5!$B$54</c:f>
              <c:strCache>
                <c:ptCount val="1"/>
                <c:pt idx="0">
                  <c:v>营业收入</c:v>
                </c:pt>
              </c:strCache>
            </c:strRef>
          </c:tx>
          <c:spPr>
            <a:solidFill>
              <a:schemeClr val="accent1"/>
            </a:solidFill>
            <a:ln>
              <a:noFill/>
            </a:ln>
            <a:effectLst/>
          </c:spPr>
          <c:invertIfNegative val="0"/>
          <c:val>
            <c:numRef>
              <c:f>Sheet5!$C$54:$G$54</c:f>
              <c:numCache>
                <c:formatCode>0.00_);[Red]\(0.00\)</c:formatCode>
                <c:ptCount val="5"/>
                <c:pt idx="0">
                  <c:v>1353.84</c:v>
                </c:pt>
                <c:pt idx="1">
                  <c:v>1429.82</c:v>
                </c:pt>
                <c:pt idx="2">
                  <c:v>1709.66</c:v>
                </c:pt>
                <c:pt idx="3">
                  <c:v>2053.17</c:v>
                </c:pt>
                <c:pt idx="4">
                  <c:v>2548.58</c:v>
                </c:pt>
              </c:numCache>
            </c:numRef>
          </c:val>
          <c:extLst>
            <c:ext xmlns:c16="http://schemas.microsoft.com/office/drawing/2014/chart" uri="{C3380CC4-5D6E-409C-BE32-E72D297353CC}">
              <c16:uniqueId val="{00000000-315F-4374-B27A-A0D4B88FAD67}"/>
            </c:ext>
          </c:extLst>
        </c:ser>
        <c:dLbls>
          <c:showLegendKey val="0"/>
          <c:showVal val="0"/>
          <c:showCatName val="0"/>
          <c:showSerName val="0"/>
          <c:showPercent val="0"/>
          <c:showBubbleSize val="0"/>
        </c:dLbls>
        <c:gapWidth val="219"/>
        <c:overlap val="-27"/>
        <c:axId val="672259632"/>
        <c:axId val="672257008"/>
      </c:barChart>
      <c:lineChart>
        <c:grouping val="standard"/>
        <c:varyColors val="0"/>
        <c:ser>
          <c:idx val="1"/>
          <c:order val="1"/>
          <c:tx>
            <c:strRef>
              <c:f>Sheet5!$B$55</c:f>
              <c:strCache>
                <c:ptCount val="1"/>
                <c:pt idx="0">
                  <c:v>收入YOY</c:v>
                </c:pt>
              </c:strCache>
            </c:strRef>
          </c:tx>
          <c:spPr>
            <a:ln w="9525" cap="rnd">
              <a:solidFill>
                <a:schemeClr val="accent2"/>
              </a:solidFill>
              <a:round/>
            </a:ln>
            <a:effectLst/>
          </c:spPr>
          <c:marker>
            <c:symbol val="none"/>
          </c:marker>
          <c:val>
            <c:numRef>
              <c:f>Sheet5!$C$55:$G$55</c:f>
              <c:numCache>
                <c:formatCode>0.00_);[Red]\(0.00\)</c:formatCode>
                <c:ptCount val="5"/>
                <c:pt idx="0">
                  <c:v>5.1100000000000003</c:v>
                </c:pt>
                <c:pt idx="1">
                  <c:v>5.7</c:v>
                </c:pt>
                <c:pt idx="2">
                  <c:v>10.45</c:v>
                </c:pt>
                <c:pt idx="3">
                  <c:v>14.14</c:v>
                </c:pt>
                <c:pt idx="4">
                  <c:v>22.63</c:v>
                </c:pt>
              </c:numCache>
            </c:numRef>
          </c:val>
          <c:smooth val="0"/>
          <c:extLst>
            <c:ext xmlns:c16="http://schemas.microsoft.com/office/drawing/2014/chart" uri="{C3380CC4-5D6E-409C-BE32-E72D297353CC}">
              <c16:uniqueId val="{00000001-315F-4374-B27A-A0D4B88FAD67}"/>
            </c:ext>
          </c:extLst>
        </c:ser>
        <c:dLbls>
          <c:showLegendKey val="0"/>
          <c:showVal val="0"/>
          <c:showCatName val="0"/>
          <c:showSerName val="0"/>
          <c:showPercent val="0"/>
          <c:showBubbleSize val="0"/>
        </c:dLbls>
        <c:marker val="1"/>
        <c:smooth val="0"/>
        <c:axId val="740428440"/>
        <c:axId val="740425816"/>
      </c:lineChart>
      <c:catAx>
        <c:axId val="672259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72257008"/>
        <c:crosses val="autoZero"/>
        <c:auto val="1"/>
        <c:lblAlgn val="ctr"/>
        <c:lblOffset val="100"/>
        <c:noMultiLvlLbl val="0"/>
      </c:catAx>
      <c:valAx>
        <c:axId val="67225700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672259632"/>
        <c:crosses val="autoZero"/>
        <c:crossBetween val="between"/>
      </c:valAx>
      <c:valAx>
        <c:axId val="74042581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40428440"/>
        <c:crosses val="max"/>
        <c:crossBetween val="between"/>
      </c:valAx>
      <c:catAx>
        <c:axId val="740428440"/>
        <c:scaling>
          <c:orientation val="minMax"/>
        </c:scaling>
        <c:delete val="1"/>
        <c:axPos val="b"/>
        <c:majorTickMark val="out"/>
        <c:minorTickMark val="none"/>
        <c:tickLblPos val="nextTo"/>
        <c:crossAx val="74042581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细分市场龙头企业!$P$26</c:f>
              <c:strCache>
                <c:ptCount val="1"/>
                <c:pt idx="0">
                  <c:v>复星医药</c:v>
                </c:pt>
              </c:strCache>
            </c:strRef>
          </c:tx>
          <c:spPr>
            <a:solidFill>
              <a:schemeClr val="accent5">
                <a:shade val="53000"/>
              </a:schemeClr>
            </a:solidFill>
            <a:ln>
              <a:noFill/>
            </a:ln>
            <a:effectLst/>
          </c:spPr>
          <c:invertIfNegative val="0"/>
          <c:cat>
            <c:numRef>
              <c:f>细分市场龙头企业!$L$1:$N$1</c:f>
              <c:numCache>
                <c:formatCode>General</c:formatCode>
                <c:ptCount val="3"/>
                <c:pt idx="0">
                  <c:v>2016</c:v>
                </c:pt>
                <c:pt idx="1">
                  <c:v>2017</c:v>
                </c:pt>
                <c:pt idx="2">
                  <c:v>2018</c:v>
                </c:pt>
              </c:numCache>
            </c:numRef>
          </c:cat>
          <c:val>
            <c:numRef>
              <c:f>细分市场龙头企业!$Q$26:$S$26</c:f>
              <c:numCache>
                <c:formatCode>General</c:formatCode>
                <c:ptCount val="3"/>
                <c:pt idx="0">
                  <c:v>145.33000000000001</c:v>
                </c:pt>
                <c:pt idx="1">
                  <c:v>183.75</c:v>
                </c:pt>
                <c:pt idx="2">
                  <c:v>247.28</c:v>
                </c:pt>
              </c:numCache>
            </c:numRef>
          </c:val>
          <c:extLst>
            <c:ext xmlns:c16="http://schemas.microsoft.com/office/drawing/2014/chart" uri="{C3380CC4-5D6E-409C-BE32-E72D297353CC}">
              <c16:uniqueId val="{00000000-EEC2-4992-9413-0295004DFF8E}"/>
            </c:ext>
          </c:extLst>
        </c:ser>
        <c:ser>
          <c:idx val="1"/>
          <c:order val="1"/>
          <c:tx>
            <c:strRef>
              <c:f>细分市场龙头企业!$P$27</c:f>
              <c:strCache>
                <c:ptCount val="1"/>
                <c:pt idx="0">
                  <c:v>恒瑞医药</c:v>
                </c:pt>
              </c:strCache>
            </c:strRef>
          </c:tx>
          <c:spPr>
            <a:solidFill>
              <a:schemeClr val="accent5">
                <a:shade val="76000"/>
              </a:schemeClr>
            </a:solidFill>
            <a:ln>
              <a:noFill/>
            </a:ln>
            <a:effectLst/>
          </c:spPr>
          <c:invertIfNegative val="0"/>
          <c:cat>
            <c:numRef>
              <c:f>细分市场龙头企业!$L$1:$N$1</c:f>
              <c:numCache>
                <c:formatCode>General</c:formatCode>
                <c:ptCount val="3"/>
                <c:pt idx="0">
                  <c:v>2016</c:v>
                </c:pt>
                <c:pt idx="1">
                  <c:v>2017</c:v>
                </c:pt>
                <c:pt idx="2">
                  <c:v>2018</c:v>
                </c:pt>
              </c:numCache>
            </c:numRef>
          </c:cat>
          <c:val>
            <c:numRef>
              <c:f>细分市场龙头企业!$Q$27:$S$27</c:f>
              <c:numCache>
                <c:formatCode>General</c:formatCode>
                <c:ptCount val="3"/>
                <c:pt idx="0">
                  <c:v>108.91</c:v>
                </c:pt>
                <c:pt idx="1">
                  <c:v>135.82</c:v>
                </c:pt>
                <c:pt idx="2">
                  <c:v>171.81</c:v>
                </c:pt>
              </c:numCache>
            </c:numRef>
          </c:val>
          <c:extLst>
            <c:ext xmlns:c16="http://schemas.microsoft.com/office/drawing/2014/chart" uri="{C3380CC4-5D6E-409C-BE32-E72D297353CC}">
              <c16:uniqueId val="{00000001-EEC2-4992-9413-0295004DFF8E}"/>
            </c:ext>
          </c:extLst>
        </c:ser>
        <c:ser>
          <c:idx val="2"/>
          <c:order val="2"/>
          <c:tx>
            <c:strRef>
              <c:f>细分市场龙头企业!$P$28</c:f>
              <c:strCache>
                <c:ptCount val="1"/>
                <c:pt idx="0">
                  <c:v>人福医药</c:v>
                </c:pt>
              </c:strCache>
            </c:strRef>
          </c:tx>
          <c:spPr>
            <a:solidFill>
              <a:schemeClr val="accent5"/>
            </a:solidFill>
            <a:ln>
              <a:noFill/>
            </a:ln>
            <a:effectLst/>
          </c:spPr>
          <c:invertIfNegative val="0"/>
          <c:cat>
            <c:numRef>
              <c:f>细分市场龙头企业!$L$1:$N$1</c:f>
              <c:numCache>
                <c:formatCode>General</c:formatCode>
                <c:ptCount val="3"/>
                <c:pt idx="0">
                  <c:v>2016</c:v>
                </c:pt>
                <c:pt idx="1">
                  <c:v>2017</c:v>
                </c:pt>
                <c:pt idx="2">
                  <c:v>2018</c:v>
                </c:pt>
              </c:numCache>
            </c:numRef>
          </c:cat>
          <c:val>
            <c:numRef>
              <c:f>细分市场龙头企业!$Q$28:$S$28</c:f>
              <c:numCache>
                <c:formatCode>General</c:formatCode>
                <c:ptCount val="3"/>
                <c:pt idx="0">
                  <c:v>122.31</c:v>
                </c:pt>
                <c:pt idx="1">
                  <c:v>153.03</c:v>
                </c:pt>
                <c:pt idx="2">
                  <c:v>184.88</c:v>
                </c:pt>
              </c:numCache>
            </c:numRef>
          </c:val>
          <c:extLst>
            <c:ext xmlns:c16="http://schemas.microsoft.com/office/drawing/2014/chart" uri="{C3380CC4-5D6E-409C-BE32-E72D297353CC}">
              <c16:uniqueId val="{00000002-EEC2-4992-9413-0295004DFF8E}"/>
            </c:ext>
          </c:extLst>
        </c:ser>
        <c:ser>
          <c:idx val="3"/>
          <c:order val="3"/>
          <c:tx>
            <c:strRef>
              <c:f>细分市场龙头企业!$P$29</c:f>
              <c:strCache>
                <c:ptCount val="1"/>
                <c:pt idx="0">
                  <c:v>科伦药业</c:v>
                </c:pt>
              </c:strCache>
            </c:strRef>
          </c:tx>
          <c:spPr>
            <a:solidFill>
              <a:schemeClr val="accent5">
                <a:tint val="77000"/>
              </a:schemeClr>
            </a:solidFill>
            <a:ln>
              <a:noFill/>
            </a:ln>
            <a:effectLst/>
          </c:spPr>
          <c:invertIfNegative val="0"/>
          <c:cat>
            <c:numRef>
              <c:f>细分市场龙头企业!$L$1:$N$1</c:f>
              <c:numCache>
                <c:formatCode>General</c:formatCode>
                <c:ptCount val="3"/>
                <c:pt idx="0">
                  <c:v>2016</c:v>
                </c:pt>
                <c:pt idx="1">
                  <c:v>2017</c:v>
                </c:pt>
                <c:pt idx="2">
                  <c:v>2018</c:v>
                </c:pt>
              </c:numCache>
            </c:numRef>
          </c:cat>
          <c:val>
            <c:numRef>
              <c:f>细分市场龙头企业!$Q$29:$S$29</c:f>
              <c:numCache>
                <c:formatCode>General</c:formatCode>
                <c:ptCount val="3"/>
                <c:pt idx="0">
                  <c:v>84.47</c:v>
                </c:pt>
                <c:pt idx="1">
                  <c:v>112.5</c:v>
                </c:pt>
                <c:pt idx="2">
                  <c:v>161.22999999999999</c:v>
                </c:pt>
              </c:numCache>
            </c:numRef>
          </c:val>
          <c:extLst>
            <c:ext xmlns:c16="http://schemas.microsoft.com/office/drawing/2014/chart" uri="{C3380CC4-5D6E-409C-BE32-E72D297353CC}">
              <c16:uniqueId val="{00000003-EEC2-4992-9413-0295004DFF8E}"/>
            </c:ext>
          </c:extLst>
        </c:ser>
        <c:ser>
          <c:idx val="4"/>
          <c:order val="4"/>
          <c:tx>
            <c:strRef>
              <c:f>细分市场龙头企业!$P$30</c:f>
              <c:strCache>
                <c:ptCount val="1"/>
                <c:pt idx="0">
                  <c:v>健康元</c:v>
                </c:pt>
              </c:strCache>
            </c:strRef>
          </c:tx>
          <c:spPr>
            <a:solidFill>
              <a:schemeClr val="accent5">
                <a:tint val="54000"/>
              </a:schemeClr>
            </a:solidFill>
            <a:ln>
              <a:noFill/>
            </a:ln>
            <a:effectLst/>
          </c:spPr>
          <c:invertIfNegative val="0"/>
          <c:cat>
            <c:numRef>
              <c:f>细分市场龙头企业!$L$1:$N$1</c:f>
              <c:numCache>
                <c:formatCode>General</c:formatCode>
                <c:ptCount val="3"/>
                <c:pt idx="0">
                  <c:v>2016</c:v>
                </c:pt>
                <c:pt idx="1">
                  <c:v>2017</c:v>
                </c:pt>
                <c:pt idx="2">
                  <c:v>2018</c:v>
                </c:pt>
              </c:numCache>
            </c:numRef>
          </c:cat>
          <c:val>
            <c:numRef>
              <c:f>细分市场龙头企业!$Q$30:$S$30</c:f>
              <c:numCache>
                <c:formatCode>General</c:formatCode>
                <c:ptCount val="3"/>
                <c:pt idx="0">
                  <c:v>95.62</c:v>
                </c:pt>
                <c:pt idx="1">
                  <c:v>106.14</c:v>
                </c:pt>
                <c:pt idx="2">
                  <c:v>110.45</c:v>
                </c:pt>
              </c:numCache>
            </c:numRef>
          </c:val>
          <c:extLst>
            <c:ext xmlns:c16="http://schemas.microsoft.com/office/drawing/2014/chart" uri="{C3380CC4-5D6E-409C-BE32-E72D297353CC}">
              <c16:uniqueId val="{00000004-EEC2-4992-9413-0295004DFF8E}"/>
            </c:ext>
          </c:extLst>
        </c:ser>
        <c:dLbls>
          <c:showLegendKey val="0"/>
          <c:showVal val="0"/>
          <c:showCatName val="0"/>
          <c:showSerName val="0"/>
          <c:showPercent val="0"/>
          <c:showBubbleSize val="0"/>
        </c:dLbls>
        <c:gapWidth val="186"/>
        <c:overlap val="-48"/>
        <c:axId val="682186864"/>
        <c:axId val="682184568"/>
      </c:barChart>
      <c:catAx>
        <c:axId val="68218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mn-lt"/>
                <a:ea typeface="+mn-ea"/>
                <a:cs typeface="+mn-cs"/>
              </a:defRPr>
            </a:pPr>
            <a:endParaRPr lang="zh-CN"/>
          </a:p>
        </c:txPr>
        <c:crossAx val="682184568"/>
        <c:crosses val="autoZero"/>
        <c:auto val="1"/>
        <c:lblAlgn val="ctr"/>
        <c:lblOffset val="100"/>
        <c:noMultiLvlLbl val="0"/>
      </c:catAx>
      <c:valAx>
        <c:axId val="682184568"/>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1" i="0" u="none" strike="noStrike" kern="1200" baseline="0">
                <a:solidFill>
                  <a:schemeClr val="tx1">
                    <a:lumMod val="65000"/>
                    <a:lumOff val="35000"/>
                  </a:schemeClr>
                </a:solidFill>
                <a:latin typeface="+mn-lt"/>
                <a:ea typeface="+mn-ea"/>
                <a:cs typeface="+mn-cs"/>
              </a:defRPr>
            </a:pPr>
            <a:endParaRPr lang="zh-CN"/>
          </a:p>
        </c:txPr>
        <c:crossAx val="68218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4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400" b="1"/>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2659</TotalTime>
  <Pages>12</Pages>
  <Words>1270</Words>
  <Characters>7239</Characters>
  <Application>Microsoft Office Word</Application>
  <DocSecurity>0</DocSecurity>
  <Lines>60</Lines>
  <Paragraphs>16</Paragraphs>
  <ScaleCrop>false</ScaleCrop>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147</cp:revision>
  <dcterms:created xsi:type="dcterms:W3CDTF">2020-03-24T12:31:00Z</dcterms:created>
  <dcterms:modified xsi:type="dcterms:W3CDTF">2020-03-29T09:45:00Z</dcterms:modified>
</cp:coreProperties>
</file>