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66C2C420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="00403BDA">
        <w:rPr>
          <w:rFonts w:ascii="Times" w:eastAsia="Comic Sans MS" w:hAnsi="Times" w:cs="Comic Sans MS"/>
          <w:color w:val="000000" w:themeColor="text1"/>
          <w:sz w:val="24"/>
          <w:szCs w:val="24"/>
          <w:lang w:val="en-US"/>
        </w:rPr>
        <w:t>Tahoma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72E9D2CD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2C485C" w:rsidRPr="002C485C">
        <w:rPr>
          <w:rFonts w:ascii="Times" w:eastAsia="Calibri" w:hAnsi="Times" w:cs="Calibri"/>
          <w:color w:val="000000" w:themeColor="text1"/>
          <w:sz w:val="24"/>
          <w:szCs w:val="24"/>
        </w:rPr>
        <w:t>11</w:t>
      </w:r>
      <w:r w:rsidR="002C485C">
        <w:rPr>
          <w:rFonts w:ascii="Times" w:eastAsia="Calibri" w:hAnsi="Times" w:cs="Calibri"/>
          <w:color w:val="000000" w:themeColor="text1"/>
          <w:sz w:val="24"/>
          <w:szCs w:val="24"/>
        </w:rPr>
        <w:t>7</w:t>
      </w:r>
      <w:r w:rsidR="002C485C" w:rsidRPr="002C485C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r w:rsidR="002C485C">
        <w:rPr>
          <w:rFonts w:ascii="Times" w:eastAsia="Calibri" w:hAnsi="Times" w:cs="Calibri"/>
          <w:color w:val="000000" w:themeColor="text1"/>
          <w:sz w:val="24"/>
          <w:szCs w:val="24"/>
        </w:rPr>
        <w:t>198</w:t>
      </w:r>
      <w:r w:rsidR="002C485C" w:rsidRPr="002C485C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r w:rsidR="002C485C">
        <w:rPr>
          <w:rFonts w:ascii="Times" w:eastAsia="Calibri" w:hAnsi="Times" w:cs="Calibri"/>
          <w:color w:val="000000" w:themeColor="text1"/>
          <w:sz w:val="24"/>
          <w:szCs w:val="24"/>
        </w:rPr>
        <w:t>230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417EA3AD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2C485C">
        <w:rPr>
          <w:rFonts w:ascii="Times" w:eastAsia="Calibri" w:hAnsi="Times" w:cs="Calibri"/>
          <w:color w:val="000000" w:themeColor="text1"/>
          <w:sz w:val="24"/>
          <w:szCs w:val="24"/>
        </w:rPr>
        <w:t>43, 90, 211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00BB0C8A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11</w:t>
            </w:r>
            <w:r w:rsidR="00403BDA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7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403BDA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198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403BDA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230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2AB04723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403BDA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43, 90, 211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403BDA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75C6E6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2B5AD3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403BDA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C6E01"/>
    <w:rsid w:val="002C485C"/>
    <w:rsid w:val="00403BDA"/>
    <w:rsid w:val="007965E5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Calisthetic 4</cp:lastModifiedBy>
  <cp:revision>5</cp:revision>
  <dcterms:created xsi:type="dcterms:W3CDTF">2020-08-31T13:57:00Z</dcterms:created>
  <dcterms:modified xsi:type="dcterms:W3CDTF">2024-01-19T13:46:00Z</dcterms:modified>
</cp:coreProperties>
</file>