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FF" w:rsidRDefault="002E54FF" w:rsidP="002E54FF">
      <w:pPr>
        <w:pStyle w:val="1"/>
      </w:pPr>
      <w:r w:rsidRPr="002E54FF">
        <w:rPr>
          <w:rFonts w:hint="eastAsia"/>
        </w:rPr>
        <w:t>自我介绍</w:t>
      </w:r>
    </w:p>
    <w:p w:rsidR="00421CBB" w:rsidRPr="00421CBB" w:rsidRDefault="00421CBB" w:rsidP="00421CBB">
      <w:r>
        <w:rPr>
          <w:rFonts w:hint="eastAsia"/>
        </w:rPr>
        <w:t>哈哈哈哈</w:t>
      </w:r>
      <w:r w:rsidR="00DB7F69">
        <w:rPr>
          <w:rFonts w:hint="eastAsia"/>
        </w:rPr>
        <w:t xml:space="preserve"> </w:t>
      </w:r>
      <w:r w:rsidR="00DB7F69">
        <w:rPr>
          <w:rFonts w:hint="eastAsia"/>
        </w:rPr>
        <w:t>小糖糖</w:t>
      </w:r>
      <w:r w:rsidR="00C00D28">
        <w:rPr>
          <w:rFonts w:hint="eastAsia"/>
        </w:rPr>
        <w:t xml:space="preserve">  </w:t>
      </w:r>
      <w:r w:rsidR="00C00D28">
        <w:rPr>
          <w:rFonts w:hint="eastAsia"/>
        </w:rPr>
        <w:t>哈哈哈</w:t>
      </w:r>
      <w:r w:rsidR="007D5A39">
        <w:rPr>
          <w:rFonts w:hint="eastAsia"/>
        </w:rPr>
        <w:t>1212</w:t>
      </w:r>
      <w:bookmarkStart w:id="0" w:name="_GoBack"/>
      <w:bookmarkEnd w:id="0"/>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别看资料，看聊效。聊是聊天的聊。不是说不让你看资料，课下去看。</w:t>
      </w:r>
      <w:r w:rsidR="00311EE5">
        <w:rPr>
          <w:rFonts w:hint="eastAsia"/>
        </w:rPr>
        <w:t>欢迎同学们在公屏积极发言。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：单选题是难度最低的，或者记关键词或者建立联想记忆，实在不行你就凭感觉选你觉得最靠谱的；多选题的难度在于多选和漏选都不行，这种时候你就要强化记忆，不能像选择题那么糊弄事，判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创作出来的文学我们叫作家文学。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我们现在是学明白了，民间文学</w:t>
      </w:r>
      <w:r>
        <w:rPr>
          <w:rFonts w:hint="eastAsia"/>
        </w:rPr>
        <w:t>是与作家文学、通俗文学区分存在的，但是早些年，民</w:t>
      </w:r>
      <w:r>
        <w:rPr>
          <w:rFonts w:hint="eastAsia"/>
        </w:rPr>
        <w:lastRenderedPageBreak/>
        <w:t>间文学与非民间文学的界限很模糊，郑振铎……把这几种文学混为一谈，但是随着时代的发展和学术研究的日益深入，民间文学终于独立自主，区分了作家文学与通俗文学，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39A343" w:themeColor="background1" w:themeShade="80"/>
        </w:rPr>
      </w:pPr>
      <w:r w:rsidRPr="00043B4E">
        <w:rPr>
          <w:rFonts w:hint="eastAsia"/>
          <w:color w:val="39A343"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39A343" w:themeColor="background1" w:themeShade="80"/>
        </w:rPr>
      </w:pPr>
      <w:r w:rsidRPr="00FB3D37">
        <w:rPr>
          <w:rFonts w:hint="eastAsia"/>
          <w:color w:val="39A343" w:themeColor="background1" w:themeShade="80"/>
        </w:rPr>
        <w:t>选自《吴越春秋》的一首小歌谣。这首歌谣仅</w:t>
      </w:r>
      <w:r w:rsidRPr="00FB3D37">
        <w:rPr>
          <w:rFonts w:hint="eastAsia"/>
          <w:color w:val="39A343" w:themeColor="background1" w:themeShade="80"/>
        </w:rPr>
        <w:t>8</w:t>
      </w:r>
      <w:r w:rsidRPr="00FB3D37">
        <w:rPr>
          <w:rFonts w:hint="eastAsia"/>
          <w:color w:val="39A343" w:themeColor="background1" w:themeShade="80"/>
        </w:rPr>
        <w:t>个字，是中国古代现存的最短的诗歌。</w:t>
      </w:r>
    </w:p>
    <w:p w:rsidR="0057389E" w:rsidRDefault="0033295C" w:rsidP="0033295C">
      <w:pPr>
        <w:spacing w:line="360" w:lineRule="auto"/>
      </w:pPr>
      <w:r w:rsidRPr="00FB3D37">
        <w:rPr>
          <w:rFonts w:hint="eastAsia"/>
          <w:color w:val="39A343" w:themeColor="background1" w:themeShade="80"/>
        </w:rPr>
        <w:t>断竹，指把竹子断开。续竹，指把竹子绑接起来，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39A343"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w:t>
      </w:r>
      <w:r w:rsidR="005B0A6B">
        <w:rPr>
          <w:rFonts w:hint="eastAsia"/>
        </w:rPr>
        <w:lastRenderedPageBreak/>
        <w:t>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：干宝《搜神记》《搜神记》是一部记录古代民间传说中神奇怪异故事的小说集，作者是东晋的史学家干宝。主角有鬼，也有妖怪和神仙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39A343"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lastRenderedPageBreak/>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口头程式理论：简单理解就是口头传播的规律。为什么那么多民间文学仅仅靠口口相传就传下来了？那是因为口头传播不是瞎传播的，他们在传播过程中是遵循一定规律的，这个规律我们就叫口头程式。……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lastRenderedPageBreak/>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个人传一段话，我能保证这段话到第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39A343"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、个体传承人：民间歌手、故事讲述家、民间说唱艺人，还包括一些在传播民间文学作品中作出突出贡献的宗教人士。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隔行如隔山，为了不跨山，所以他们不隔行。</w:t>
      </w:r>
    </w:p>
    <w:p w:rsidR="00695785" w:rsidRDefault="00695785" w:rsidP="002D1B1C">
      <w:pPr>
        <w:spacing w:line="360" w:lineRule="auto"/>
      </w:pPr>
      <w:r>
        <w:rPr>
          <w:rFonts w:hint="eastAsia"/>
          <w:b/>
        </w:rPr>
        <w:lastRenderedPageBreak/>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知识体系和信仰体系：远古时期人们的知识水平有限，他们对自然的认识往往都停留在盘古、女娲、伏羲、神农这些神级人物身上。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7"/>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lastRenderedPageBreak/>
        <w:t>神话在生活中有两种形态：一，与宗教仪式、民俗活动等结合在一起；二，作为单纯的故事来讲述，用于记录历史，阐述事件。因此对于神话的意义，我们就从这两方面来讨论，文化史和文学审美。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lastRenderedPageBreak/>
        <w:t>总：地方风物传说具有浓厚的地方性和民族性，各地民众认为他们传承的地方风物传说是本地特有的，因而在讲述时表现出浓郁的对乡土的热爱与自豪的情感。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r>
        <w:rPr>
          <w:rFonts w:hint="eastAsia"/>
        </w:rPr>
        <w:t>黍：种子煮熟后可酿酒、做糕，北方叫黄米。稷：高粱。“菽”为豆类的总称。</w:t>
      </w:r>
    </w:p>
    <w:p w:rsidR="00F7693B" w:rsidRPr="00E83F5B" w:rsidRDefault="00F7693B" w:rsidP="00F7693B">
      <w:pPr>
        <w:spacing w:line="360" w:lineRule="auto"/>
        <w:rPr>
          <w:color w:val="39A343" w:themeColor="background1" w:themeShade="80"/>
        </w:rPr>
      </w:pPr>
      <w:r w:rsidRPr="00E83F5B">
        <w:rPr>
          <w:rFonts w:hint="eastAsia"/>
          <w:color w:val="39A343" w:themeColor="background1" w:themeShade="80"/>
        </w:rPr>
        <w:t>前者有稻无麻，后者有麻无稻原因：古代经济文化中心在黄河流域，稻的主要产地在南方，而北方种稻有限，所以“五谷”中最初无稻。直到后来水稻在粮食中的地位日益提升，也就跻身五谷了。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引人入胜，让本来很枯燥的理念活了起来，有了生命力。所以说传……生命力之所在。</w:t>
      </w:r>
    </w:p>
    <w:p w:rsidR="00F7693B" w:rsidRDefault="00F7693B" w:rsidP="00F7693B">
      <w:pPr>
        <w:spacing w:line="360" w:lineRule="auto"/>
      </w:pPr>
      <w:r>
        <w:rPr>
          <w:rFonts w:hint="eastAsia"/>
        </w:rPr>
        <w:t>3.</w:t>
      </w:r>
      <w:r>
        <w:rPr>
          <w:rFonts w:hint="eastAsia"/>
        </w:rPr>
        <w:t>箭垛式的人物形象：鲁班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w:t>
      </w:r>
      <w:r>
        <w:rPr>
          <w:rFonts w:hint="eastAsia"/>
        </w:rPr>
        <w:lastRenderedPageBreak/>
        <w:t>神话：天上打雷了，是不是天神发威了，人类是怎么来的，是不是造物主用泥捏出来的，连蒙带猜。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仙话：修仙，魔法强大，与世无争，如八仙过海，电视剧三生三世十里桃花。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r>
        <w:rPr>
          <w:rFonts w:hint="eastAsia"/>
        </w:rPr>
        <w:t>箭垛式的人物形象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聊天、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w:t>
      </w:r>
      <w:r>
        <w:rPr>
          <w:rFonts w:hint="eastAsia"/>
        </w:rPr>
        <w:lastRenderedPageBreak/>
        <w:t>事的数目浩如烟海，但是这并不意味着故事的情节和类型也那么多。根据故事情节、类型、母题等是可以将浩如烟海的故事分门别类的，其中影响最大的一种分类方法叫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魔法故事：神魔仙怪的，具有超自然的神奇力量。如……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其他六娃的区别，别的娃要么喷火要么隐身都是自己有技能，七娃本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助记：交友家庭户，情人成眷属，巧女配呆婿，长工斗地主，机智小人物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狭心理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w:t>
      </w:r>
      <w:r>
        <w:rPr>
          <w:rFonts w:hint="eastAsia"/>
        </w:rPr>
        <w:lastRenderedPageBreak/>
        <w:t>省，实现人格品质的升华和净化。这是民间笑话存在的意义。</w:t>
      </w:r>
    </w:p>
    <w:p w:rsidR="00F7693B" w:rsidRDefault="00F7693B" w:rsidP="00F7693B">
      <w:pPr>
        <w:spacing w:line="360" w:lineRule="auto"/>
      </w:pPr>
      <w:r>
        <w:rPr>
          <w:rFonts w:hint="eastAsia"/>
        </w:rPr>
        <w:t>4.</w:t>
      </w:r>
      <w:r>
        <w:rPr>
          <w:rFonts w:hint="eastAsia"/>
        </w:rPr>
        <w:t>民间寓言</w:t>
      </w:r>
    </w:p>
    <w:p w:rsidR="00F7693B" w:rsidRDefault="00F7693B" w:rsidP="00F7693B">
      <w:pPr>
        <w:spacing w:line="360" w:lineRule="auto"/>
      </w:pPr>
      <w:r>
        <w:rPr>
          <w:rFonts w:hint="eastAsia"/>
        </w:rPr>
        <w:t>《邯郸学步》：战国时期，一个燕国人听说赵国邯郸人走姿很漂亮，便来到邯郸学习邯郸人走路。未得其能，又忘记自己的走姿，最后爬着回到了燕国。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《自相矛盾》：有一个楚国人卖矛又卖盾，说他的盾坚固得很，随便用什么矛都戳不穿，说他的矛锐利得很，随便什么盾都戳的穿。有个围观的人问道：“用你的矛刺你的盾会怎么样”时，此人无以对答。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总结：我国所区分出的四类民间故事的定义和主要类型，考试可能考名词解释，也可能考特征，特征和定义买一送一，会定义就会特征，你把定义拆开就是特征，把特征组合起来就是定义。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39A343" w:themeColor="background1" w:themeShade="80"/>
        </w:rPr>
      </w:pPr>
      <w:r>
        <w:rPr>
          <w:rFonts w:hint="eastAsia"/>
          <w:color w:val="39A343"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lastRenderedPageBreak/>
        <w:t>传承人特点：有的讲（肚子里得有货）、给谁讲、会讲（会抖包袱，舌灿莲花，吸引听众）、能传承。能讲</w:t>
      </w:r>
      <w:r>
        <w:rPr>
          <w:rFonts w:hint="eastAsia"/>
        </w:rPr>
        <w:t>50</w:t>
      </w:r>
      <w:r>
        <w:rPr>
          <w:rFonts w:hint="eastAsia"/>
        </w:rPr>
        <w:t>个以上故事的人就可以成为讲述家了，但是有这么一个人，他脑子里有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39A343" w:themeColor="background1" w:themeShade="80"/>
        </w:rPr>
        <w:t>如田螺姑娘的故事，这本来是个民间故事，不知道谁编出来的，但是在流传过程中，一些民众就把它依附到本地的特定风物上，如福建闽江下游有螺祖庙、螺仙石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很久很久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文学按照气质和逼格高低分：</w:t>
      </w:r>
      <w:r w:rsidRPr="002054AF">
        <w:rPr>
          <w:rFonts w:hint="eastAsia"/>
          <w:b/>
        </w:rPr>
        <w:t>纯文学</w:t>
      </w:r>
      <w:r>
        <w:rPr>
          <w:rFonts w:hint="eastAsia"/>
        </w:rPr>
        <w:t>：《文学概论》高雅文学又称纯文学，阳春白雪，正统纯碎的具有高逼格的文学。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可是民间另有一种传说，玉帝下旨，令天神赐米面给百姓。每年夏天从天上下米，冬天下面。</w:t>
      </w:r>
      <w:r>
        <w:rPr>
          <w:rFonts w:hint="eastAsia"/>
        </w:rPr>
        <w:lastRenderedPageBreak/>
        <w:t>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擦了屁眼，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狗把这五粒种子种在地里，一夜之间，就成熟了。第二天，黄狗把粮食收回来，看见人们都快要饿死了，便煮了一锅粥，给大家分着吃。这五粒种子孕出来的粮食，就是今天人们说的五谷。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F4D" w:rsidRDefault="00210F4D" w:rsidP="001276B9">
      <w:r>
        <w:separator/>
      </w:r>
    </w:p>
  </w:endnote>
  <w:endnote w:type="continuationSeparator" w:id="0">
    <w:p w:rsidR="00210F4D" w:rsidRDefault="00210F4D"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F4D" w:rsidRDefault="00210F4D" w:rsidP="001276B9">
      <w:r>
        <w:separator/>
      </w:r>
    </w:p>
  </w:footnote>
  <w:footnote w:type="continuationSeparator" w:id="0">
    <w:p w:rsidR="00210F4D" w:rsidRDefault="00210F4D" w:rsidP="00127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6D"/>
    <w:rsid w:val="00011BEA"/>
    <w:rsid w:val="00043B4E"/>
    <w:rsid w:val="00066024"/>
    <w:rsid w:val="000B1B0B"/>
    <w:rsid w:val="001276B9"/>
    <w:rsid w:val="00130CBA"/>
    <w:rsid w:val="00166140"/>
    <w:rsid w:val="00174BC0"/>
    <w:rsid w:val="00180A7F"/>
    <w:rsid w:val="001978CE"/>
    <w:rsid w:val="002054AF"/>
    <w:rsid w:val="00210F4D"/>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C10AD"/>
    <w:rsid w:val="00401C0A"/>
    <w:rsid w:val="00421CBB"/>
    <w:rsid w:val="0043136D"/>
    <w:rsid w:val="0044307C"/>
    <w:rsid w:val="00445D9D"/>
    <w:rsid w:val="00446859"/>
    <w:rsid w:val="004614E0"/>
    <w:rsid w:val="00462987"/>
    <w:rsid w:val="00472BA4"/>
    <w:rsid w:val="004C761A"/>
    <w:rsid w:val="004C7FA2"/>
    <w:rsid w:val="00543202"/>
    <w:rsid w:val="0054524A"/>
    <w:rsid w:val="00557E18"/>
    <w:rsid w:val="00570D73"/>
    <w:rsid w:val="0057389E"/>
    <w:rsid w:val="00584DBC"/>
    <w:rsid w:val="00594753"/>
    <w:rsid w:val="005B0A6B"/>
    <w:rsid w:val="00607CD3"/>
    <w:rsid w:val="00695785"/>
    <w:rsid w:val="006F3BEC"/>
    <w:rsid w:val="006F77BC"/>
    <w:rsid w:val="00757031"/>
    <w:rsid w:val="007B1B1C"/>
    <w:rsid w:val="007D5A39"/>
    <w:rsid w:val="007E2E32"/>
    <w:rsid w:val="008249EA"/>
    <w:rsid w:val="008250C4"/>
    <w:rsid w:val="008950A5"/>
    <w:rsid w:val="00896B6A"/>
    <w:rsid w:val="008B64C9"/>
    <w:rsid w:val="008F13E4"/>
    <w:rsid w:val="009046EB"/>
    <w:rsid w:val="0090522E"/>
    <w:rsid w:val="009173F9"/>
    <w:rsid w:val="0093762E"/>
    <w:rsid w:val="009704CE"/>
    <w:rsid w:val="00981190"/>
    <w:rsid w:val="009A3BF5"/>
    <w:rsid w:val="009B6D96"/>
    <w:rsid w:val="009D3679"/>
    <w:rsid w:val="009E1934"/>
    <w:rsid w:val="00A136E4"/>
    <w:rsid w:val="00A174D7"/>
    <w:rsid w:val="00A26C71"/>
    <w:rsid w:val="00A37F5A"/>
    <w:rsid w:val="00A53A0D"/>
    <w:rsid w:val="00A548C7"/>
    <w:rsid w:val="00AE5BD5"/>
    <w:rsid w:val="00AE7FD7"/>
    <w:rsid w:val="00AF50F2"/>
    <w:rsid w:val="00B00AE9"/>
    <w:rsid w:val="00B054F4"/>
    <w:rsid w:val="00B066BB"/>
    <w:rsid w:val="00BA44B2"/>
    <w:rsid w:val="00BA7D4A"/>
    <w:rsid w:val="00C00D28"/>
    <w:rsid w:val="00C2405D"/>
    <w:rsid w:val="00C34937"/>
    <w:rsid w:val="00C44B27"/>
    <w:rsid w:val="00C54B66"/>
    <w:rsid w:val="00CB2D07"/>
    <w:rsid w:val="00CD3C9C"/>
    <w:rsid w:val="00CE416C"/>
    <w:rsid w:val="00CF50FC"/>
    <w:rsid w:val="00D11111"/>
    <w:rsid w:val="00D1512F"/>
    <w:rsid w:val="00D4232C"/>
    <w:rsid w:val="00D52D06"/>
    <w:rsid w:val="00DB6579"/>
    <w:rsid w:val="00DB7F69"/>
    <w:rsid w:val="00DE2162"/>
    <w:rsid w:val="00E0173D"/>
    <w:rsid w:val="00E05042"/>
    <w:rsid w:val="00E16B9A"/>
    <w:rsid w:val="00E263E4"/>
    <w:rsid w:val="00E31B26"/>
    <w:rsid w:val="00E43482"/>
    <w:rsid w:val="00E4653C"/>
    <w:rsid w:val="00E66A3B"/>
    <w:rsid w:val="00E83F5B"/>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D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1482</Words>
  <Characters>8453</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张海洋</cp:lastModifiedBy>
  <cp:revision>22</cp:revision>
  <dcterms:created xsi:type="dcterms:W3CDTF">2018-12-21T11:01:00Z</dcterms:created>
  <dcterms:modified xsi:type="dcterms:W3CDTF">2018-12-23T09:34:00Z</dcterms:modified>
</cp:coreProperties>
</file>