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3" w:lineRule="auto"/>
        <w:jc w:val="center"/>
      </w:pPr>
      <w:r>
        <w:rPr>
          <w:rFonts w:ascii="맑은 고딕" w:hAnsi="맑은 고딕" w:eastAsia="맑은 고딕"/>
          <w:b/>
          <w:sz w:val="28"/>
        </w:rPr>
        <w:t>LLM 신용개선 권고 실험 결과 종합</w:t>
      </w:r>
    </w:p>
    <w:p>
      <w:pPr>
        <w:spacing w:before="0" w:after="160" w:line="283" w:lineRule="auto"/>
        <w:jc w:val="center"/>
      </w:pPr>
      <w:r>
        <w:rPr>
          <w:rFonts w:ascii="맑은 고딕" w:hAnsi="맑은 고딕" w:eastAsia="맑은 고딕"/>
          <w:b w:val="0"/>
          <w:sz w:val="18"/>
        </w:rPr>
        <w:t>서강대학교 AI·SW대학원 조종선 (A67035)</w:t>
      </w:r>
    </w:p>
    <w:p>
      <w:pPr>
        <w:keepNext/>
        <w:spacing w:before="160" w:after="60" w:line="283" w:lineRule="auto"/>
      </w:pPr>
      <w:r>
        <w:rPr>
          <w:rFonts w:ascii="맑은 고딕" w:hAnsi="맑은 고딕" w:eastAsia="맑은 고딕"/>
          <w:b/>
          <w:sz w:val="21"/>
        </w:rPr>
        <w:t>결론</w:t>
      </w:r>
    </w:p>
    <w:p>
      <w:pPr>
        <w:spacing w:before="0" w:after="40" w:line="283" w:lineRule="auto"/>
      </w:pPr>
      <w:r>
        <w:rPr>
          <w:rFonts w:ascii="맑은 고딕" w:hAnsi="맑은 고딕" w:eastAsia="맑은 고딕"/>
          <w:b w:val="0"/>
          <w:sz w:val="19"/>
        </w:rPr>
        <w:t>기업 신용개선 권고의 품질은 LLM 모델 하나만으로 판단할 수 없으며, 평가 장치의 타당성과 정책 하네스의 구성, 실제 경영 의사결정과의 정합성을 함께 검증해야 한다.</w:t>
      </w:r>
    </w:p>
    <w:p>
      <w:pPr>
        <w:spacing w:before="0" w:after="80" w:line="283" w:lineRule="auto"/>
      </w:pPr>
      <w:r>
        <w:rPr>
          <w:rFonts w:ascii="맑은 고딕" w:hAnsi="맑은 고딕" w:eastAsia="맑은 고딕"/>
          <w:b w:val="0"/>
          <w:sz w:val="16"/>
        </w:rPr>
        <w:t>정책 하네스: 모델, 생성 설정, 권고 방식, 행동공간, 행동크기 조건, 참조, 응답 처리 규칙의 결합. 본 연구의 평가 단위.</w:t>
      </w:r>
    </w:p>
    <w:p>
      <w:pPr>
        <w:keepNext/>
        <w:spacing w:before="160" w:after="60" w:line="283" w:lineRule="auto"/>
      </w:pPr>
      <w:r>
        <w:rPr>
          <w:rFonts w:ascii="맑은 고딕" w:hAnsi="맑은 고딕" w:eastAsia="맑은 고딕"/>
          <w:b/>
          <w:sz w:val="21"/>
        </w:rPr>
        <w:t>1. 연구 구조</w:t>
      </w:r>
    </w:p>
    <w:p>
      <w:pPr>
        <w:spacing w:before="0" w:after="80" w:line="283" w:lineRule="auto"/>
      </w:pPr>
      <w:r>
        <w:rPr>
          <w:rFonts w:ascii="맑은 고딕" w:hAnsi="맑은 고딕" w:eastAsia="맑은 고딕"/>
          <w:b w:val="0"/>
          <w:sz w:val="19"/>
        </w:rPr>
        <w:t>기업의 2024 회계연도 재무상태를 주고 1년 동안 신용을 개선할 행동을 묻는다. 모든 권고는 같은 재무 Simulator로 1년 뒤 재무상태가 되고, 구조가 다른 세 신용평가모형(α 구간형 점수표, β 순서형 로짓, γ 그래디언트 부스팅)으로 채점된다. 정책가치는 같은 기업에서 아무것도 하지 않았을 때(무행동)와의 점수 차이다.</w:t>
      </w:r>
    </w:p>
    <w:p>
      <w:pPr>
        <w:spacing w:before="0" w:after="40" w:line="283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0000" cy="14061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061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</w:pPr>
      <w:r>
        <w:rPr>
          <w:rFonts w:ascii="맑은 고딕" w:hAnsi="맑은 고딕" w:eastAsia="맑은 고딕"/>
          <w:b w:val="0"/>
          <w:sz w:val="19"/>
        </w:rPr>
        <w:t>실행되지 않은 권고의 결과는 관측되지 않으므로 기업별 정답은 없다. 그래서 평가 장치 안의 비교, 기준선(무작위·고정 OE·C3-E)과의 비교, 평가 장치 밖의 기준(Human baseline)을 함께 쓴다.</w:t>
      </w:r>
    </w:p>
    <w:p>
      <w:pPr>
        <w:keepNext/>
        <w:spacing w:before="160" w:after="60" w:line="283" w:lineRule="auto"/>
      </w:pPr>
      <w:r>
        <w:rPr>
          <w:rFonts w:ascii="맑은 고딕" w:hAnsi="맑은 고딕" w:eastAsia="맑은 고딕"/>
          <w:b/>
          <w:sz w:val="21"/>
        </w:rPr>
        <w:t>2. 평가 장치 검증 (RQ1)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535"/>
      </w:tblGrid>
      <w:tr>
        <w:tc>
          <w:tcPr>
            <w:tcW w:type="dxa" w:w="510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검증 항목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510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Oracle과 실제 등급의 순서 (2020~2023년, 1,789개 기업-연도)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순위상관 0.69~0.75</w:t>
            </w:r>
          </w:p>
        </w:tc>
      </w:tr>
      <w:tr>
        <w:tc>
          <w:tcPr>
            <w:tcW w:type="dxa" w:w="510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등급 변화 방향 일치율 (개발 단계 기록)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65~72%</w:t>
            </w:r>
          </w:p>
        </w:tc>
      </w:tr>
      <w:tr>
        <w:tc>
          <w:tcPr>
            <w:tcW w:type="dxa" w:w="510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Simulator 회계 일관성 (자산 = 부채 + 자본)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최대 상대오차 4.66×10⁻¹⁶</w:t>
            </w:r>
          </w:p>
        </w:tc>
      </w:tr>
      <w:tr>
        <w:tc>
          <w:tcPr>
            <w:tcW w:type="dxa" w:w="510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Simulator와 실제 재무의 점수 비교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수준 약 10.8점 높음, 기업 순위상관 0.90, 방향 일치 약 72%</w:t>
            </w:r>
          </w:p>
        </w:tc>
      </w:tr>
      <w:tr>
        <w:tc>
          <w:tcPr>
            <w:tcW w:type="dxa" w:w="510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9개 후보를 모두 같은 점수로 평가한 기업 (α)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28.5%</w:t>
            </w:r>
          </w:p>
        </w:tc>
      </w:tr>
      <w:tr>
        <w:tc>
          <w:tcPr>
            <w:tcW w:type="dxa" w:w="5102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세 Oracle의 최고점 후보가 겹치는 기업</w:t>
            </w:r>
          </w:p>
        </w:tc>
        <w:tc>
          <w:tcPr>
            <w:tcW w:type="dxa" w:w="4535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45.4%</w:t>
            </w:r>
          </w:p>
        </w:tc>
      </w:tr>
    </w:tbl>
    <w:p>
      <w:pPr>
        <w:spacing w:before="40" w:after="80" w:line="283" w:lineRule="auto"/>
      </w:pPr>
      <w:r>
        <w:rPr>
          <w:rFonts w:ascii="맑은 고딕" w:hAnsi="맑은 고딕" w:eastAsia="맑은 고딕"/>
          <w:b w:val="0"/>
          <w:sz w:val="16"/>
        </w:rPr>
        <w:t>등급 예측의 정렬과 행동 채점의 타당성은 별개이다. 결과는 같은 기업 안에서 무행동 대비 1년 상대 비교로 해석한다.</w:t>
      </w:r>
    </w:p>
    <w:p>
      <w:pPr>
        <w:keepNext/>
        <w:spacing w:before="160" w:after="60" w:line="283" w:lineRule="auto"/>
      </w:pPr>
      <w:r>
        <w:rPr>
          <w:rFonts w:ascii="맑은 고딕" w:hAnsi="맑은 고딕" w:eastAsia="맑은 고딕"/>
          <w:b/>
          <w:sz w:val="21"/>
        </w:rPr>
        <w:t>3. 강화학습 참조정책 C3-E (575개 기업, 무행동 대비)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1587"/>
        <w:gridCol w:w="1587"/>
        <w:gridCol w:w="1587"/>
      </w:tblGrid>
      <w:tr>
        <w:tc>
          <w:tcPr>
            <w:tcW w:type="dxa" w:w="4876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정책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α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β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γ</w:t>
            </w:r>
          </w:p>
        </w:tc>
      </w:tr>
      <w:tr>
        <w:tc>
          <w:tcPr>
            <w:tcW w:type="dxa" w:w="4876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무작위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+0.353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876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 OE (모든 기업에 비용 절감)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+0.765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+0.278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+0.194</w:t>
            </w:r>
          </w:p>
        </w:tc>
      </w:tr>
      <w:tr>
        <w:tc>
          <w:tcPr>
            <w:tcW w:type="dxa" w:w="4876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C3-E (28개 actor: 4개 구성 × 7개 시드)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+0.923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+0.207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+0.246</w:t>
            </w:r>
          </w:p>
        </w:tc>
      </w:tr>
      <w:tr>
        <w:tc>
          <w:tcPr>
            <w:tcW w:type="dxa" w:w="4876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상한 (기업별 사후 최선 후보)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+1.401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</w:r>
          </w:p>
        </w:tc>
      </w:tr>
      <w:tr>
        <w:tc>
          <w:tcPr>
            <w:tcW w:type="dxa" w:w="4876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C3-E − 고정 OE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+0.158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−0.071</w:t>
            </w:r>
          </w:p>
        </w:tc>
        <w:tc>
          <w:tcPr>
            <w:tcW w:type="dxa" w:w="158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+0.052</w:t>
            </w:r>
          </w:p>
        </w:tc>
      </w:tr>
    </w:tbl>
    <w:p>
      <w:pPr>
        <w:spacing w:before="40" w:after="80" w:line="283" w:lineRule="auto"/>
      </w:pPr>
      <w:r>
        <w:rPr>
          <w:rFonts w:ascii="맑은 고딕" w:hAnsi="맑은 고딕" w:eastAsia="맑은 고딕"/>
          <w:b w:val="0"/>
          <w:sz w:val="16"/>
        </w:rPr>
        <w:t>α의 C3-E − 고정 OE 95% 구간 [0.065, 0.251]. β에서는 고정 OE보다 낮음. 고정 OE와 다른 행동을 고른 343개 기업 중 점수 상승 100개, 하락 102개. 2024년 자료로 최종 구성을 골랐으므로 독립 검증 표본이 아님. 따라서 C3-E는 정답이 아니라 LLM 수정에 쓰는 참조로 사용.</w:t>
      </w:r>
    </w:p>
    <w:p>
      <w:pPr>
        <w:keepNext/>
        <w:spacing w:before="160" w:after="60" w:line="283" w:lineRule="auto"/>
      </w:pPr>
      <w:r>
        <w:rPr>
          <w:rFonts w:ascii="맑은 고딕" w:hAnsi="맑은 고딕" w:eastAsia="맑은 고딕"/>
          <w:b/>
          <w:sz w:val="21"/>
        </w:rPr>
        <w:t>4. LLM 권고 실험 (RQ2~RQ5)</w:t>
      </w:r>
    </w:p>
    <w:p>
      <w:pPr>
        <w:spacing w:before="0" w:after="80" w:line="283" w:lineRule="auto"/>
      </w:pPr>
      <w:r>
        <w:rPr>
          <w:rFonts w:ascii="맑은 고딕" w:hAnsi="맑은 고딕" w:eastAsia="맑은 고딕"/>
          <w:b w:val="0"/>
          <w:sz w:val="19"/>
        </w:rPr>
        <w:t>GPT-5.4-mini와 Gemini 3.1 Flash-Lite로 575개 기업에서 21개 조건과 두 생성 설정(추론 낮음·높음)을 실행하였다(48,300건 요청).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1814"/>
        <w:gridCol w:w="1814"/>
        <w:gridCol w:w="1814"/>
        <w:gridCol w:w="1814"/>
      </w:tblGrid>
      <w:tr>
        <w:tc>
          <w:tcPr>
            <w:tcW w:type="dxa" w:w="238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모델 · 생성 설정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자유 작성 수용률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자유 작성 정책가치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후보 선택 수용률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후보 선택 정책가치</w:t>
            </w:r>
          </w:p>
        </w:tc>
      </w:tr>
      <w:tr>
        <w:tc>
          <w:tcPr>
            <w:tcW w:type="dxa" w:w="238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GPT · 추론 낮음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44.3%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+0.265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95.1%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+0.602</w:t>
            </w:r>
          </w:p>
        </w:tc>
      </w:tr>
      <w:tr>
        <w:tc>
          <w:tcPr>
            <w:tcW w:type="dxa" w:w="238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Gemini · 추론 낮음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15.3%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+0.147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100.0%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+0.850</w:t>
            </w:r>
          </w:p>
        </w:tc>
      </w:tr>
      <w:tr>
        <w:tc>
          <w:tcPr>
            <w:tcW w:type="dxa" w:w="238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GPT · 추론 높음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97.4%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+0.785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96.7%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+0.767</w:t>
            </w:r>
          </w:p>
        </w:tc>
      </w:tr>
      <w:tr>
        <w:tc>
          <w:tcPr>
            <w:tcW w:type="dxa" w:w="238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Gemini · 추론 높음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99.1%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+0.805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100.0%</w:t>
            </w:r>
          </w:p>
        </w:tc>
        <w:tc>
          <w:tcPr>
            <w:tcW w:type="dxa" w:w="181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+0.794</w:t>
            </w:r>
          </w:p>
        </w:tc>
      </w:tr>
    </w:tbl>
    <w:p>
      <w:pPr>
        <w:spacing w:before="40" w:after="80" w:line="283" w:lineRule="auto"/>
      </w:pPr>
      <w:r>
        <w:rPr>
          <w:rFonts w:ascii="맑은 고딕" w:hAnsi="맑은 고딕" w:eastAsia="맑은 고딕"/>
          <w:b w:val="0"/>
          <w:sz w:val="16"/>
        </w:rPr>
        <w:t>직접 작성(C4), B1(총 행동크기 1 이하), Oracle-α. 추론 높음 자유 작성은 고정 OE와 구별되지 않았고(+0.020, +0.040), C3-E보다 낮았다(차이 0.138, 0.118).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1020"/>
        <w:gridCol w:w="1020"/>
        <w:gridCol w:w="3628"/>
      </w:tblGrid>
      <w:tr>
        <w:tc>
          <w:tcPr>
            <w:tcW w:type="dxa" w:w="3969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GPT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Gemini</w:t>
            </w:r>
          </w:p>
        </w:tc>
        <w:tc>
          <w:tcPr>
            <w:tcW w:type="dxa" w:w="362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비고</w:t>
            </w:r>
          </w:p>
        </w:tc>
      </w:tr>
      <w:tr>
        <w:tc>
          <w:tcPr>
            <w:tcW w:type="dxa" w:w="3969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강화학습 참조 효과: C6-E − C4R (자유 작성, 추론 높음, B1)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+0.100*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+0.090*</w:t>
            </w:r>
          </w:p>
        </w:tc>
        <w:tc>
          <w:tcPr>
            <w:tcW w:type="dxa" w:w="362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자유 작성 24개 조합 모두 양수, 9개 Holm p&lt;.05</w:t>
            </w:r>
          </w:p>
        </w:tc>
      </w:tr>
      <w:tr>
        <w:tc>
          <w:tcPr>
            <w:tcW w:type="dxa" w:w="3969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강화학습 참조 효과: C6-E − C4R (후보 선택, 추론 높음)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+0.009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+0.037</w:t>
            </w:r>
          </w:p>
        </w:tc>
        <w:tc>
          <w:tcPr>
            <w:tcW w:type="dxa" w:w="362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유의하지 않음</w:t>
            </w:r>
          </w:p>
        </w:tc>
      </w:tr>
      <w:tr>
        <w:tc>
          <w:tcPr>
            <w:tcW w:type="dxa" w:w="3969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C3-E와 같은 후보 선택 (후보 선택, 추론 높음)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42.4%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37.7%</w:t>
            </w:r>
          </w:p>
        </w:tc>
        <w:tc>
          <w:tcPr>
            <w:tcW w:type="dxa" w:w="362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행동 비율로 기대되는 값 26.5%, 25.3%</w:t>
            </w:r>
          </w:p>
        </w:tc>
      </w:tr>
      <w:tr>
        <w:tc>
          <w:tcPr>
            <w:tcW w:type="dxa" w:w="3969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반복 실행: 행동 완전 일치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48.6%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7.5%</w:t>
            </w:r>
          </w:p>
        </w:tc>
        <w:tc>
          <w:tcPr>
            <w:tcW w:type="dxa" w:w="362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자유 작성 C4, 추론 높음, B1</w:t>
            </w:r>
          </w:p>
        </w:tc>
      </w:tr>
      <w:tr>
        <w:tc>
          <w:tcPr>
            <w:tcW w:type="dxa" w:w="3969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반복 실행: 사용 축 일치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65.6%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38.0%</w:t>
            </w:r>
          </w:p>
        </w:tc>
        <w:tc>
          <w:tcPr>
            <w:tcW w:type="dxa" w:w="362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조건</w:t>
            </w:r>
          </w:p>
        </w:tc>
      </w:tr>
      <w:tr>
        <w:tc>
          <w:tcPr>
            <w:tcW w:type="dxa" w:w="3969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반복 실행: 평균 정규화 거리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0.438</w:t>
            </w:r>
          </w:p>
        </w:tc>
        <w:tc>
          <w:tcPr>
            <w:tcW w:type="dxa" w:w="102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center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0.553</w:t>
            </w:r>
          </w:p>
        </w:tc>
        <w:tc>
          <w:tcPr>
            <w:tcW w:type="dxa" w:w="362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B1에서 한 권고의 총 행동크기 1 이하</w:t>
            </w:r>
          </w:p>
        </w:tc>
      </w:tr>
    </w:tbl>
    <w:p>
      <w:pPr>
        <w:spacing w:before="40" w:after="80" w:line="283" w:lineRule="auto"/>
      </w:pPr>
      <w:r>
        <w:rPr>
          <w:rFonts w:ascii="맑은 고딕" w:hAnsi="맑은 고딕" w:eastAsia="맑은 고딕"/>
          <w:b w:val="0"/>
          <w:sz w:val="16"/>
        </w:rPr>
        <w:t>C4R: 같은 C4 초안을 참조 없이 다시 검토. C6-E: 해당 기업의 C3-E 행동을 참조로 보여 주고 수정. * Holm 보정 p&lt;.05. 업종 코드·기업명 추가(추론 낮음)는 12개 비교 모두 보정 후 유의한 차이 없음.</w:t>
      </w:r>
    </w:p>
    <w:p>
      <w:pPr>
        <w:keepNext/>
        <w:spacing w:before="160" w:after="60" w:line="283" w:lineRule="auto"/>
      </w:pPr>
      <w:r>
        <w:rPr>
          <w:rFonts w:ascii="맑은 고딕" w:hAnsi="맑은 고딕" w:eastAsia="맑은 고딕"/>
          <w:b/>
          <w:sz w:val="21"/>
        </w:rPr>
        <w:t>5. Human baseline 비교 (RQ6, 별도 2쪽 자료)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4"/>
        <w:gridCol w:w="7143"/>
      </w:tblGrid>
      <w:tr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항목</w:t>
            </w:r>
          </w:p>
        </w:tc>
        <w:tc>
          <w:tcPr>
            <w:tcW w:type="dxa" w:w="7143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자료</w:t>
            </w:r>
          </w:p>
        </w:tc>
        <w:tc>
          <w:tcPr>
            <w:tcW w:type="dxa" w:w="7143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신용평가사·증권사 문서 236건, 161개 기업 (2025.1.1~6.30)</w:t>
            </w:r>
          </w:p>
        </w:tc>
      </w:tr>
      <w:tr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정책가치 (53개 기업, α)</w:t>
            </w:r>
          </w:p>
        </w:tc>
        <w:tc>
          <w:tcPr>
            <w:tcW w:type="dxa" w:w="7143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C4 +0.857 / +0.762, C6-E +0.820 / +0.776, Human baseline +0.638</w:t>
            </w:r>
          </w:p>
        </w:tc>
      </w:tr>
      <w:tr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차이와 95% 신뢰구간</w:t>
            </w:r>
          </w:p>
        </w:tc>
        <w:tc>
          <w:tcPr>
            <w:tcW w:type="dxa" w:w="7143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C4 − HB: +0.219 [−0.138, +0.607], +0.124 [−0.341, +0.586] → 모두 0 포함</w:t>
            </w:r>
          </w:p>
        </w:tc>
      </w:tr>
      <w:tr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행동 종류 (56개 기업)</w:t>
            </w:r>
          </w:p>
        </w:tc>
        <w:tc>
          <w:tcPr>
            <w:tcW w:type="dxa" w:w="7143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LLM: 비용 절감, 단기차입의 장기 전환 / 문서: 투자 축소·확대, 상환, 만기연장·재조달, 장기 전환 0건</w:t>
            </w:r>
          </w:p>
        </w:tc>
      </w:tr>
      <w:tr>
        <w:tc>
          <w:tcPr>
            <w:tcW w:type="dxa" w:w="24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같은 기업에서의 행동 일치</w:t>
            </w:r>
          </w:p>
        </w:tc>
        <w:tc>
          <w:tcPr>
            <w:tcW w:type="dxa" w:w="7143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30" w:after="30"/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GPT 0.250 (기대값 0.269), Gemini 0.339 (기대값 0.329)</w:t>
            </w:r>
          </w:p>
        </w:tc>
      </w:tr>
    </w:tbl>
    <w:p>
      <w:pPr>
        <w:spacing w:before="40" w:after="80" w:line="283" w:lineRule="auto"/>
      </w:pPr>
      <w:r>
        <w:rPr>
          <w:rFonts w:ascii="맑은 고딕" w:hAnsi="맑은 고딕" w:eastAsia="맑은 고딕"/>
          <w:b w:val="0"/>
          <w:sz w:val="16"/>
        </w:rPr>
        <w:t>값은 GPT / Gemini 순서. 기대값은 기업 사이 무작위 짝짓기의 기대값. 두 행동은 목표와 의사결정의 성격이 달라, 점수 차이를 LLM과 기업 경영 판단의 우열로 해석하지 않는다.</w:t>
      </w:r>
    </w:p>
    <w:p>
      <w:pPr>
        <w:keepNext/>
        <w:spacing w:before="160" w:after="60" w:line="283" w:lineRule="auto"/>
      </w:pPr>
      <w:r>
        <w:rPr>
          <w:rFonts w:ascii="맑은 고딕" w:hAnsi="맑은 고딕" w:eastAsia="맑은 고딕"/>
          <w:b/>
          <w:sz w:val="21"/>
        </w:rPr>
        <w:t>6. 주요 발견</w:t>
      </w:r>
    </w:p>
    <w:p>
      <w:pPr>
        <w:spacing w:before="0" w:after="40" w:line="283" w:lineRule="auto"/>
        <w:ind w:left="283" w:hanging="283"/>
      </w:pPr>
      <w:r>
        <w:rPr>
          <w:rFonts w:ascii="맑은 고딕" w:hAnsi="맑은 고딕" w:eastAsia="맑은 고딕"/>
          <w:b w:val="0"/>
          <w:sz w:val="19"/>
        </w:rPr>
        <w:t>1.  평가 장치: Oracle은 실제 등급의 순서를 따르지만, 같은 기업 안에서 행동을 구별하는 능력은 제한적이다(28.5%, 45.4%).</w:t>
      </w:r>
    </w:p>
    <w:p>
      <w:pPr>
        <w:spacing w:before="0" w:after="40" w:line="283" w:lineRule="auto"/>
        <w:ind w:left="283" w:hanging="283"/>
      </w:pPr>
      <w:r>
        <w:rPr>
          <w:rFonts w:ascii="맑은 고딕" w:hAnsi="맑은 고딕" w:eastAsia="맑은 고딕"/>
          <w:b w:val="0"/>
          <w:sz w:val="19"/>
        </w:rPr>
        <w:t>2.  실행 가능성: 정책가치는 규칙을 지킨 응답의 비율에 크게 좌우되었다. 같은 모델에서 생성 설정만 바꿔도 무작위 미만에서 고정 OE 수준까지 움직였다.</w:t>
      </w:r>
    </w:p>
    <w:p>
      <w:pPr>
        <w:spacing w:before="0" w:after="40" w:line="283" w:lineRule="auto"/>
        <w:ind w:left="283" w:hanging="283"/>
      </w:pPr>
      <w:r>
        <w:rPr>
          <w:rFonts w:ascii="맑은 고딕" w:hAnsi="맑은 고딕" w:eastAsia="맑은 고딕"/>
          <w:b w:val="0"/>
          <w:sz w:val="19"/>
        </w:rPr>
        <w:t>3.  강화학습 참조: 해당 기업의 C3-E 행동을 보여 준 수정은 자유 작성 24개 조합 모두에서 참조 없는 재검토보다 높았다. 자기 재검토의 이득 일부는 실행할 수 없던 초안을 고친 효과였다.</w:t>
      </w:r>
    </w:p>
    <w:p>
      <w:pPr>
        <w:spacing w:before="0" w:after="40" w:line="283" w:lineRule="auto"/>
        <w:ind w:left="283" w:hanging="283"/>
      </w:pPr>
      <w:r>
        <w:rPr>
          <w:rFonts w:ascii="맑은 고딕" w:hAnsi="맑은 고딕" w:eastAsia="맑은 고딕"/>
          <w:b w:val="0"/>
          <w:sz w:val="19"/>
        </w:rPr>
        <w:t>4.  기업별 부가가치와 안정성: LLM이 기업별 정보로 고정 OE보다 높은 정책가치를 안정적으로 만든다는 증거는 확인되지 않았다. 선택은 비용 절감과 장기 전환에 집중되었고, 반복 실행에서 기업별 권고가 자주 달라졌다.</w:t>
      </w:r>
    </w:p>
    <w:p>
      <w:pPr>
        <w:spacing w:before="0" w:after="40" w:line="283" w:lineRule="auto"/>
        <w:ind w:left="283" w:hanging="283"/>
      </w:pPr>
      <w:r>
        <w:rPr>
          <w:rFonts w:ascii="맑은 고딕" w:hAnsi="맑은 고딕" w:eastAsia="맑은 고딕"/>
          <w:b w:val="0"/>
          <w:sz w:val="19"/>
        </w:rPr>
        <w:t>5.  Human baseline: LLM 권고의 평균 점수는 문서의 행동보다 높았지만 차이는 유의하지 않았고, 행동의 종류가 달랐다.</w:t>
      </w:r>
    </w:p>
    <w:p>
      <w:pPr>
        <w:keepNext/>
        <w:spacing w:before="160" w:after="60" w:line="283" w:lineRule="auto"/>
      </w:pPr>
      <w:r>
        <w:rPr>
          <w:rFonts w:ascii="맑은 고딕" w:hAnsi="맑은 고딕" w:eastAsia="맑은 고딕"/>
          <w:b/>
          <w:sz w:val="21"/>
        </w:rPr>
        <w:t>7. 논문 작성 계획</w:t>
      </w:r>
    </w:p>
    <w:p>
      <w:pPr>
        <w:spacing w:before="0" w:after="40" w:line="283" w:lineRule="auto"/>
        <w:ind w:left="283" w:hanging="283"/>
      </w:pPr>
      <w:r>
        <w:rPr>
          <w:rFonts w:ascii="맑은 고딕" w:hAnsi="맑은 고딕" w:eastAsia="맑은 고딕"/>
          <w:b w:val="0"/>
          <w:sz w:val="19"/>
        </w:rPr>
        <w:t>1.  추가 실험 없이 현재 결과로 논문을 확정한다.</w:t>
      </w:r>
    </w:p>
    <w:p>
      <w:pPr>
        <w:spacing w:before="0" w:after="40" w:line="283" w:lineRule="auto"/>
        <w:ind w:left="283" w:hanging="283"/>
      </w:pPr>
      <w:r>
        <w:rPr>
          <w:rFonts w:ascii="맑은 고딕" w:hAnsi="맑은 고딕" w:eastAsia="맑은 고딕"/>
          <w:b w:val="0"/>
          <w:sz w:val="19"/>
        </w:rPr>
        <w:t>2.  Human baseline 비교는 제7장으로 두고, 결론은 위 문장을 기준으로 정리한다.</w:t>
      </w:r>
    </w:p>
    <w:p>
      <w:pPr>
        <w:spacing w:before="0" w:after="40" w:line="283" w:lineRule="auto"/>
        <w:ind w:left="283" w:hanging="283"/>
      </w:pPr>
      <w:r>
        <w:rPr>
          <w:rFonts w:ascii="맑은 고딕" w:hAnsi="맑은 고딕" w:eastAsia="맑은 고딕"/>
          <w:b w:val="0"/>
          <w:sz w:val="19"/>
        </w:rPr>
        <w:t>3.  논문 최종본을 송부드리고, 검토 의견을 반영해 심사를 준비한다.</w:t>
      </w:r>
    </w:p>
    <w:p>
      <w:pPr>
        <w:sectPr>
          <w:pgSz w:w="11906" w:h="16838"/>
          <w:pgMar w:top="850" w:right="1134" w:bottom="737" w:left="1134" w:header="720" w:footer="720" w:gutter="0"/>
          <w:cols w:space="720"/>
          <w:docGrid w:linePitch="360"/>
        </w:sectPr>
      </w:pPr>
    </w:p>
    <w:p>
      <w:pPr>
        <w:spacing w:before="0" w:after="60" w:line="283" w:lineRule="auto"/>
      </w:pPr>
      <w:r>
        <w:rPr>
          <w:rFonts w:ascii="맑은 고딕" w:hAnsi="맑은 고딕" w:eastAsia="맑은 고딕"/>
          <w:b/>
          <w:sz w:val="22"/>
        </w:rPr>
        <w:t>붙임. Human baseline 비교 대상 56개 기업의 행동</w:t>
      </w:r>
    </w:p>
    <w:p>
      <w:pPr>
        <w:spacing w:before="0" w:after="80" w:line="283" w:lineRule="auto"/>
      </w:pPr>
      <w:r>
        <w:rPr>
          <w:rFonts w:ascii="맑은 고딕" w:hAnsi="맑은 고딕" w:eastAsia="맑은 고딕"/>
          <w:b w:val="0"/>
          <w:sz w:val="16"/>
        </w:rPr>
        <w:t>LLM·C3-E: 후보 선택, 추론 높음, B1. 「문서에 기재된 행동」은 행동공간 안의 종류이고, 「채점용 후보」는 이를 표준 행동크기로 바꾼 것(정책가치 비교에 사용).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871"/>
        <w:gridCol w:w="907"/>
        <w:gridCol w:w="2608"/>
        <w:gridCol w:w="850"/>
        <w:gridCol w:w="1191"/>
        <w:gridCol w:w="1644"/>
        <w:gridCol w:w="964"/>
        <w:gridCol w:w="680"/>
        <w:gridCol w:w="794"/>
        <w:gridCol w:w="907"/>
        <w:gridCol w:w="907"/>
        <w:gridCol w:w="964"/>
      </w:tblGrid>
      <w:tr>
        <w:trPr>
          <w:tblHeader w:val="true"/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번호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기업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출처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문서에 기재된 행동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투자 확대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만기연장·재조달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채점용 후보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변환 규칙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C3-E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C4 GPT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C4 Gemini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C6-E GPT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top w:val="single" w:sz="8" w:color="000000"/>
              <w:bottom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/>
                <w:sz w:val="14"/>
              </w:rPr>
              <w:t>C6-E Gemini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강남제비스코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CX+DL+OE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고려아연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금호타이어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녹십자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대한해운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동화기업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롯데렌탈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무림페이퍼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보령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삼성중공업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송원산업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씨제이씨지브이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씨제이이엔엠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에이치엠엠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에코프로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에코프로비엠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컴투스홀딩스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케이씨씨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19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케이티앤지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티케이지휴켐스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팬오션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하림지주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한화오션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현대글로비스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현대모비스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축소, 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현대자동차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현대코퍼레이션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화신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29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효성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효성티앤씨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투자 축소, 상환, 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CX+DL+WC+OE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효성화학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휴비스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신용평가사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교촌에프앤비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네오팜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대양전기공업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미스토홀딩스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절감, 운전자본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균등: WC+OE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균등 배분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비엠티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상환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DL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빙그레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39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산일전기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삼보산업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삼진엘앤디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스톰테크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MX2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A0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스튜디오드래곤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쎄트렉아이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에이치디현대마린엔진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엔피케이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47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오씨아이홀딩스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투자 축소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축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48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율촌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49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쿠콘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50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킵스바이오파마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51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한국카본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RF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52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현대무벡스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MX1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53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후성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예</w:t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종류 일치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CX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54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인텔리안테크놀로지스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단일 후보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WC1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  <w:top w:val="single" w:sz="4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55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종근당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단일 후보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WC2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nil" w:sz="0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  <w:tr>
        <w:trPr>
          <w:cantSplit/>
        </w:trPr>
        <w:tc>
          <w:tcPr>
            <w:tcW w:type="dxa" w:w="51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56</w:t>
            </w:r>
          </w:p>
        </w:tc>
        <w:tc>
          <w:tcPr>
            <w:tcW w:type="dxa" w:w="187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콜마비앤에이치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증권사 등</w:t>
            </w:r>
          </w:p>
        </w:tc>
        <w:tc>
          <w:tcPr>
            <w:tcW w:type="dxa" w:w="2608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비용 절감</w:t>
            </w:r>
          </w:p>
        </w:tc>
        <w:tc>
          <w:tcPr>
            <w:tcW w:type="dxa" w:w="85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191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</w:r>
          </w:p>
        </w:tc>
        <w:tc>
          <w:tcPr>
            <w:tcW w:type="dxa" w:w="164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left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단일 후보</w:t>
            </w:r>
          </w:p>
        </w:tc>
        <w:tc>
          <w:tcPr>
            <w:tcW w:type="dxa" w:w="680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79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07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  <w:tc>
          <w:tcPr>
            <w:tcW w:type="dxa" w:w="964"/>
            <w:tcBorders>
              <w:left w:val="nil" w:sz="0" w:color="000000"/>
              <w:right w:val="nil" w:sz="0" w:color="000000"/>
              <w:insideH w:val="nil" w:sz="0" w:color="000000"/>
              <w:insideV w:val="nil" w:sz="0" w:color="000000"/>
              <w:bottom w:val="single" w:sz="8" w:color="000000"/>
            </w:tcBorders>
          </w:tcPr>
          <w:p>
            <w:pPr>
              <w:keepNext w:val="0"/>
              <w:spacing w:before="6" w:after="6" w:line="240" w:lineRule="auto"/>
              <w:jc w:val="center"/>
              <w:rPr>
                <w:sz w:val="14"/>
              </w:rPr>
            </w:pPr>
            <w:r/>
            <w:r>
              <w:rPr>
                <w:rFonts w:ascii="맑은 고딕" w:hAnsi="맑은 고딕" w:eastAsia="맑은 고딕"/>
                <w:b w:val="0"/>
                <w:sz w:val="14"/>
              </w:rPr>
              <w:t>OE</w:t>
            </w:r>
          </w:p>
        </w:tc>
      </w:tr>
    </w:tbl>
    <w:p>
      <w:pPr>
        <w:spacing w:before="0" w:after="40" w:line="283" w:lineRule="auto"/>
      </w:pPr>
    </w:p>
    <w:p>
      <w:pPr>
        <w:spacing w:before="0" w:after="20" w:line="283" w:lineRule="auto"/>
      </w:pPr>
      <w:r>
        <w:rPr>
          <w:rFonts w:ascii="맑은 고딕" w:hAnsi="맑은 고딕" w:eastAsia="맑은 고딕"/>
          <w:b w:val="0"/>
          <w:sz w:val="15"/>
        </w:rPr>
        <w:t>후보: A0 무행동(규칙 위반 응답 포함), DL 차입금 상환, RF 단기차입의 장기 전환, CX 설비투자 축소, WC1 운전자본 회수, WC2 공급자금융(WC1 + 매입채무 지급기간 연장), OE 비용효율화(원가·판관비 절감), MX1 상환·비용 복합, MX2 상환·운전자본 복합. 「균등: X+Y」는 기재된 축에 총 행동크기 1을 균등하게 나눈 행동.</w:t>
      </w:r>
    </w:p>
    <w:p>
      <w:pPr>
        <w:spacing w:before="0" w:after="0" w:line="283" w:lineRule="auto"/>
      </w:pPr>
      <w:r>
        <w:rPr>
          <w:rFonts w:ascii="맑은 고딕" w:hAnsi="맑은 고딕" w:eastAsia="맑은 고딕"/>
          <w:b w:val="0"/>
          <w:sz w:val="15"/>
        </w:rPr>
        <w:t>변환 규칙(순서대로 적용): 축 일치 = 기재된 축 집합이 한 후보와 같음(14개) / 종류 일치 = 행동 종류 조합이 한 후보와 같음(25개) / 균등 배분 = 그 밖(14개). 54~56번은 문서 행동이 OE 하나에 정확히 대응하는 단일 후보 기업(3개)으로, 점수 비교 53개에서 제외. 투자 확대와 만기연장·재조달은 행동공간 밖이라 채점용 후보에 넣지 않음.</w:t>
      </w:r>
    </w:p>
    <w:sectPr w:rsidR="00FC693F" w:rsidRPr="0006063C" w:rsidSect="00034616">
      <w:pgSz w:w="16838" w:h="11906" w:orient="landscape"/>
      <w:pgMar w:top="794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LLM 신용개선 권고 실험 결과 종합</dc:title>
  <dc:subject/>
  <dc:creator>조종선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