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85D1" w14:textId="77777777" w:rsidR="002C26A0" w:rsidRDefault="00000000">
      <w:pPr>
        <w:spacing w:after="40" w:line="300" w:lineRule="auto"/>
        <w:jc w:val="center"/>
      </w:pPr>
      <w:r>
        <w:rPr>
          <w:b/>
          <w:sz w:val="28"/>
        </w:rPr>
        <w:t>LLM – Human baseline 비교</w:t>
      </w:r>
    </w:p>
    <w:p w14:paraId="068A84DC" w14:textId="3EAD929D" w:rsidR="002C26A0" w:rsidRDefault="00A91DA2">
      <w:pPr>
        <w:spacing w:after="160" w:line="300" w:lineRule="auto"/>
        <w:jc w:val="center"/>
        <w:rPr>
          <w:lang w:eastAsia="ko-KR"/>
        </w:rPr>
      </w:pPr>
      <w:r>
        <w:rPr>
          <w:rFonts w:hint="eastAsia"/>
          <w:sz w:val="18"/>
          <w:lang w:eastAsia="ko-KR"/>
        </w:rPr>
        <w:t>서강대학교 AI·SW대학원</w:t>
      </w:r>
      <w:r>
        <w:rPr>
          <w:sz w:val="18"/>
          <w:lang w:eastAsia="ko-KR"/>
        </w:rPr>
        <w:t xml:space="preserve"> 조종선 (A67035)</w:t>
      </w:r>
    </w:p>
    <w:p w14:paraId="0B17AEE9" w14:textId="77777777" w:rsidR="002C26A0" w:rsidRDefault="00000000">
      <w:pPr>
        <w:keepNext/>
        <w:spacing w:before="160" w:after="60" w:line="300" w:lineRule="auto"/>
      </w:pPr>
      <w:r>
        <w:rPr>
          <w:b/>
          <w:sz w:val="21"/>
        </w:rPr>
        <w:t>1. 비교 대상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597"/>
      </w:tblGrid>
      <w:tr w:rsidR="002C26A0" w14:paraId="55F1E290" w14:textId="77777777">
        <w:trPr>
          <w:jc w:val="center"/>
        </w:trPr>
        <w:tc>
          <w:tcPr>
            <w:tcW w:w="204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69DE2F5" w14:textId="77777777" w:rsidR="002C26A0" w:rsidRDefault="00000000">
            <w:pPr>
              <w:keepNext/>
              <w:spacing w:before="30" w:after="3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75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218A155" w14:textId="77777777" w:rsidR="002C26A0" w:rsidRDefault="00000000">
            <w:pPr>
              <w:keepNext/>
              <w:spacing w:before="30" w:after="30"/>
            </w:pPr>
            <w:r>
              <w:rPr>
                <w:b/>
                <w:sz w:val="18"/>
              </w:rPr>
              <w:t>내용</w:t>
            </w:r>
          </w:p>
        </w:tc>
      </w:tr>
      <w:tr w:rsidR="002C26A0" w14:paraId="1069D92F" w14:textId="77777777">
        <w:trPr>
          <w:jc w:val="center"/>
        </w:trPr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3B8DA05B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LLM 직접 권고 (C4)</w:t>
            </w:r>
          </w:p>
        </w:tc>
        <w:tc>
          <w:tcPr>
            <w:tcW w:w="7597" w:type="dxa"/>
            <w:tcBorders>
              <w:left w:val="nil"/>
              <w:bottom w:val="nil"/>
              <w:right w:val="nil"/>
            </w:tcBorders>
          </w:tcPr>
          <w:p w14:paraId="434D8811" w14:textId="77777777" w:rsidR="002C26A0" w:rsidRDefault="00000000">
            <w:pPr>
              <w:keepNext/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기업 재무정보만 보고 처음부터 작성한 LLM 권고</w:t>
            </w:r>
          </w:p>
        </w:tc>
      </w:tr>
      <w:tr w:rsidR="002C26A0" w14:paraId="39E80FE4" w14:textId="77777777">
        <w:trPr>
          <w:jc w:val="center"/>
        </w:trPr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47BD8DDB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RL 참조 LLM (C6-E)</w:t>
            </w:r>
          </w:p>
        </w:tc>
        <w:tc>
          <w:tcPr>
            <w:tcW w:w="7597" w:type="dxa"/>
            <w:tcBorders>
              <w:left w:val="nil"/>
              <w:bottom w:val="nil"/>
              <w:right w:val="nil"/>
            </w:tcBorders>
          </w:tcPr>
          <w:p w14:paraId="4DF7E3B9" w14:textId="77777777" w:rsidR="002C26A0" w:rsidRDefault="00000000">
            <w:pPr>
              <w:keepNext/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기업에 대한 강화학습 참조정책(C3-E)의 행동을 보여 주고 수정한 LLM 권고</w:t>
            </w:r>
          </w:p>
        </w:tc>
      </w:tr>
      <w:tr w:rsidR="002C26A0" w14:paraId="18B33DA7" w14:textId="77777777">
        <w:trPr>
          <w:jc w:val="center"/>
        </w:trPr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16B675F2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Human baseline</w:t>
            </w:r>
          </w:p>
        </w:tc>
        <w:tc>
          <w:tcPr>
            <w:tcW w:w="7597" w:type="dxa"/>
            <w:tcBorders>
              <w:left w:val="nil"/>
              <w:bottom w:val="nil"/>
              <w:right w:val="nil"/>
            </w:tcBorders>
          </w:tcPr>
          <w:p w14:paraId="70D78FC4" w14:textId="77777777" w:rsidR="002C26A0" w:rsidRDefault="00000000">
            <w:pPr>
              <w:keepNext/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신용평가사·증권사 문서(2025.1.1~6.30)에 기재된 기업의 향후 경영·재무 행동</w:t>
            </w:r>
          </w:p>
        </w:tc>
      </w:tr>
      <w:tr w:rsidR="002C26A0" w14:paraId="00C12340" w14:textId="77777777">
        <w:trPr>
          <w:jc w:val="center"/>
        </w:trPr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2F50F56D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공통 조건</w:t>
            </w:r>
          </w:p>
        </w:tc>
        <w:tc>
          <w:tcPr>
            <w:tcW w:w="7597" w:type="dxa"/>
            <w:tcBorders>
              <w:left w:val="nil"/>
              <w:bottom w:val="nil"/>
              <w:right w:val="nil"/>
            </w:tcBorders>
          </w:tcPr>
          <w:p w14:paraId="4FE4348F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GPT-5.4-mini, Gemini 3.1 Flash-Lite / 후보 선택(9개 중 1개) / 추론 높음 / B1</w:t>
            </w:r>
          </w:p>
        </w:tc>
      </w:tr>
      <w:tr w:rsidR="002C26A0" w14:paraId="5BAB3AEE" w14:textId="77777777">
        <w:trPr>
          <w:jc w:val="center"/>
        </w:trPr>
        <w:tc>
          <w:tcPr>
            <w:tcW w:w="2041" w:type="dxa"/>
            <w:tcBorders>
              <w:left w:val="nil"/>
              <w:bottom w:val="single" w:sz="8" w:space="0" w:color="000000"/>
              <w:right w:val="nil"/>
            </w:tcBorders>
          </w:tcPr>
          <w:p w14:paraId="0C7204CD" w14:textId="77777777" w:rsidR="002C26A0" w:rsidRDefault="00000000">
            <w:pPr>
              <w:spacing w:before="30" w:after="30"/>
            </w:pPr>
            <w:r>
              <w:rPr>
                <w:sz w:val="18"/>
              </w:rPr>
              <w:t>점수 기준</w:t>
            </w:r>
          </w:p>
        </w:tc>
        <w:tc>
          <w:tcPr>
            <w:tcW w:w="7597" w:type="dxa"/>
            <w:tcBorders>
              <w:left w:val="nil"/>
              <w:bottom w:val="single" w:sz="8" w:space="0" w:color="000000"/>
              <w:right w:val="nil"/>
            </w:tcBorders>
          </w:tcPr>
          <w:p w14:paraId="0D2EE8F2" w14:textId="77777777" w:rsidR="002C26A0" w:rsidRDefault="00000000">
            <w:pPr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재무 Simulator로 계산한 1년 뒤 재무제표에 대한 Oracle-</w:t>
            </w:r>
            <w:r>
              <w:rPr>
                <w:sz w:val="18"/>
              </w:rPr>
              <w:t>α</w:t>
            </w:r>
            <w:r>
              <w:rPr>
                <w:sz w:val="18"/>
                <w:lang w:eastAsia="ko-KR"/>
              </w:rPr>
              <w:t xml:space="preserve"> 신용점수의 무행동 대비 변화</w:t>
            </w:r>
          </w:p>
        </w:tc>
      </w:tr>
    </w:tbl>
    <w:p w14:paraId="5300A8B2" w14:textId="0286542E" w:rsidR="002C26A0" w:rsidRDefault="00000000">
      <w:pPr>
        <w:spacing w:before="40" w:after="80" w:line="300" w:lineRule="auto"/>
        <w:rPr>
          <w:lang w:eastAsia="ko-KR"/>
        </w:rPr>
      </w:pPr>
      <w:r>
        <w:rPr>
          <w:sz w:val="16"/>
          <w:lang w:eastAsia="ko-KR"/>
        </w:rPr>
        <w:t xml:space="preserve">Human baseline 문서의 대표 진술 유형: 회사 방침 신용평가사 95건 중 80건, 리서치 보고서 141건 중 98건 / 명시적 권고 8건, 7건. </w:t>
      </w:r>
    </w:p>
    <w:p w14:paraId="5B5489EE" w14:textId="77777777" w:rsidR="002C26A0" w:rsidRDefault="00000000">
      <w:pPr>
        <w:keepNext/>
        <w:spacing w:before="160" w:after="60" w:line="300" w:lineRule="auto"/>
      </w:pPr>
      <w:r>
        <w:rPr>
          <w:b/>
          <w:sz w:val="21"/>
        </w:rPr>
        <w:t>2. 표본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28"/>
        <w:gridCol w:w="1928"/>
        <w:gridCol w:w="1928"/>
        <w:gridCol w:w="2041"/>
      </w:tblGrid>
      <w:tr w:rsidR="002C26A0" w14:paraId="4BF0F96C" w14:textId="77777777">
        <w:trPr>
          <w:jc w:val="center"/>
        </w:trPr>
        <w:tc>
          <w:tcPr>
            <w:tcW w:w="181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53C646C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문서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8E571D5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문서가 있는 기업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54CAFC0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행동 종류 비교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9FF3B81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점수 비교</w:t>
            </w:r>
          </w:p>
        </w:tc>
        <w:tc>
          <w:tcPr>
            <w:tcW w:w="204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F9AAD23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단일 후보 대응(별도)</w:t>
            </w:r>
          </w:p>
        </w:tc>
      </w:tr>
      <w:tr w:rsidR="002C26A0" w14:paraId="037F6FBE" w14:textId="77777777">
        <w:trPr>
          <w:jc w:val="center"/>
        </w:trPr>
        <w:tc>
          <w:tcPr>
            <w:tcW w:w="1814" w:type="dxa"/>
            <w:tcBorders>
              <w:left w:val="nil"/>
              <w:bottom w:val="single" w:sz="8" w:space="0" w:color="000000"/>
              <w:right w:val="nil"/>
            </w:tcBorders>
          </w:tcPr>
          <w:p w14:paraId="769D78AD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236건</w:t>
            </w:r>
          </w:p>
        </w:tc>
        <w:tc>
          <w:tcPr>
            <w:tcW w:w="1928" w:type="dxa"/>
            <w:tcBorders>
              <w:left w:val="nil"/>
              <w:bottom w:val="single" w:sz="8" w:space="0" w:color="000000"/>
              <w:right w:val="nil"/>
            </w:tcBorders>
          </w:tcPr>
          <w:p w14:paraId="122B79E4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161개</w:t>
            </w:r>
          </w:p>
        </w:tc>
        <w:tc>
          <w:tcPr>
            <w:tcW w:w="1928" w:type="dxa"/>
            <w:tcBorders>
              <w:left w:val="nil"/>
              <w:bottom w:val="single" w:sz="8" w:space="0" w:color="000000"/>
              <w:right w:val="nil"/>
            </w:tcBorders>
          </w:tcPr>
          <w:p w14:paraId="28EFC8D1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56개</w:t>
            </w:r>
          </w:p>
        </w:tc>
        <w:tc>
          <w:tcPr>
            <w:tcW w:w="1928" w:type="dxa"/>
            <w:tcBorders>
              <w:left w:val="nil"/>
              <w:bottom w:val="single" w:sz="8" w:space="0" w:color="000000"/>
              <w:right w:val="nil"/>
            </w:tcBorders>
          </w:tcPr>
          <w:p w14:paraId="11F7BB1E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53개</w:t>
            </w:r>
          </w:p>
        </w:tc>
        <w:tc>
          <w:tcPr>
            <w:tcW w:w="2041" w:type="dxa"/>
            <w:tcBorders>
              <w:left w:val="nil"/>
              <w:bottom w:val="single" w:sz="8" w:space="0" w:color="000000"/>
              <w:right w:val="nil"/>
            </w:tcBorders>
          </w:tcPr>
          <w:p w14:paraId="67D2226C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3개</w:t>
            </w:r>
          </w:p>
        </w:tc>
      </w:tr>
    </w:tbl>
    <w:p w14:paraId="4AEE6BB8" w14:textId="52D39208" w:rsidR="002C26A0" w:rsidRDefault="00000000">
      <w:pPr>
        <w:spacing w:before="40" w:after="80" w:line="300" w:lineRule="auto"/>
        <w:rPr>
          <w:lang w:eastAsia="ko-KR"/>
        </w:rPr>
      </w:pPr>
      <w:r>
        <w:rPr>
          <w:sz w:val="16"/>
          <w:lang w:eastAsia="ko-KR"/>
        </w:rPr>
        <w:t xml:space="preserve">161개 기업 중 105개는 향후 행동이 없거나 </w:t>
      </w:r>
      <w:r w:rsidR="00FE4EF1">
        <w:rPr>
          <w:rFonts w:hint="eastAsia"/>
          <w:sz w:val="16"/>
          <w:lang w:eastAsia="ko-KR"/>
        </w:rPr>
        <w:t xml:space="preserve">본 실험에서 정의한 </w:t>
      </w:r>
      <w:r>
        <w:rPr>
          <w:sz w:val="16"/>
          <w:lang w:eastAsia="ko-KR"/>
        </w:rPr>
        <w:t>행동공간 밖의 행동만 기재. 3개 기업은 문서 행동이 후보 OE 하나에 정확히 대응하여 별도 보고.</w:t>
      </w:r>
    </w:p>
    <w:p w14:paraId="37A74551" w14:textId="77777777" w:rsidR="002C26A0" w:rsidRDefault="00000000">
      <w:pPr>
        <w:keepNext/>
        <w:spacing w:before="160" w:after="60" w:line="300" w:lineRule="auto"/>
        <w:rPr>
          <w:lang w:eastAsia="ko-KR"/>
        </w:rPr>
      </w:pPr>
      <w:r>
        <w:rPr>
          <w:b/>
          <w:sz w:val="21"/>
          <w:lang w:eastAsia="ko-KR"/>
        </w:rPr>
        <w:t>3. 정책가치 (53개 기업, Oracle-</w:t>
      </w:r>
      <w:r>
        <w:rPr>
          <w:b/>
          <w:sz w:val="21"/>
        </w:rPr>
        <w:t>α</w:t>
      </w:r>
      <w:r>
        <w:rPr>
          <w:b/>
          <w:sz w:val="21"/>
          <w:lang w:eastAsia="ko-KR"/>
        </w:rPr>
        <w:t>, 무행동 대비)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2948"/>
        <w:gridCol w:w="2948"/>
      </w:tblGrid>
      <w:tr w:rsidR="002C26A0" w14:paraId="6154FF34" w14:textId="77777777">
        <w:trPr>
          <w:jc w:val="center"/>
        </w:trPr>
        <w:tc>
          <w:tcPr>
            <w:tcW w:w="374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71AF53E" w14:textId="77777777" w:rsidR="002C26A0" w:rsidRDefault="00000000">
            <w:pPr>
              <w:keepNext/>
              <w:spacing w:before="30" w:after="3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9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03F0392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GPT</w:t>
            </w:r>
          </w:p>
        </w:tc>
        <w:tc>
          <w:tcPr>
            <w:tcW w:w="29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C78CCC9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Gemini</w:t>
            </w:r>
          </w:p>
        </w:tc>
      </w:tr>
      <w:tr w:rsidR="002C26A0" w14:paraId="001BB8BF" w14:textId="77777777">
        <w:trPr>
          <w:jc w:val="center"/>
        </w:trPr>
        <w:tc>
          <w:tcPr>
            <w:tcW w:w="3742" w:type="dxa"/>
            <w:tcBorders>
              <w:left w:val="nil"/>
              <w:bottom w:val="nil"/>
              <w:right w:val="nil"/>
            </w:tcBorders>
          </w:tcPr>
          <w:p w14:paraId="14CF52F9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LLM 직접 권고 (C4)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70AECF34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+0.857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7D4FF94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+0.762</w:t>
            </w:r>
          </w:p>
        </w:tc>
      </w:tr>
      <w:tr w:rsidR="002C26A0" w14:paraId="5DD82607" w14:textId="77777777">
        <w:trPr>
          <w:jc w:val="center"/>
        </w:trPr>
        <w:tc>
          <w:tcPr>
            <w:tcW w:w="3742" w:type="dxa"/>
            <w:tcBorders>
              <w:left w:val="nil"/>
              <w:bottom w:val="nil"/>
              <w:right w:val="nil"/>
            </w:tcBorders>
          </w:tcPr>
          <w:p w14:paraId="428B2CA9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RL 참조 LLM (C6-E)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703D2EDA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+0.820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763B5927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+0.776</w:t>
            </w:r>
          </w:p>
        </w:tc>
      </w:tr>
      <w:tr w:rsidR="002C26A0" w14:paraId="752C704B" w14:textId="77777777">
        <w:trPr>
          <w:jc w:val="center"/>
        </w:trPr>
        <w:tc>
          <w:tcPr>
            <w:tcW w:w="3742" w:type="dxa"/>
            <w:tcBorders>
              <w:left w:val="nil"/>
              <w:bottom w:val="nil"/>
              <w:right w:val="nil"/>
            </w:tcBorders>
          </w:tcPr>
          <w:p w14:paraId="4837B3EF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Human baseline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1BFEA60D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+0.638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13350C7A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+0.638</w:t>
            </w:r>
          </w:p>
        </w:tc>
      </w:tr>
      <w:tr w:rsidR="002C26A0" w14:paraId="061493CD" w14:textId="77777777">
        <w:trPr>
          <w:jc w:val="center"/>
        </w:trPr>
        <w:tc>
          <w:tcPr>
            <w:tcW w:w="3742" w:type="dxa"/>
            <w:tcBorders>
              <w:left w:val="nil"/>
              <w:bottom w:val="nil"/>
              <w:right w:val="nil"/>
            </w:tcBorders>
          </w:tcPr>
          <w:p w14:paraId="44DCF47E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차이: C4 − Human baseline [95% 구간]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6B9C5A5D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+0.219 [−0.138, +0.607]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6843A4C2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+0.124 [−0.341, +0.586]</w:t>
            </w:r>
          </w:p>
        </w:tc>
      </w:tr>
      <w:tr w:rsidR="002C26A0" w14:paraId="5CAC63C4" w14:textId="77777777">
        <w:trPr>
          <w:jc w:val="center"/>
        </w:trPr>
        <w:tc>
          <w:tcPr>
            <w:tcW w:w="3742" w:type="dxa"/>
            <w:tcBorders>
              <w:left w:val="nil"/>
              <w:bottom w:val="nil"/>
              <w:right w:val="nil"/>
            </w:tcBorders>
          </w:tcPr>
          <w:p w14:paraId="5E76D379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차이: C6-E − Human baseline [95% 구간]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0F9BA50C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+0.182 [−0.282, +0.649]</w:t>
            </w:r>
          </w:p>
        </w:tc>
        <w:tc>
          <w:tcPr>
            <w:tcW w:w="2948" w:type="dxa"/>
            <w:tcBorders>
              <w:left w:val="nil"/>
              <w:bottom w:val="nil"/>
              <w:right w:val="nil"/>
            </w:tcBorders>
          </w:tcPr>
          <w:p w14:paraId="611779E6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+0.138 [−0.321, +0.599]</w:t>
            </w:r>
          </w:p>
        </w:tc>
      </w:tr>
      <w:tr w:rsidR="002C26A0" w14:paraId="36B632CD" w14:textId="77777777">
        <w:trPr>
          <w:jc w:val="center"/>
        </w:trPr>
        <w:tc>
          <w:tcPr>
            <w:tcW w:w="3742" w:type="dxa"/>
            <w:tcBorders>
              <w:left w:val="nil"/>
              <w:bottom w:val="single" w:sz="8" w:space="0" w:color="000000"/>
              <w:right w:val="nil"/>
            </w:tcBorders>
          </w:tcPr>
          <w:p w14:paraId="5C7C2FAB" w14:textId="77777777" w:rsidR="002C26A0" w:rsidRDefault="00000000">
            <w:pPr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C4가 높은 / 같은 / 낮은 기업 수</w:t>
            </w:r>
          </w:p>
        </w:tc>
        <w:tc>
          <w:tcPr>
            <w:tcW w:w="2948" w:type="dxa"/>
            <w:tcBorders>
              <w:left w:val="nil"/>
              <w:bottom w:val="single" w:sz="8" w:space="0" w:color="000000"/>
              <w:right w:val="nil"/>
            </w:tcBorders>
          </w:tcPr>
          <w:p w14:paraId="233D8851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13 / 29 / 11</w:t>
            </w:r>
          </w:p>
        </w:tc>
        <w:tc>
          <w:tcPr>
            <w:tcW w:w="2948" w:type="dxa"/>
            <w:tcBorders>
              <w:left w:val="nil"/>
              <w:bottom w:val="single" w:sz="8" w:space="0" w:color="000000"/>
              <w:right w:val="nil"/>
            </w:tcBorders>
          </w:tcPr>
          <w:p w14:paraId="0AA35310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11 / 30 / 12</w:t>
            </w:r>
          </w:p>
        </w:tc>
      </w:tr>
    </w:tbl>
    <w:p w14:paraId="06C7BFD6" w14:textId="77777777" w:rsidR="002C26A0" w:rsidRDefault="00000000">
      <w:pPr>
        <w:spacing w:before="40" w:after="80" w:line="300" w:lineRule="auto"/>
        <w:rPr>
          <w:lang w:eastAsia="ko-KR"/>
        </w:rPr>
      </w:pPr>
      <w:r>
        <w:rPr>
          <w:sz w:val="16"/>
          <w:lang w:eastAsia="ko-KR"/>
        </w:rPr>
        <w:t>[95% 구간]은 기업 단위 대응 차이의 평균에 대한 비모수 부트스트랩 백분위수 신뢰구간이다(53개 기업 복원추출, 10,000회). 구간이 0을 포함하면 유의수준 5%에서 차이가 통계적으로 유의하지 않다. 참고: 모든 기업에 비용 절감을 적용한 경우 +0.546, 강화학습 정책(C3-E) +0.755, 무작위 +0.269. 단일 후보 3개 기업은 모든 정책의 점수가 +0.768로 같다.</w:t>
      </w:r>
    </w:p>
    <w:p w14:paraId="381734A8" w14:textId="77777777" w:rsidR="002C26A0" w:rsidRDefault="00000000">
      <w:pPr>
        <w:keepNext/>
        <w:spacing w:before="160" w:after="60" w:line="300" w:lineRule="auto"/>
        <w:rPr>
          <w:lang w:eastAsia="ko-KR"/>
        </w:rPr>
      </w:pPr>
      <w:r>
        <w:rPr>
          <w:b/>
          <w:sz w:val="21"/>
          <w:lang w:eastAsia="ko-KR"/>
        </w:rPr>
        <w:lastRenderedPageBreak/>
        <w:t>4. 권고·기재된 행동의 종류 (56개 기업, 기업 수)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474"/>
        <w:gridCol w:w="1247"/>
        <w:gridCol w:w="1361"/>
        <w:gridCol w:w="1361"/>
        <w:gridCol w:w="1361"/>
      </w:tblGrid>
      <w:tr w:rsidR="002C26A0" w14:paraId="3C9A6E42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D4BE88C" w14:textId="77777777" w:rsidR="002C26A0" w:rsidRDefault="00000000">
            <w:pPr>
              <w:keepNext/>
              <w:spacing w:before="30" w:after="30"/>
            </w:pPr>
            <w:r>
              <w:rPr>
                <w:b/>
                <w:sz w:val="18"/>
              </w:rPr>
              <w:t>행동</w:t>
            </w:r>
          </w:p>
        </w:tc>
        <w:tc>
          <w:tcPr>
            <w:tcW w:w="147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42522B2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Human baseline</w:t>
            </w:r>
          </w:p>
        </w:tc>
        <w:tc>
          <w:tcPr>
            <w:tcW w:w="124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FB0C66D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C4 GPT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BB9338A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C4 Gemini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AFB1D5C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C6-E GPT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EA21F5F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C6-E Gemini</w:t>
            </w:r>
          </w:p>
        </w:tc>
      </w:tr>
      <w:tr w:rsidR="002C26A0" w14:paraId="5C8E0D89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0B849F4A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비용 절감</w:t>
            </w:r>
          </w:p>
        </w:tc>
        <w:tc>
          <w:tcPr>
            <w:tcW w:w="1474" w:type="dxa"/>
            <w:tcBorders>
              <w:left w:val="nil"/>
              <w:bottom w:val="nil"/>
              <w:right w:val="nil"/>
            </w:tcBorders>
          </w:tcPr>
          <w:p w14:paraId="79DF8E08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14:paraId="1058B2EF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35D52F33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4E809018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3524B705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26</w:t>
            </w:r>
          </w:p>
        </w:tc>
      </w:tr>
      <w:tr w:rsidR="002C26A0" w14:paraId="2B268B7E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50AA2EFD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투자 축소</w:t>
            </w:r>
          </w:p>
        </w:tc>
        <w:tc>
          <w:tcPr>
            <w:tcW w:w="1474" w:type="dxa"/>
            <w:tcBorders>
              <w:left w:val="nil"/>
              <w:bottom w:val="nil"/>
              <w:right w:val="nil"/>
            </w:tcBorders>
          </w:tcPr>
          <w:p w14:paraId="2BD9812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14:paraId="523D1F9E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0DF2D7CE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384DA06D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15103DF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</w:t>
            </w:r>
          </w:p>
        </w:tc>
      </w:tr>
      <w:tr w:rsidR="002C26A0" w14:paraId="6C79E928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00C23B4A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차입금 상환</w:t>
            </w:r>
          </w:p>
        </w:tc>
        <w:tc>
          <w:tcPr>
            <w:tcW w:w="1474" w:type="dxa"/>
            <w:tcBorders>
              <w:left w:val="nil"/>
              <w:bottom w:val="nil"/>
              <w:right w:val="nil"/>
            </w:tcBorders>
          </w:tcPr>
          <w:p w14:paraId="3669498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14:paraId="0037342A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60D8E5F4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7BFAB268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5B9B362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14</w:t>
            </w:r>
          </w:p>
        </w:tc>
      </w:tr>
      <w:tr w:rsidR="002C26A0" w14:paraId="64899034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1BF2A60F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단기차입의 장기 전환</w:t>
            </w:r>
          </w:p>
        </w:tc>
        <w:tc>
          <w:tcPr>
            <w:tcW w:w="1474" w:type="dxa"/>
            <w:tcBorders>
              <w:left w:val="nil"/>
              <w:bottom w:val="nil"/>
              <w:right w:val="nil"/>
            </w:tcBorders>
          </w:tcPr>
          <w:p w14:paraId="46D9511C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14:paraId="1A0979D6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7893D856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5ADF5406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44A762E4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23</w:t>
            </w:r>
          </w:p>
        </w:tc>
      </w:tr>
      <w:tr w:rsidR="002C26A0" w14:paraId="362BE87A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0C6E10C2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투자 확대 (행동공간 밖)</w:t>
            </w:r>
          </w:p>
        </w:tc>
        <w:tc>
          <w:tcPr>
            <w:tcW w:w="1474" w:type="dxa"/>
            <w:tcBorders>
              <w:left w:val="nil"/>
              <w:bottom w:val="nil"/>
              <w:right w:val="nil"/>
            </w:tcBorders>
          </w:tcPr>
          <w:p w14:paraId="75858B3C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14:paraId="1F3B75CF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47234729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2F6DDC3E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  <w:tcBorders>
              <w:left w:val="nil"/>
              <w:bottom w:val="nil"/>
              <w:right w:val="nil"/>
            </w:tcBorders>
          </w:tcPr>
          <w:p w14:paraId="24A70307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</w:tr>
      <w:tr w:rsidR="002C26A0" w14:paraId="73A7BEE5" w14:textId="77777777">
        <w:trPr>
          <w:jc w:val="center"/>
        </w:trPr>
        <w:tc>
          <w:tcPr>
            <w:tcW w:w="2835" w:type="dxa"/>
            <w:tcBorders>
              <w:left w:val="nil"/>
              <w:bottom w:val="single" w:sz="8" w:space="0" w:color="000000"/>
              <w:right w:val="nil"/>
            </w:tcBorders>
          </w:tcPr>
          <w:p w14:paraId="4D826E5B" w14:textId="77777777" w:rsidR="002C26A0" w:rsidRDefault="00000000">
            <w:pPr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만기연장·재조달 (행동공간 밖)</w:t>
            </w:r>
          </w:p>
        </w:tc>
        <w:tc>
          <w:tcPr>
            <w:tcW w:w="1474" w:type="dxa"/>
            <w:tcBorders>
              <w:left w:val="nil"/>
              <w:bottom w:val="single" w:sz="8" w:space="0" w:color="000000"/>
              <w:right w:val="nil"/>
            </w:tcBorders>
          </w:tcPr>
          <w:p w14:paraId="1FD07154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247" w:type="dxa"/>
            <w:tcBorders>
              <w:left w:val="nil"/>
              <w:bottom w:val="single" w:sz="8" w:space="0" w:color="000000"/>
              <w:right w:val="nil"/>
            </w:tcBorders>
          </w:tcPr>
          <w:p w14:paraId="1A9855F2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  <w:tcBorders>
              <w:left w:val="nil"/>
              <w:bottom w:val="single" w:sz="8" w:space="0" w:color="000000"/>
              <w:right w:val="nil"/>
            </w:tcBorders>
          </w:tcPr>
          <w:p w14:paraId="6125E1C1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  <w:tcBorders>
              <w:left w:val="nil"/>
              <w:bottom w:val="single" w:sz="8" w:space="0" w:color="000000"/>
              <w:right w:val="nil"/>
            </w:tcBorders>
          </w:tcPr>
          <w:p w14:paraId="055295D7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361" w:type="dxa"/>
            <w:tcBorders>
              <w:left w:val="nil"/>
              <w:bottom w:val="single" w:sz="8" w:space="0" w:color="000000"/>
              <w:right w:val="nil"/>
            </w:tcBorders>
          </w:tcPr>
          <w:p w14:paraId="4C4AFBB9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—</w:t>
            </w:r>
          </w:p>
        </w:tc>
      </w:tr>
    </w:tbl>
    <w:p w14:paraId="05535D78" w14:textId="77777777" w:rsidR="002C26A0" w:rsidRDefault="00000000">
      <w:pPr>
        <w:spacing w:before="40" w:after="80" w:line="300" w:lineRule="auto"/>
        <w:rPr>
          <w:lang w:eastAsia="ko-KR"/>
        </w:rPr>
      </w:pPr>
      <w:r>
        <w:rPr>
          <w:sz w:val="16"/>
          <w:lang w:eastAsia="ko-KR"/>
        </w:rPr>
        <w:t>단기차입의 장기 전환을 향후 행동으로 기재한 문서는 236건 중 없음. 상환이 기재된 9개 기업에서 GPT는 9개, Gemini는 8개 기업에 장기 전환을 권고.</w:t>
      </w:r>
    </w:p>
    <w:p w14:paraId="6A3564E3" w14:textId="77777777" w:rsidR="002C26A0" w:rsidRDefault="00000000">
      <w:pPr>
        <w:keepNext/>
        <w:spacing w:before="160" w:after="60" w:line="300" w:lineRule="auto"/>
        <w:rPr>
          <w:lang w:eastAsia="ko-KR"/>
        </w:rPr>
      </w:pPr>
      <w:r>
        <w:rPr>
          <w:b/>
          <w:sz w:val="21"/>
          <w:lang w:eastAsia="ko-KR"/>
        </w:rPr>
        <w:t>5. 같은 기업에서의 행동 일치 (56개 기업, 다섯 종류 기준)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28"/>
        <w:gridCol w:w="2835"/>
        <w:gridCol w:w="2041"/>
      </w:tblGrid>
      <w:tr w:rsidR="002C26A0" w14:paraId="3D026D9F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D6C3D52" w14:textId="77777777" w:rsidR="002C26A0" w:rsidRDefault="00000000">
            <w:pPr>
              <w:keepNext/>
              <w:spacing w:before="30" w:after="30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C7938FF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실제</w:t>
            </w:r>
          </w:p>
        </w:tc>
        <w:tc>
          <w:tcPr>
            <w:tcW w:w="28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18C700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무작위 짝짓기 기대값</w:t>
            </w:r>
          </w:p>
        </w:tc>
        <w:tc>
          <w:tcPr>
            <w:tcW w:w="204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3B334ED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p</w:t>
            </w:r>
          </w:p>
        </w:tc>
      </w:tr>
      <w:tr w:rsidR="002C26A0" w14:paraId="30262D42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21343A9D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C4 GPT</w:t>
            </w:r>
          </w:p>
        </w:tc>
        <w:tc>
          <w:tcPr>
            <w:tcW w:w="1928" w:type="dxa"/>
            <w:tcBorders>
              <w:left w:val="nil"/>
              <w:bottom w:val="nil"/>
              <w:right w:val="nil"/>
            </w:tcBorders>
          </w:tcPr>
          <w:p w14:paraId="6BB9684F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0.250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42E37F48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0.269</w:t>
            </w:r>
          </w:p>
        </w:tc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2C96CC3E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.769</w:t>
            </w:r>
          </w:p>
        </w:tc>
      </w:tr>
      <w:tr w:rsidR="002C26A0" w14:paraId="466331F6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43A3026F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C4 Gemini</w:t>
            </w:r>
          </w:p>
        </w:tc>
        <w:tc>
          <w:tcPr>
            <w:tcW w:w="1928" w:type="dxa"/>
            <w:tcBorders>
              <w:left w:val="nil"/>
              <w:bottom w:val="nil"/>
              <w:right w:val="nil"/>
            </w:tcBorders>
          </w:tcPr>
          <w:p w14:paraId="5FA144C6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0.339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48D841B6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0.329</w:t>
            </w:r>
          </w:p>
        </w:tc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2B5DBE88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.484</w:t>
            </w:r>
          </w:p>
        </w:tc>
      </w:tr>
      <w:tr w:rsidR="002C26A0" w14:paraId="117E4F6B" w14:textId="77777777">
        <w:trPr>
          <w:jc w:val="center"/>
        </w:trPr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668079F0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C6-E GPT</w:t>
            </w:r>
          </w:p>
        </w:tc>
        <w:tc>
          <w:tcPr>
            <w:tcW w:w="1928" w:type="dxa"/>
            <w:tcBorders>
              <w:left w:val="nil"/>
              <w:bottom w:val="nil"/>
              <w:right w:val="nil"/>
            </w:tcBorders>
          </w:tcPr>
          <w:p w14:paraId="69D2E8A4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0.196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5B33D077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0.236</w:t>
            </w:r>
          </w:p>
        </w:tc>
        <w:tc>
          <w:tcPr>
            <w:tcW w:w="2041" w:type="dxa"/>
            <w:tcBorders>
              <w:left w:val="nil"/>
              <w:bottom w:val="nil"/>
              <w:right w:val="nil"/>
            </w:tcBorders>
          </w:tcPr>
          <w:p w14:paraId="6DD14CD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.898</w:t>
            </w:r>
          </w:p>
        </w:tc>
      </w:tr>
      <w:tr w:rsidR="002C26A0" w14:paraId="09069C2A" w14:textId="77777777">
        <w:trPr>
          <w:jc w:val="center"/>
        </w:trPr>
        <w:tc>
          <w:tcPr>
            <w:tcW w:w="2835" w:type="dxa"/>
            <w:tcBorders>
              <w:left w:val="nil"/>
              <w:bottom w:val="single" w:sz="8" w:space="0" w:color="000000"/>
              <w:right w:val="nil"/>
            </w:tcBorders>
          </w:tcPr>
          <w:p w14:paraId="35B9780A" w14:textId="77777777" w:rsidR="002C26A0" w:rsidRDefault="00000000">
            <w:pPr>
              <w:spacing w:before="30" w:after="30"/>
            </w:pPr>
            <w:r>
              <w:rPr>
                <w:sz w:val="18"/>
              </w:rPr>
              <w:t>C6-E Gemini</w:t>
            </w:r>
          </w:p>
        </w:tc>
        <w:tc>
          <w:tcPr>
            <w:tcW w:w="1928" w:type="dxa"/>
            <w:tcBorders>
              <w:left w:val="nil"/>
              <w:bottom w:val="single" w:sz="8" w:space="0" w:color="000000"/>
              <w:right w:val="nil"/>
            </w:tcBorders>
          </w:tcPr>
          <w:p w14:paraId="273EEC01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0.339</w:t>
            </w:r>
          </w:p>
        </w:tc>
        <w:tc>
          <w:tcPr>
            <w:tcW w:w="2835" w:type="dxa"/>
            <w:tcBorders>
              <w:left w:val="nil"/>
              <w:bottom w:val="single" w:sz="8" w:space="0" w:color="000000"/>
              <w:right w:val="nil"/>
            </w:tcBorders>
          </w:tcPr>
          <w:p w14:paraId="33F0AA12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0.329</w:t>
            </w:r>
          </w:p>
        </w:tc>
        <w:tc>
          <w:tcPr>
            <w:tcW w:w="2041" w:type="dxa"/>
            <w:tcBorders>
              <w:left w:val="nil"/>
              <w:bottom w:val="single" w:sz="8" w:space="0" w:color="000000"/>
              <w:right w:val="nil"/>
            </w:tcBorders>
          </w:tcPr>
          <w:p w14:paraId="32B947DC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.481</w:t>
            </w:r>
          </w:p>
        </w:tc>
      </w:tr>
    </w:tbl>
    <w:p w14:paraId="5DA1B78B" w14:textId="77777777" w:rsidR="002C26A0" w:rsidRDefault="00000000">
      <w:pPr>
        <w:spacing w:before="40" w:after="80" w:line="300" w:lineRule="auto"/>
        <w:rPr>
          <w:lang w:eastAsia="ko-KR"/>
        </w:rPr>
      </w:pPr>
      <w:r>
        <w:rPr>
          <w:sz w:val="16"/>
          <w:lang w:eastAsia="ko-KR"/>
        </w:rPr>
        <w:t>무작위 짝짓기 기대값은 LLM의 행동을 다른 기업의 문서와 아무렇게나 짝지었을 때 맞는 비율이다(1만 번 평균). 실제 값이 이보다 높지 않으면, LLM이 그 기업에 맞춘 권고를 했다는 근거가 없다는 뜻이다. 강화학습 참조를 준 뒤에도 일치 비율은 −0.036~+0.036만큼만 달라졌다.</w:t>
      </w:r>
    </w:p>
    <w:p w14:paraId="200B49DB" w14:textId="77777777" w:rsidR="002C26A0" w:rsidRDefault="00000000">
      <w:pPr>
        <w:keepNext/>
        <w:spacing w:before="160" w:after="60" w:line="300" w:lineRule="auto"/>
        <w:rPr>
          <w:lang w:eastAsia="ko-KR"/>
        </w:rPr>
      </w:pPr>
      <w:r>
        <w:rPr>
          <w:b/>
          <w:sz w:val="21"/>
          <w:lang w:eastAsia="ko-KR"/>
        </w:rPr>
        <w:t>6. 강화학습 참조의 효과 (575개 기업, Oracle-α)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247"/>
        <w:gridCol w:w="1247"/>
        <w:gridCol w:w="4535"/>
      </w:tblGrid>
      <w:tr w:rsidR="002C26A0" w14:paraId="542438E8" w14:textId="77777777">
        <w:trPr>
          <w:jc w:val="center"/>
        </w:trPr>
        <w:tc>
          <w:tcPr>
            <w:tcW w:w="2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C1D21C9" w14:textId="77777777" w:rsidR="002C26A0" w:rsidRDefault="00000000">
            <w:pPr>
              <w:keepNext/>
              <w:spacing w:before="30" w:after="30"/>
            </w:pPr>
            <w:r>
              <w:rPr>
                <w:b/>
                <w:sz w:val="18"/>
              </w:rPr>
              <w:t>LLM 작성 조건</w:t>
            </w:r>
          </w:p>
        </w:tc>
        <w:tc>
          <w:tcPr>
            <w:tcW w:w="124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4A603F2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GPT</w:t>
            </w:r>
          </w:p>
        </w:tc>
        <w:tc>
          <w:tcPr>
            <w:tcW w:w="124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FF2325B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b/>
                <w:sz w:val="18"/>
              </w:rPr>
              <w:t>Gemini</w:t>
            </w:r>
          </w:p>
        </w:tc>
        <w:tc>
          <w:tcPr>
            <w:tcW w:w="45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982A5EC" w14:textId="77777777" w:rsidR="002C26A0" w:rsidRDefault="00000000">
            <w:pPr>
              <w:keepNext/>
              <w:spacing w:before="30" w:after="30"/>
            </w:pPr>
            <w:r>
              <w:rPr>
                <w:b/>
                <w:sz w:val="18"/>
              </w:rPr>
              <w:t>비고</w:t>
            </w:r>
          </w:p>
        </w:tc>
      </w:tr>
      <w:tr w:rsidR="002C26A0" w14:paraId="5EA072B2" w14:textId="77777777">
        <w:trPr>
          <w:jc w:val="center"/>
        </w:trPr>
        <w:tc>
          <w:tcPr>
            <w:tcW w:w="2608" w:type="dxa"/>
            <w:tcBorders>
              <w:left w:val="nil"/>
              <w:bottom w:val="nil"/>
              <w:right w:val="nil"/>
            </w:tcBorders>
          </w:tcPr>
          <w:p w14:paraId="0CA804E2" w14:textId="77777777" w:rsidR="002C26A0" w:rsidRDefault="00000000">
            <w:pPr>
              <w:keepNext/>
              <w:spacing w:before="30" w:after="30"/>
            </w:pPr>
            <w:r>
              <w:rPr>
                <w:sz w:val="18"/>
              </w:rPr>
              <w:t>자유 작성, 추론 높음, B1</w:t>
            </w:r>
          </w:p>
        </w:tc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14:paraId="24D01B75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+0.100*</w:t>
            </w:r>
          </w:p>
        </w:tc>
        <w:tc>
          <w:tcPr>
            <w:tcW w:w="1247" w:type="dxa"/>
            <w:tcBorders>
              <w:left w:val="nil"/>
              <w:bottom w:val="nil"/>
              <w:right w:val="nil"/>
            </w:tcBorders>
          </w:tcPr>
          <w:p w14:paraId="5EBA2AAC" w14:textId="77777777" w:rsidR="002C26A0" w:rsidRDefault="00000000">
            <w:pPr>
              <w:keepNext/>
              <w:spacing w:before="30" w:after="30"/>
              <w:jc w:val="center"/>
            </w:pPr>
            <w:r>
              <w:rPr>
                <w:sz w:val="18"/>
              </w:rPr>
              <w:t>+0.090*</w:t>
            </w:r>
          </w:p>
        </w:tc>
        <w:tc>
          <w:tcPr>
            <w:tcW w:w="4535" w:type="dxa"/>
            <w:tcBorders>
              <w:left w:val="nil"/>
              <w:bottom w:val="nil"/>
              <w:right w:val="nil"/>
            </w:tcBorders>
          </w:tcPr>
          <w:p w14:paraId="2703FA27" w14:textId="77777777" w:rsidR="002C26A0" w:rsidRDefault="00000000">
            <w:pPr>
              <w:keepNext/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24개 조건 모두 점수 상승, 그중 9개는 유의</w:t>
            </w:r>
          </w:p>
        </w:tc>
      </w:tr>
      <w:tr w:rsidR="002C26A0" w14:paraId="3FFD4379" w14:textId="77777777">
        <w:trPr>
          <w:jc w:val="center"/>
        </w:trPr>
        <w:tc>
          <w:tcPr>
            <w:tcW w:w="2608" w:type="dxa"/>
            <w:tcBorders>
              <w:left w:val="nil"/>
              <w:bottom w:val="single" w:sz="8" w:space="0" w:color="000000"/>
              <w:right w:val="nil"/>
            </w:tcBorders>
          </w:tcPr>
          <w:p w14:paraId="4C5D1046" w14:textId="77777777" w:rsidR="002C26A0" w:rsidRDefault="00000000">
            <w:pPr>
              <w:spacing w:before="30" w:after="30"/>
            </w:pPr>
            <w:r>
              <w:rPr>
                <w:sz w:val="18"/>
              </w:rPr>
              <w:t>후보 선택, 추론 높음</w:t>
            </w:r>
          </w:p>
        </w:tc>
        <w:tc>
          <w:tcPr>
            <w:tcW w:w="1247" w:type="dxa"/>
            <w:tcBorders>
              <w:left w:val="nil"/>
              <w:bottom w:val="single" w:sz="8" w:space="0" w:color="000000"/>
              <w:right w:val="nil"/>
            </w:tcBorders>
          </w:tcPr>
          <w:p w14:paraId="29461FB4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+0.009</w:t>
            </w:r>
          </w:p>
        </w:tc>
        <w:tc>
          <w:tcPr>
            <w:tcW w:w="1247" w:type="dxa"/>
            <w:tcBorders>
              <w:left w:val="nil"/>
              <w:bottom w:val="single" w:sz="8" w:space="0" w:color="000000"/>
              <w:right w:val="nil"/>
            </w:tcBorders>
          </w:tcPr>
          <w:p w14:paraId="023B00CE" w14:textId="77777777" w:rsidR="002C26A0" w:rsidRDefault="00000000">
            <w:pPr>
              <w:spacing w:before="30" w:after="30"/>
              <w:jc w:val="center"/>
            </w:pPr>
            <w:r>
              <w:rPr>
                <w:sz w:val="18"/>
              </w:rPr>
              <w:t>+0.037</w:t>
            </w:r>
          </w:p>
        </w:tc>
        <w:tc>
          <w:tcPr>
            <w:tcW w:w="4535" w:type="dxa"/>
            <w:tcBorders>
              <w:left w:val="nil"/>
              <w:bottom w:val="single" w:sz="8" w:space="0" w:color="000000"/>
              <w:right w:val="nil"/>
            </w:tcBorders>
          </w:tcPr>
          <w:p w14:paraId="2C9A8C18" w14:textId="77777777" w:rsidR="002C26A0" w:rsidRDefault="00000000">
            <w:pPr>
              <w:spacing w:before="30" w:after="3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 3번 표와 같은 조건, 유의하지 않음</w:t>
            </w:r>
          </w:p>
        </w:tc>
      </w:tr>
    </w:tbl>
    <w:p w14:paraId="72123FC3" w14:textId="77777777" w:rsidR="002C26A0" w:rsidRDefault="00000000">
      <w:pPr>
        <w:spacing w:before="40" w:after="80" w:line="300" w:lineRule="auto"/>
        <w:rPr>
          <w:lang w:eastAsia="ko-KR"/>
        </w:rPr>
      </w:pPr>
      <w:r>
        <w:rPr>
          <w:sz w:val="16"/>
          <w:lang w:eastAsia="ko-KR"/>
        </w:rPr>
        <w:t>값은 같은 LLM 초안을 참조 없이 다시 검토하게 했을 때(C4R)보다, 강화학습 정책의 답을 보여 주고 고치게 했을 때(C6-E) 점수가 얼마나 더 올랐는지를 나타낸다. *는 여러 비교를 함께 고려해도(Holm 보정) 통계적으로 유의한 차이.</w:t>
      </w:r>
    </w:p>
    <w:p w14:paraId="41250EA1" w14:textId="77777777" w:rsidR="002C26A0" w:rsidRDefault="00000000">
      <w:pPr>
        <w:keepNext/>
        <w:spacing w:before="160" w:after="60" w:line="300" w:lineRule="auto"/>
        <w:rPr>
          <w:lang w:eastAsia="ko-KR"/>
        </w:rPr>
      </w:pPr>
      <w:r>
        <w:rPr>
          <w:b/>
          <w:sz w:val="21"/>
          <w:lang w:eastAsia="ko-KR"/>
        </w:rPr>
        <w:t>7. 요약</w:t>
      </w:r>
    </w:p>
    <w:p w14:paraId="45AF1AD1" w14:textId="61040580" w:rsidR="002C26A0" w:rsidRDefault="00000000">
      <w:pPr>
        <w:spacing w:after="40" w:line="300" w:lineRule="auto"/>
        <w:ind w:left="283" w:hanging="283"/>
        <w:rPr>
          <w:lang w:eastAsia="ko-KR"/>
        </w:rPr>
      </w:pPr>
      <w:r>
        <w:rPr>
          <w:lang w:eastAsia="ko-KR"/>
        </w:rPr>
        <w:t>1.  53개 기업에서 LLM과 RL 참조 LLM의 평균 점수는 Human baseline보다 높았으나, 같은 기업끼리 비교한 차이는 통계적으로 유의하지 않았다. 기업 구성이 조금만 달라도 Human baseline이 더 높게 나올 수 있다(부트스트랩 95% 구간에 모두 0이 포함됨).</w:t>
      </w:r>
      <w:r w:rsidR="006C0560">
        <w:rPr>
          <w:rFonts w:hint="eastAsia"/>
          <w:lang w:eastAsia="ko-KR"/>
        </w:rPr>
      </w:r>
      <w:r>
        <w:rPr>
          <w:lang w:eastAsia="ko-KR"/>
        </w:rPr>
      </w:r>
      <w:r w:rsidR="006C0560">
        <w:rPr>
          <w:rFonts w:hint="eastAsia"/>
          <w:lang w:eastAsia="ko-KR"/>
        </w:rPr>
      </w:r>
      <w:r>
        <w:rPr>
          <w:lang w:eastAsia="ko-KR"/>
        </w:rPr>
      </w:r>
      <w:r w:rsidR="006C0560">
        <w:rPr>
          <w:rFonts w:hint="eastAsia"/>
          <w:lang w:eastAsia="ko-KR"/>
        </w:rPr>
      </w:r>
      <w:r>
        <w:rPr>
          <w:lang w:eastAsia="ko-KR"/>
        </w:rPr>
      </w:r>
      <w:r w:rsidR="006C0560">
        <w:rPr>
          <w:rFonts w:hint="eastAsia"/>
          <w:lang w:eastAsia="ko-KR"/>
        </w:rPr>
      </w:r>
      <w:r>
        <w:rPr>
          <w:lang w:eastAsia="ko-KR"/>
        </w:rPr>
      </w:r>
      <w:r w:rsidR="006C0560">
        <w:rPr>
          <w:rFonts w:hint="eastAsia"/>
          <w:lang w:eastAsia="ko-KR"/>
        </w:rPr>
      </w:r>
      <w:r>
        <w:rPr>
          <w:lang w:eastAsia="ko-KR"/>
        </w:rPr>
      </w:r>
    </w:p>
    <w:p w14:paraId="69A4A614" w14:textId="77777777" w:rsidR="002C26A0" w:rsidRDefault="00000000">
      <w:pPr>
        <w:spacing w:after="40" w:line="300" w:lineRule="auto"/>
        <w:ind w:left="283" w:hanging="283"/>
        <w:rPr>
          <w:lang w:eastAsia="ko-KR"/>
        </w:rPr>
      </w:pPr>
      <w:r>
        <w:rPr>
          <w:lang w:eastAsia="ko-KR"/>
        </w:rPr>
        <w:t>2.  LLM은 비용 절감과 단기차입의 장기 전환을 주로 선택하였고, 문서에는 투자 축소·확대와 상환, 만기연장·재조달이 주로 기재되었다.</w:t>
      </w:r>
    </w:p>
    <w:p w14:paraId="722CF612" w14:textId="7597FC44" w:rsidR="002C26A0" w:rsidRPr="006C0560" w:rsidRDefault="00000000" w:rsidP="006C0560">
      <w:pPr>
        <w:spacing w:after="40" w:line="300" w:lineRule="auto"/>
        <w:ind w:left="283" w:hanging="283"/>
        <w:rPr>
          <w:rFonts w:hint="eastAsia"/>
          <w:lang w:eastAsia="ko-KR"/>
        </w:rPr>
      </w:pPr>
      <w:r>
        <w:rPr>
          <w:lang w:eastAsia="ko-KR"/>
        </w:rPr>
        <w:t>3.  LLM 권고가 그 기업의 문서와 같은 종류의 행동인 비율은, 다른 기업의 문서와 아무렇게나 짝지었을 때보다 높지 않았다. 강화학습 참조를 준 뒤에도 마찬가지였다.</w:t>
      </w:r>
    </w:p>
    <w:p>
      <w:pPr>
        <w:sectPr>
          <w:pgSz w:w="11906" w:h="16838"/>
          <w:pgMar w:top="1020" w:right="1134" w:bottom="907" w:left="1134" w:header="720" w:footer="720" w:gutter="0"/>
          <w:cols w:space="720"/>
          <w:docGrid w:linePitch="360"/>
        </w:sectPr>
      </w:pPr>
    </w:p>
    <w:p>
      <w:pPr>
        <w:spacing w:before="0" w:after="60" w:line="283" w:lineRule="auto"/>
      </w:pPr>
      <w:r>
        <w:rPr>
          <w:rFonts w:ascii="맑은 고딕" w:hAnsi="맑은 고딕" w:eastAsia="맑은 고딕"/>
          <w:b/>
          <w:sz w:val="22"/>
        </w:rPr>
        <w:t>붙임. 기업별 행동 (행동 종류 비교 56개 기업)</w:t>
      </w:r>
    </w:p>
    <w:p>
      <w:pPr>
        <w:spacing w:before="0" w:after="80" w:line="283" w:lineRule="auto"/>
      </w:pPr>
      <w:r>
        <w:rPr>
          <w:rFonts w:ascii="맑은 고딕" w:hAnsi="맑은 고딕" w:eastAsia="맑은 고딕"/>
          <w:b w:val="0"/>
          <w:sz w:val="16"/>
        </w:rPr>
        <w:t>LLM·C3-E: 후보 선택, 추론 높음, B1. 「문서에 기재된 행동」은 행동공간 안의 종류이고, 「채점용 후보」는 이를 표준 행동크기로 바꾼 것(정책가치 비교에 사용).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871"/>
        <w:gridCol w:w="907"/>
        <w:gridCol w:w="2608"/>
        <w:gridCol w:w="850"/>
        <w:gridCol w:w="1191"/>
        <w:gridCol w:w="1644"/>
        <w:gridCol w:w="964"/>
        <w:gridCol w:w="680"/>
        <w:gridCol w:w="794"/>
        <w:gridCol w:w="907"/>
        <w:gridCol w:w="907"/>
        <w:gridCol w:w="964"/>
      </w:tblGrid>
      <w:tr>
        <w:trPr>
          <w:tblHeader w:val="true"/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번호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출처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문서에 기재된 행동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투자 확대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만기연장·재조달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채점용 후보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변환 규칙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C3-E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C4 GPT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C4 Gemini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C6-E GPT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C6-E Gemini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강남제비스코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CX+DL+OE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고려아연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금호타이어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녹십자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대한해운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동화기업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롯데렌탈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무림페이퍼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보령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삼성중공업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송원산업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씨제이씨지브이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씨제이이엔엠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에이치엠엠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에코프로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에코프로비엠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컴투스홀딩스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케이씨씨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케이티앤지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티케이지휴켐스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팬오션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하림지주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한화오션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현대글로비스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현대모비스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축소, 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현대자동차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현대코퍼레이션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화신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효성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효성티앤씨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축소, 상환, 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CX+DL+WC+OE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효성화학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휴비스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교촌에프앤비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네오팜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대양전기공업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미스토홀딩스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비엠티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빙그레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산일전기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삼보산업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삼진엘앤디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스톰테크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스튜디오드래곤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쎄트렉아이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에이치디현대마린엔진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엔피케이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오씨아이홀딩스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율촌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쿠콘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킵스바이오파마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한국카본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현대무벡스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후성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인텔리안테크놀로지스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단일 후보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종근당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단일 후보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콜마비앤에이치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단일 후보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</w:tbl>
    <w:p>
      <w:pPr>
        <w:spacing w:before="0" w:after="40" w:line="283" w:lineRule="auto"/>
      </w:pPr>
    </w:p>
    <w:p>
      <w:pPr>
        <w:spacing w:before="0" w:after="20" w:line="283" w:lineRule="auto"/>
      </w:pPr>
      <w:r>
        <w:rPr>
          <w:rFonts w:ascii="맑은 고딕" w:hAnsi="맑은 고딕" w:eastAsia="맑은 고딕"/>
          <w:b w:val="0"/>
          <w:sz w:val="15"/>
        </w:rPr>
        <w:t>후보: A0 무행동(규칙 위반 응답 포함), DL 차입금 상환, RF 단기차입의 장기 전환, CX 설비투자 축소, WC1 운전자본 회수, WC2 공급자금융(WC1 + 매입채무 지급기간 연장), OE 비용효율화(원가·판관비 절감), MX1 상환·비용 복합, MX2 상환·운전자본 복합. 「균등: X+Y」는 기재된 축에 총 행동크기 1을 균등하게 나눈 행동.</w:t>
      </w:r>
    </w:p>
    <w:p>
      <w:pPr>
        <w:spacing w:before="0" w:after="0" w:line="283" w:lineRule="auto"/>
      </w:pPr>
      <w:r>
        <w:rPr>
          <w:rFonts w:ascii="맑은 고딕" w:hAnsi="맑은 고딕" w:eastAsia="맑은 고딕"/>
          <w:b w:val="0"/>
          <w:sz w:val="15"/>
        </w:rPr>
        <w:t>변환 규칙(순서대로 적용): 축 일치 = 기재된 축 집합이 한 후보와 같음(14개) / 종류 일치 = 행동 종류 조합이 한 후보와 같음(25개) / 균등 배분 = 그 밖(14개). 54~56번은 문서 행동이 OE 하나에 정확히 대응하는 단일 후보 기업(3개)으로, 점수 비교 53개에서 제외. 투자 확대와 만기연장·재조달은 행동공간 밖이라 채점용 후보에 넣지 않음.</w:t>
      </w:r>
    </w:p>
    <w:sectPr w:rsidR="002C26A0" w:rsidRPr="006C0560" w:rsidSect="00034616">
      <w:pgSz w:w="16838" w:h="11906" w:orient="landscape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666710">
    <w:abstractNumId w:val="8"/>
  </w:num>
  <w:num w:numId="2" w16cid:durableId="573927966">
    <w:abstractNumId w:val="6"/>
  </w:num>
  <w:num w:numId="3" w16cid:durableId="417751040">
    <w:abstractNumId w:val="5"/>
  </w:num>
  <w:num w:numId="4" w16cid:durableId="362942161">
    <w:abstractNumId w:val="4"/>
  </w:num>
  <w:num w:numId="5" w16cid:durableId="709378249">
    <w:abstractNumId w:val="7"/>
  </w:num>
  <w:num w:numId="6" w16cid:durableId="335617792">
    <w:abstractNumId w:val="3"/>
  </w:num>
  <w:num w:numId="7" w16cid:durableId="277032197">
    <w:abstractNumId w:val="2"/>
  </w:num>
  <w:num w:numId="8" w16cid:durableId="1529291833">
    <w:abstractNumId w:val="1"/>
  </w:num>
  <w:num w:numId="9" w16cid:durableId="126395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6A0"/>
    <w:rsid w:val="00326F90"/>
    <w:rsid w:val="006C0560"/>
    <w:rsid w:val="00757513"/>
    <w:rsid w:val="007A16E9"/>
    <w:rsid w:val="007C53F3"/>
    <w:rsid w:val="00A91DA2"/>
    <w:rsid w:val="00AA1D8D"/>
    <w:rsid w:val="00B47730"/>
    <w:rsid w:val="00CB0664"/>
    <w:rsid w:val="00EF0C0D"/>
    <w:rsid w:val="00FC693F"/>
    <w:rsid w:val="00F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0092D"/>
  <w14:defaultImageDpi w14:val="300"/>
  <w15:docId w15:val="{31CE68E3-FC02-49AB-B2D4-655A73237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– Human baseline 비교</dc:title>
  <dc:subject/>
  <dc:creator>조종선</dc:creator>
  <cp:keywords/>
  <dc:description/>
  <cp:lastModifiedBy>조종선</cp:lastModifiedBy>
  <cp:revision>5</cp:revision>
  <dcterms:created xsi:type="dcterms:W3CDTF">2013-12-23T23:15:00Z</dcterms:created>
  <dcterms:modified xsi:type="dcterms:W3CDTF">2026-10-19T03:00:00Z</dcterms:modified>
  <cp:category/>
</cp:coreProperties>
</file>