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widowControl/>
        <w:spacing w:line="324" w:lineRule="auto" w:after="500"/>
        <w:ind w:firstLine="0"/>
        <w:jc w:val="center"/>
      </w:pPr>
      <w:r>
        <w:rPr>
          <w:b/>
          <w:sz w:val="26"/>
        </w:rPr>
        <w:t>A Validation-First Evaluation Framework for</w:t>
        <w:br/>
        <w:t>LLM-Generated Corporate Credit-Rating Recourse:</w:t>
        <w:br/>
        <w:t>An Oracle–RL–LLM Pipeline</w:t>
      </w:r>
    </w:p>
    <w:p>
      <w:pPr>
        <w:widowControl/>
        <w:spacing w:line="324" w:lineRule="auto" w:after="500"/>
        <w:ind w:firstLine="0"/>
        <w:jc w:val="center"/>
      </w:pPr>
      <w:r>
        <w:rPr>
          <w:b/>
          <w:sz w:val="34"/>
        </w:rPr>
        <w:t>검증 우선 평가 프레임워크를 통한</w:t>
        <w:br/>
        <w:t>LLM 생성 기업 신용등급 개선권고 평가:</w:t>
        <w:br/>
        <w:t>신용평가모형–강화학습–LLM 파이프라인</w:t>
      </w:r>
    </w:p>
    <w:p>
      <w:pPr>
        <w:widowControl/>
        <w:spacing w:after="240"/>
        <w:ind w:firstLine="0"/>
        <w:jc w:val="center"/>
      </w:pPr>
      <w:r>
        <w:t>2026년 12월</w:t>
      </w:r>
    </w:p>
    <w:p>
      <w:pPr>
        <w:widowControl/>
        <w:spacing w:after="240"/>
        <w:ind w:firstLine="0"/>
        <w:jc w:val="center"/>
      </w:pPr>
      <w:r>
        <w:t>서강대학교 AI·SW대학원</w:t>
      </w:r>
    </w:p>
    <w:p>
      <w:pPr>
        <w:widowControl/>
        <w:spacing w:after="240"/>
        <w:ind w:firstLine="0"/>
        <w:jc w:val="center"/>
      </w:pPr>
      <w:r>
        <w:t>데이터사이언스·인공지능 전공</w:t>
      </w:r>
    </w:p>
    <w:p>
      <w:pPr>
        <w:widowControl/>
        <w:spacing w:after="240"/>
        <w:ind w:firstLine="0"/>
        <w:jc w:val="center"/>
      </w:pPr>
      <w:r>
        <w:t>조 종 선</w:t>
      </w:r>
    </w:p>
    <w:p>
      <w:pPr>
        <w:widowControl/>
      </w:pPr>
      <w:r>
        <w:br w:type="page"/>
      </w:r>
    </w:p>
    <w:p>
      <w:pPr>
        <w:widowControl/>
        <w:ind w:firstLine="0"/>
        <w:jc w:val="center"/>
      </w:pPr>
      <w:r>
        <w:rPr>
          <w:b/>
          <w:sz w:val="32"/>
        </w:rPr>
        <w:t>검증 우선 평가 프레임워크를 통한</w:t>
        <w:br/>
        <w:t>LLM 생성 기업 신용등급 개선권고 평가:</w:t>
        <w:br/>
        <w:t>신용평가모형–강화학습–LLM 파이프라인</w:t>
      </w:r>
    </w:p>
    <w:p>
      <w:pPr>
        <w:widowControl/>
        <w:ind w:firstLine="0"/>
        <w:jc w:val="center"/>
      </w:pPr>
    </w:p>
    <w:p>
      <w:pPr>
        <w:widowControl/>
        <w:ind w:firstLine="0"/>
        <w:jc w:val="center"/>
      </w:pPr>
      <w:r>
        <w:t>지도교수 최 준 석</w:t>
      </w:r>
    </w:p>
    <w:p>
      <w:pPr>
        <w:widowControl/>
        <w:ind w:firstLine="0"/>
        <w:jc w:val="center"/>
      </w:pPr>
    </w:p>
    <w:p>
      <w:pPr>
        <w:widowControl/>
        <w:ind w:firstLine="0"/>
        <w:jc w:val="center"/>
      </w:pPr>
      <w:r>
        <w:t>이 논문을 공학석사 학위논문으로 제출함</w:t>
      </w:r>
    </w:p>
    <w:p>
      <w:pPr>
        <w:widowControl/>
        <w:ind w:firstLine="0"/>
        <w:jc w:val="center"/>
      </w:pPr>
      <w:r>
        <w:t>2026년 12월    일</w:t>
      </w:r>
    </w:p>
    <w:p>
      <w:pPr>
        <w:widowControl/>
        <w:ind w:firstLine="0"/>
        <w:jc w:val="center"/>
      </w:pPr>
    </w:p>
    <w:p>
      <w:pPr>
        <w:widowControl/>
        <w:ind w:firstLine="0"/>
        <w:jc w:val="center"/>
      </w:pPr>
      <w:r>
        <w:t>서강대학교 AI·SW대학원</w:t>
      </w:r>
    </w:p>
    <w:p>
      <w:pPr>
        <w:widowControl/>
        <w:ind w:firstLine="0"/>
        <w:jc w:val="center"/>
      </w:pPr>
      <w:r>
        <w:t>데이터사이언스·인공지능 전공</w:t>
      </w:r>
    </w:p>
    <w:p>
      <w:pPr>
        <w:widowControl/>
        <w:ind w:firstLine="0"/>
        <w:jc w:val="center"/>
      </w:pPr>
      <w:r>
        <w:t>조 종 선</w:t>
      </w:r>
    </w:p>
    <w:p>
      <w:pPr>
        <w:widowControl/>
      </w:pPr>
      <w:r>
        <w:br w:type="page"/>
      </w:r>
    </w:p>
    <w:p>
      <w:pPr>
        <w:widowControl/>
        <w:spacing w:after="280"/>
        <w:ind w:firstLine="0"/>
        <w:jc w:val="center"/>
      </w:pPr>
      <w:r>
        <w:t>논 문 인 준 서</w:t>
      </w:r>
    </w:p>
    <w:p>
      <w:pPr>
        <w:widowControl/>
        <w:spacing w:after="280"/>
        <w:ind w:firstLine="0"/>
        <w:jc w:val="center"/>
      </w:pPr>
    </w:p>
    <w:p>
      <w:pPr>
        <w:widowControl/>
        <w:spacing w:after="280"/>
        <w:ind w:firstLine="0"/>
        <w:jc w:val="center"/>
      </w:pPr>
      <w:r>
        <w:t>조 종 선의 공학석사 학위논문을 인준함</w:t>
      </w:r>
    </w:p>
    <w:p>
      <w:pPr>
        <w:widowControl/>
        <w:spacing w:after="280"/>
        <w:ind w:firstLine="0"/>
        <w:jc w:val="center"/>
      </w:pPr>
    </w:p>
    <w:p>
      <w:pPr>
        <w:widowControl/>
        <w:spacing w:after="280"/>
        <w:ind w:firstLine="0"/>
        <w:jc w:val="center"/>
      </w:pPr>
      <w:r>
        <w:t>2026년 12월    일</w:t>
      </w:r>
    </w:p>
    <w:p>
      <w:pPr>
        <w:widowControl/>
        <w:spacing w:after="280"/>
        <w:ind w:firstLine="0"/>
        <w:jc w:val="center"/>
      </w:pPr>
    </w:p>
    <w:p>
      <w:pPr>
        <w:widowControl/>
        <w:spacing w:after="280"/>
        <w:ind w:firstLine="0"/>
        <w:jc w:val="center"/>
      </w:pPr>
      <w:r>
        <w:t>주심                         (인)</w:t>
      </w:r>
    </w:p>
    <w:p>
      <w:pPr>
        <w:widowControl/>
        <w:spacing w:after="280"/>
        <w:ind w:firstLine="0"/>
        <w:jc w:val="center"/>
      </w:pPr>
    </w:p>
    <w:p>
      <w:pPr>
        <w:widowControl/>
        <w:spacing w:after="280"/>
        <w:ind w:firstLine="0"/>
        <w:jc w:val="center"/>
      </w:pPr>
      <w:r>
        <w:t>부심                         (인)</w:t>
      </w:r>
    </w:p>
    <w:p>
      <w:pPr>
        <w:widowControl/>
        <w:spacing w:after="280"/>
        <w:ind w:firstLine="0"/>
        <w:jc w:val="center"/>
      </w:pPr>
    </w:p>
    <w:p>
      <w:pPr>
        <w:widowControl/>
        <w:spacing w:after="280"/>
        <w:ind w:firstLine="0"/>
        <w:jc w:val="center"/>
      </w:pPr>
      <w:r>
        <w:t>부심                         (인)</w:t>
      </w:r>
    </w:p>
    <w:p>
      <w:pPr>
        <w:sectPr>
          <w:headerReference w:type="default" r:id="rId27"/>
          <w:footerReference w:type="default" r:id="rId28"/>
          <w:pgSz w:w="11906" w:h="16838"/>
          <w:pgMar w:top="3005" w:right="1984" w:bottom="3005" w:left="1984" w:header="850" w:footer="2041" w:gutter="0"/>
          <w:pgNumType w:start="1"/>
          <w:cols w:space="720"/>
          <w:formProt w:val="0"/>
          <w:docGrid w:linePitch="360" w:charSpace="8192"/>
        </w:sectPr>
      </w:pPr>
    </w:p>
    <w:p>
      <w:pPr>
        <w:pStyle w:val="FrontTitle"/>
        <w:widowControl/>
      </w:pPr>
      <w:r>
        <w:t>차 례</w:t>
      </w:r>
    </w:p>
    <w:p>
      <w:pPr>
        <w:pStyle w:val="ThesisTOC"/>
        <w:tabs>
          <w:tab w:pos="7937" w:val="right" w:leader="dot"/>
        </w:tabs>
        <w:spacing w:after="80"/>
        <w:ind w:left="0"/>
      </w:pPr>
      <w:hyperlink w:anchor="head_1">
        <w:r>
          <w:t>Abstract</w:t>
        </w:r>
      </w:hyperlink>
      <w:r>
        <w:tab/>
        <w:t>xi</w:t>
      </w:r>
    </w:p>
    <w:p>
      <w:pPr>
        <w:pStyle w:val="ThesisTOC"/>
        <w:tabs>
          <w:tab w:pos="7937" w:val="right" w:leader="dot"/>
        </w:tabs>
        <w:spacing w:after="80"/>
        <w:ind w:left="0"/>
      </w:pPr>
      <w:hyperlink w:anchor="head_2">
        <w:r>
          <w:t>초록</w:t>
        </w:r>
      </w:hyperlink>
      <w:r>
        <w:tab/>
        <w:t>xiii</w:t>
      </w:r>
    </w:p>
    <w:p>
      <w:pPr>
        <w:pStyle w:val="ThesisTOC"/>
        <w:tabs>
          <w:tab w:pos="7937" w:val="right" w:leader="dot"/>
        </w:tabs>
        <w:spacing w:after="80"/>
        <w:ind w:left="0"/>
      </w:pPr>
      <w:hyperlink w:anchor="head_3">
        <w:r>
          <w:t>제1장 서론</w:t>
        </w:r>
      </w:hyperlink>
      <w:r>
        <w:tab/>
        <w:t>1</w:t>
      </w:r>
    </w:p>
    <w:p>
      <w:pPr>
        <w:pStyle w:val="ThesisTOC"/>
        <w:tabs>
          <w:tab w:pos="7937" w:val="right" w:leader="dot"/>
        </w:tabs>
        <w:spacing w:after="80"/>
        <w:ind w:left="198"/>
      </w:pPr>
      <w:hyperlink w:anchor="head_4">
        <w:r>
          <w:t>1.1 연구 배경과 문제 제기</w:t>
        </w:r>
      </w:hyperlink>
      <w:r>
        <w:tab/>
        <w:t>1</w:t>
      </w:r>
    </w:p>
    <w:p>
      <w:pPr>
        <w:pStyle w:val="ThesisTOC"/>
        <w:tabs>
          <w:tab w:pos="7937" w:val="right" w:leader="dot"/>
        </w:tabs>
        <w:spacing w:after="80"/>
        <w:ind w:left="198"/>
      </w:pPr>
      <w:hyperlink w:anchor="head_5">
        <w:r>
          <w:t>1.2 연구문제와 평가의 두 간극</w:t>
        </w:r>
      </w:hyperlink>
      <w:r>
        <w:tab/>
        <w:t>3</w:t>
      </w:r>
    </w:p>
    <w:p>
      <w:pPr>
        <w:pStyle w:val="ThesisTOC"/>
        <w:tabs>
          <w:tab w:pos="7937" w:val="right" w:leader="dot"/>
        </w:tabs>
        <w:spacing w:after="80"/>
        <w:ind w:left="198"/>
      </w:pPr>
      <w:hyperlink w:anchor="head_6">
        <w:r>
          <w:t>1.3 연구의 목적과 연구질문</w:t>
        </w:r>
      </w:hyperlink>
      <w:r>
        <w:tab/>
        <w:t>4</w:t>
      </w:r>
    </w:p>
    <w:p>
      <w:pPr>
        <w:pStyle w:val="ThesisTOC"/>
        <w:tabs>
          <w:tab w:pos="7937" w:val="right" w:leader="dot"/>
        </w:tabs>
        <w:spacing w:after="80"/>
        <w:ind w:left="198"/>
      </w:pPr>
      <w:hyperlink w:anchor="head_7">
        <w:r>
          <w:t>1.4 연구의 전체적 접근</w:t>
        </w:r>
      </w:hyperlink>
      <w:r>
        <w:tab/>
        <w:t>5</w:t>
      </w:r>
    </w:p>
    <w:p>
      <w:pPr>
        <w:pStyle w:val="ThesisTOC"/>
        <w:tabs>
          <w:tab w:pos="7937" w:val="right" w:leader="dot"/>
        </w:tabs>
        <w:spacing w:after="80"/>
        <w:ind w:left="198"/>
      </w:pPr>
      <w:hyperlink w:anchor="head_8">
        <w:r>
          <w:t>1.5 연구의 기여</w:t>
        </w:r>
      </w:hyperlink>
      <w:r>
        <w:tab/>
        <w:t>6</w:t>
      </w:r>
    </w:p>
    <w:p>
      <w:pPr>
        <w:pStyle w:val="ThesisTOC"/>
        <w:tabs>
          <w:tab w:pos="7937" w:val="right" w:leader="dot"/>
        </w:tabs>
        <w:spacing w:after="80"/>
        <w:ind w:left="198"/>
      </w:pPr>
      <w:hyperlink w:anchor="head_9">
        <w:r>
          <w:t>1.6 논문의 구성</w:t>
        </w:r>
      </w:hyperlink>
      <w:r>
        <w:tab/>
        <w:t>7</w:t>
      </w:r>
    </w:p>
    <w:p>
      <w:pPr>
        <w:pStyle w:val="ThesisTOC"/>
        <w:tabs>
          <w:tab w:pos="7937" w:val="right" w:leader="dot"/>
        </w:tabs>
        <w:spacing w:after="80"/>
        <w:ind w:left="0"/>
      </w:pPr>
      <w:hyperlink w:anchor="head_10">
        <w:r>
          <w:t>제2장 이론적 배경과 분석틀</w:t>
        </w:r>
      </w:hyperlink>
      <w:r>
        <w:tab/>
        <w:t>8</w:t>
      </w:r>
    </w:p>
    <w:p>
      <w:pPr>
        <w:pStyle w:val="ThesisTOC"/>
        <w:tabs>
          <w:tab w:pos="7937" w:val="right" w:leader="dot"/>
        </w:tabs>
        <w:spacing w:after="80"/>
        <w:ind w:left="198"/>
      </w:pPr>
      <w:hyperlink w:anchor="head_11">
        <w:r>
          <w:t>2.1 기업 신용위험 측정과 신용평가</w:t>
        </w:r>
      </w:hyperlink>
      <w:r>
        <w:tab/>
        <w:t>8</w:t>
      </w:r>
    </w:p>
    <w:p>
      <w:pPr>
        <w:pStyle w:val="ThesisTOC"/>
        <w:tabs>
          <w:tab w:pos="7937" w:val="right" w:leader="dot"/>
        </w:tabs>
        <w:spacing w:after="80"/>
        <w:ind w:left="397"/>
      </w:pPr>
      <w:hyperlink w:anchor="head_12">
        <w:r>
          <w:t>2.1.1 예측 문제로서의 신용위험: 회계·구조·기계학습 모형</w:t>
        </w:r>
      </w:hyperlink>
      <w:r>
        <w:tab/>
        <w:t>8</w:t>
      </w:r>
    </w:p>
    <w:p>
      <w:pPr>
        <w:pStyle w:val="ThesisTOC"/>
        <w:tabs>
          <w:tab w:pos="7937" w:val="right" w:leader="dot"/>
        </w:tabs>
        <w:spacing w:after="80"/>
        <w:ind w:left="397"/>
      </w:pPr>
      <w:hyperlink w:anchor="head_13">
        <w:r>
          <w:t>2.1.2 검증가능성과 사용범위</w:t>
        </w:r>
      </w:hyperlink>
      <w:r>
        <w:tab/>
        <w:t>9</w:t>
      </w:r>
    </w:p>
    <w:p>
      <w:pPr>
        <w:pStyle w:val="ThesisTOC"/>
        <w:tabs>
          <w:tab w:pos="7937" w:val="right" w:leader="dot"/>
        </w:tabs>
        <w:spacing w:after="80"/>
        <w:ind w:left="397"/>
      </w:pPr>
      <w:hyperlink w:anchor="head_14">
        <w:r>
          <w:t>2.1.3 LLM과 신용위험: 진단에서 처방으로</w:t>
        </w:r>
      </w:hyperlink>
      <w:r>
        <w:tab/>
        <w:t>9</w:t>
      </w:r>
    </w:p>
    <w:p>
      <w:pPr>
        <w:pStyle w:val="ThesisTOC"/>
        <w:tabs>
          <w:tab w:pos="7937" w:val="right" w:leader="dot"/>
        </w:tabs>
        <w:spacing w:after="80"/>
        <w:ind w:left="198"/>
      </w:pPr>
      <w:hyperlink w:anchor="head_15">
        <w:r>
          <w:t>2.2 알고리즘적 권고와 반사실적 설명</w:t>
        </w:r>
      </w:hyperlink>
      <w:r>
        <w:tab/>
        <w:t>10</w:t>
      </w:r>
    </w:p>
    <w:p>
      <w:pPr>
        <w:pStyle w:val="ThesisTOC"/>
        <w:tabs>
          <w:tab w:pos="7937" w:val="right" w:leader="dot"/>
        </w:tabs>
        <w:spacing w:after="80"/>
        <w:ind w:left="397"/>
      </w:pPr>
      <w:hyperlink w:anchor="head_16">
        <w:r>
          <w:t>2.2.1 반사실적 설명에서 실행가능한 권고로</w:t>
        </w:r>
      </w:hyperlink>
      <w:r>
        <w:tab/>
        <w:t>10</w:t>
      </w:r>
    </w:p>
    <w:p>
      <w:pPr>
        <w:pStyle w:val="ThesisTOC"/>
        <w:tabs>
          <w:tab w:pos="7937" w:val="right" w:leader="dot"/>
        </w:tabs>
        <w:spacing w:after="80"/>
        <w:ind w:left="397"/>
      </w:pPr>
      <w:hyperlink w:anchor="head_17">
        <w:r>
          <w:t>2.2.2 기업 신용 영역의 recourse와 본 연구의 위치</w:t>
        </w:r>
      </w:hyperlink>
      <w:r>
        <w:tab/>
        <w:t>11</w:t>
      </w:r>
    </w:p>
    <w:p>
      <w:pPr>
        <w:pStyle w:val="ThesisTOC"/>
        <w:tabs>
          <w:tab w:pos="7937" w:val="right" w:leader="dot"/>
        </w:tabs>
        <w:spacing w:after="80"/>
        <w:ind w:left="397"/>
      </w:pPr>
      <w:hyperlink w:anchor="head_18">
        <w:r>
          <w:t>2.2.3 개인 recourse와 기업 recourse의 구조적 차이</w:t>
        </w:r>
      </w:hyperlink>
      <w:r>
        <w:tab/>
        <w:t>12</w:t>
      </w:r>
    </w:p>
    <w:p>
      <w:pPr>
        <w:pStyle w:val="ThesisTOC"/>
        <w:tabs>
          <w:tab w:pos="7937" w:val="right" w:leader="dot"/>
        </w:tabs>
        <w:spacing w:after="80"/>
        <w:ind w:left="198"/>
      </w:pPr>
      <w:hyperlink w:anchor="head_19">
        <w:r>
          <w:t>2.3 순차적 의사결정과 오프라인 강화학습</w:t>
        </w:r>
      </w:hyperlink>
      <w:r>
        <w:tab/>
        <w:t>12</w:t>
      </w:r>
    </w:p>
    <w:p>
      <w:pPr>
        <w:pStyle w:val="ThesisTOC"/>
        <w:tabs>
          <w:tab w:pos="7937" w:val="right" w:leader="dot"/>
        </w:tabs>
        <w:spacing w:after="80"/>
        <w:ind w:left="397"/>
      </w:pPr>
      <w:hyperlink w:anchor="head_20">
        <w:r>
          <w:t>2.3.1 오프라인 설정과 분포이동</w:t>
        </w:r>
      </w:hyperlink>
      <w:r>
        <w:tab/>
        <w:t>12</w:t>
      </w:r>
    </w:p>
    <w:p>
      <w:pPr>
        <w:pStyle w:val="ThesisTOC"/>
        <w:tabs>
          <w:tab w:pos="7937" w:val="right" w:leader="dot"/>
        </w:tabs>
        <w:spacing w:after="80"/>
        <w:ind w:left="397"/>
      </w:pPr>
      <w:hyperlink w:anchor="head_21">
        <w:r>
          <w:t>2.3.2 Candidate-IQL의 지위와 선택 불확실성</w:t>
        </w:r>
      </w:hyperlink>
      <w:r>
        <w:tab/>
        <w:t>13</w:t>
      </w:r>
    </w:p>
    <w:p>
      <w:pPr>
        <w:pStyle w:val="ThesisTOC"/>
        <w:tabs>
          <w:tab w:pos="7937" w:val="right" w:leader="dot"/>
        </w:tabs>
        <w:spacing w:after="80"/>
        <w:ind w:left="198"/>
      </w:pPr>
      <w:hyperlink w:anchor="head_22">
        <w:r>
          <w:t>2.4 정책으로서의 LLM</w:t>
        </w:r>
      </w:hyperlink>
      <w:r>
        <w:tab/>
        <w:t>14</w:t>
      </w:r>
    </w:p>
    <w:p>
      <w:pPr>
        <w:pStyle w:val="ThesisTOC"/>
        <w:tabs>
          <w:tab w:pos="7937" w:val="right" w:leader="dot"/>
        </w:tabs>
        <w:spacing w:after="80"/>
        <w:ind w:left="397"/>
      </w:pPr>
      <w:hyperlink w:anchor="head_23">
        <w:r>
          <w:t>2.4.1 프롬프트의 추론 유도와 API 추론 설정</w:t>
        </w:r>
      </w:hyperlink>
      <w:r>
        <w:tab/>
        <w:t>14</w:t>
      </w:r>
    </w:p>
    <w:p>
      <w:pPr>
        <w:pStyle w:val="ThesisTOC"/>
        <w:tabs>
          <w:tab w:pos="7937" w:val="right" w:leader="dot"/>
        </w:tabs>
        <w:spacing w:after="80"/>
        <w:ind w:left="397"/>
      </w:pPr>
      <w:hyperlink w:anchor="head_24">
        <w:r>
          <w:t>2.4.2 자기 수정과 외부 정책 참조</w:t>
        </w:r>
      </w:hyperlink>
      <w:r>
        <w:tab/>
        <w:t>15</w:t>
      </w:r>
    </w:p>
    <w:p>
      <w:pPr>
        <w:pStyle w:val="ThesisTOC"/>
        <w:tabs>
          <w:tab w:pos="7937" w:val="right" w:leader="dot"/>
        </w:tabs>
        <w:spacing w:after="80"/>
        <w:ind w:left="397"/>
      </w:pPr>
      <w:hyperlink w:anchor="head_25">
        <w:r>
          <w:t>2.4.3 출력 유창성·행동 유효성·정책가치</w:t>
        </w:r>
      </w:hyperlink>
      <w:r>
        <w:tab/>
        <w:t>15</w:t>
      </w:r>
    </w:p>
    <w:p>
      <w:pPr>
        <w:pStyle w:val="ThesisTOC"/>
        <w:tabs>
          <w:tab w:pos="7937" w:val="right" w:leader="dot"/>
        </w:tabs>
        <w:spacing w:after="80"/>
        <w:ind w:left="198"/>
      </w:pPr>
      <w:hyperlink w:anchor="head_26">
        <w:r>
          <w:t>2.5 평가단위와 측정 타당성: 정책 하네스</w:t>
        </w:r>
      </w:hyperlink>
      <w:r>
        <w:tab/>
        <w:t>16</w:t>
      </w:r>
    </w:p>
    <w:p>
      <w:pPr>
        <w:pStyle w:val="ThesisTOC"/>
        <w:tabs>
          <w:tab w:pos="7937" w:val="right" w:leader="dot"/>
        </w:tabs>
        <w:spacing w:after="80"/>
        <w:ind w:left="397"/>
      </w:pPr>
      <w:hyperlink w:anchor="head_27">
        <w:r>
          <w:t>2.5.1 동일 파운데이션 모델의 생성 정책 차이</w:t>
        </w:r>
      </w:hyperlink>
      <w:r>
        <w:tab/>
        <w:t>16</w:t>
      </w:r>
    </w:p>
    <w:p>
      <w:pPr>
        <w:pStyle w:val="ThesisTOC"/>
        <w:tabs>
          <w:tab w:pos="7937" w:val="right" w:leader="dot"/>
        </w:tabs>
        <w:spacing w:after="80"/>
        <w:ind w:left="397"/>
      </w:pPr>
      <w:hyperlink w:anchor="head_28">
        <w:r>
          <w:t>2.5.2 정책 하네스와 평가 하네스의 구분</w:t>
        </w:r>
      </w:hyperlink>
      <w:r>
        <w:tab/>
        <w:t>17</w:t>
      </w:r>
    </w:p>
    <w:p>
      <w:pPr>
        <w:pStyle w:val="ThesisTOC"/>
        <w:tabs>
          <w:tab w:pos="7937" w:val="right" w:leader="dot"/>
        </w:tabs>
        <w:spacing w:after="80"/>
        <w:ind w:left="397"/>
      </w:pPr>
      <w:hyperlink w:anchor="head_29">
        <w:r>
          <w:t>2.5.3 검증 우선 원칙의 적용범위</w:t>
        </w:r>
      </w:hyperlink>
      <w:r>
        <w:tab/>
        <w:t>17</w:t>
      </w:r>
    </w:p>
    <w:p>
      <w:pPr>
        <w:pStyle w:val="ThesisTOC"/>
        <w:tabs>
          <w:tab w:pos="7937" w:val="right" w:leader="dot"/>
        </w:tabs>
        <w:spacing w:after="80"/>
        <w:ind w:left="198"/>
      </w:pPr>
      <w:hyperlink w:anchor="head_30">
        <w:r>
          <w:t>2.6 정책가치의 귀속 문제</w:t>
        </w:r>
      </w:hyperlink>
      <w:r>
        <w:tab/>
        <w:t>18</w:t>
      </w:r>
    </w:p>
    <w:p>
      <w:pPr>
        <w:pStyle w:val="ThesisTOC"/>
        <w:tabs>
          <w:tab w:pos="7937" w:val="right" w:leader="dot"/>
        </w:tabs>
        <w:spacing w:after="80"/>
        <w:ind w:left="397"/>
      </w:pPr>
      <w:hyperlink w:anchor="head_31">
        <w:r>
          <w:t>2.6.1 평가도구 귀속</w:t>
        </w:r>
      </w:hyperlink>
      <w:r>
        <w:tab/>
        <w:t>18</w:t>
      </w:r>
    </w:p>
    <w:p>
      <w:pPr>
        <w:pStyle w:val="ThesisTOC"/>
        <w:tabs>
          <w:tab w:pos="7937" w:val="right" w:leader="dot"/>
        </w:tabs>
        <w:spacing w:after="80"/>
        <w:ind w:left="397"/>
      </w:pPr>
      <w:hyperlink w:anchor="head_32">
        <w:r>
          <w:t>2.6.2 생성모델과 실행규칙 귀속</w:t>
        </w:r>
      </w:hyperlink>
      <w:r>
        <w:tab/>
        <w:t>18</w:t>
      </w:r>
    </w:p>
    <w:p>
      <w:pPr>
        <w:pStyle w:val="ThesisTOC"/>
        <w:tabs>
          <w:tab w:pos="7937" w:val="right" w:leader="dot"/>
        </w:tabs>
        <w:spacing w:after="80"/>
        <w:ind w:left="397"/>
      </w:pPr>
      <w:hyperlink w:anchor="head_33">
        <w:r>
          <w:t>2.6.3 자기 재검토와 추가 참조 귀속</w:t>
        </w:r>
      </w:hyperlink>
      <w:r>
        <w:tab/>
        <w:t>18</w:t>
      </w:r>
    </w:p>
    <w:p>
      <w:pPr>
        <w:pStyle w:val="ThesisTOC"/>
        <w:tabs>
          <w:tab w:pos="7937" w:val="right" w:leader="dot"/>
        </w:tabs>
        <w:spacing w:after="80"/>
        <w:ind w:left="198"/>
      </w:pPr>
      <w:hyperlink w:anchor="head_34">
        <w:r>
          <w:t>2.7 선행연구의 한계와 본 연구의 위치</w:t>
        </w:r>
      </w:hyperlink>
      <w:r>
        <w:tab/>
        <w:t>19</w:t>
      </w:r>
    </w:p>
    <w:p>
      <w:pPr>
        <w:pStyle w:val="ThesisTOC"/>
        <w:tabs>
          <w:tab w:pos="7937" w:val="right" w:leader="dot"/>
        </w:tabs>
        <w:spacing w:after="80"/>
        <w:ind w:left="198"/>
      </w:pPr>
      <w:hyperlink w:anchor="head_35">
        <w:r>
          <w:t>2.8 연구가설과 추가 분석명제</w:t>
        </w:r>
      </w:hyperlink>
      <w:r>
        <w:tab/>
        <w:t>19</w:t>
      </w:r>
    </w:p>
    <w:p>
      <w:pPr>
        <w:pStyle w:val="ThesisTOC"/>
        <w:tabs>
          <w:tab w:pos="7937" w:val="right" w:leader="dot"/>
        </w:tabs>
        <w:spacing w:after="80"/>
        <w:ind w:left="0"/>
      </w:pPr>
      <w:hyperlink w:anchor="head_36">
        <w:r>
          <w:t>제3장 연구설계와 실행·분석 계약</w:t>
        </w:r>
      </w:hyperlink>
      <w:r>
        <w:tab/>
        <w:t>21</w:t>
      </w:r>
    </w:p>
    <w:p>
      <w:pPr>
        <w:pStyle w:val="ThesisTOC"/>
        <w:tabs>
          <w:tab w:pos="7937" w:val="right" w:leader="dot"/>
        </w:tabs>
        <w:spacing w:after="80"/>
        <w:ind w:left="198"/>
      </w:pPr>
      <w:hyperlink w:anchor="head_37">
        <w:r>
          <w:t>3.1 자료·표본·시점과 분석의 역할</w:t>
        </w:r>
      </w:hyperlink>
      <w:r>
        <w:tab/>
        <w:t>21</w:t>
      </w:r>
    </w:p>
    <w:p>
      <w:pPr>
        <w:pStyle w:val="ThesisTOC"/>
        <w:tabs>
          <w:tab w:pos="7937" w:val="right" w:leader="dot"/>
        </w:tabs>
        <w:spacing w:after="80"/>
        <w:ind w:left="397"/>
      </w:pPr>
      <w:hyperlink w:anchor="head_38">
        <w:r>
          <w:t>3.1.1 재무패널과 시간 구분</w:t>
        </w:r>
      </w:hyperlink>
      <w:r>
        <w:tab/>
        <w:t>21</w:t>
      </w:r>
    </w:p>
    <w:p>
      <w:pPr>
        <w:pStyle w:val="ThesisTOC"/>
        <w:tabs>
          <w:tab w:pos="7937" w:val="right" w:leader="dot"/>
        </w:tabs>
        <w:spacing w:after="80"/>
        <w:ind w:left="397"/>
      </w:pPr>
      <w:hyperlink w:anchor="head_39">
        <w:r>
          <w:t>3.1.2 기업 식별과 산업정보</w:t>
        </w:r>
      </w:hyperlink>
      <w:r>
        <w:tab/>
        <w:t>22</w:t>
      </w:r>
    </w:p>
    <w:p>
      <w:pPr>
        <w:pStyle w:val="ThesisTOC"/>
        <w:tabs>
          <w:tab w:pos="7937" w:val="right" w:leader="dot"/>
        </w:tabs>
        <w:spacing w:after="80"/>
        <w:ind w:left="198"/>
      </w:pPr>
      <w:hyperlink w:anchor="head_40">
        <w:r>
          <w:t>3.2 관리행동, 표준후보와 정규화 행동예산</w:t>
        </w:r>
      </w:hyperlink>
      <w:r>
        <w:tab/>
        <w:t>23</w:t>
      </w:r>
    </w:p>
    <w:p>
      <w:pPr>
        <w:pStyle w:val="ThesisTOC"/>
        <w:tabs>
          <w:tab w:pos="7937" w:val="right" w:leader="dot"/>
        </w:tabs>
        <w:spacing w:after="80"/>
        <w:ind w:left="397"/>
      </w:pPr>
      <w:hyperlink w:anchor="head_41">
        <w:r>
          <w:t>3.2.1 여덟 개 관리행동의 의미</w:t>
        </w:r>
      </w:hyperlink>
      <w:r>
        <w:tab/>
        <w:t>23</w:t>
      </w:r>
    </w:p>
    <w:p>
      <w:pPr>
        <w:pStyle w:val="ThesisTOC"/>
        <w:tabs>
          <w:tab w:pos="7937" w:val="right" w:leader="dot"/>
        </w:tabs>
        <w:spacing w:after="80"/>
        <w:ind w:left="397"/>
      </w:pPr>
      <w:hyperlink w:anchor="head_42">
        <w:r>
          <w:t>3.2.2 B1과 BINF</w:t>
        </w:r>
      </w:hyperlink>
      <w:r>
        <w:tab/>
        <w:t>24</w:t>
      </w:r>
    </w:p>
    <w:p>
      <w:pPr>
        <w:pStyle w:val="ThesisTOC"/>
        <w:tabs>
          <w:tab w:pos="7937" w:val="right" w:leader="dot"/>
        </w:tabs>
        <w:spacing w:after="80"/>
        <w:ind w:left="397"/>
      </w:pPr>
      <w:hyperlink w:anchor="head_43">
        <w:r>
          <w:t>3.2.3 아홉 개 표준 후보행동</w:t>
        </w:r>
      </w:hyperlink>
      <w:r>
        <w:tab/>
        <w:t>25</w:t>
      </w:r>
    </w:p>
    <w:p>
      <w:pPr>
        <w:pStyle w:val="ThesisTOC"/>
        <w:tabs>
          <w:tab w:pos="7937" w:val="right" w:leader="dot"/>
        </w:tabs>
        <w:spacing w:after="80"/>
        <w:ind w:left="198"/>
      </w:pPr>
      <w:hyperlink w:anchor="head_44">
        <w:r>
          <w:t>3.3 Simulator와 Oracle의 공통 평가경로</w:t>
        </w:r>
      </w:hyperlink>
      <w:r>
        <w:tab/>
        <w:t>26</w:t>
      </w:r>
    </w:p>
    <w:p>
      <w:pPr>
        <w:pStyle w:val="ThesisTOC"/>
        <w:tabs>
          <w:tab w:pos="7937" w:val="right" w:leader="dot"/>
        </w:tabs>
        <w:spacing w:after="80"/>
        <w:ind w:left="397"/>
      </w:pPr>
      <w:hyperlink w:anchor="head_45">
        <w:r>
          <w:t>3.3.1 제안에서 재무상태로의 전파</w:t>
        </w:r>
      </w:hyperlink>
      <w:r>
        <w:tab/>
        <w:t>26</w:t>
      </w:r>
    </w:p>
    <w:p>
      <w:pPr>
        <w:pStyle w:val="ThesisTOC"/>
        <w:tabs>
          <w:tab w:pos="7937" w:val="right" w:leader="dot"/>
        </w:tabs>
        <w:spacing w:after="80"/>
        <w:ind w:left="397"/>
      </w:pPr>
      <w:hyperlink w:anchor="head_46">
        <w:r>
          <w:t>3.3.2 세 Oracle와 정책가치</w:t>
        </w:r>
      </w:hyperlink>
      <w:r>
        <w:tab/>
        <w:t>26</w:t>
      </w:r>
    </w:p>
    <w:p>
      <w:pPr>
        <w:pStyle w:val="ThesisTOC"/>
        <w:tabs>
          <w:tab w:pos="7937" w:val="right" w:leader="dot"/>
        </w:tabs>
        <w:spacing w:after="80"/>
        <w:ind w:left="198"/>
      </w:pPr>
      <w:hyperlink w:anchor="head_47">
        <w:r>
          <w:t>3.4 Candidate-IQL의 학습·선택·배포</w:t>
        </w:r>
      </w:hyperlink>
      <w:r>
        <w:tab/>
        <w:t>27</w:t>
      </w:r>
    </w:p>
    <w:p>
      <w:pPr>
        <w:pStyle w:val="ThesisTOC"/>
        <w:tabs>
          <w:tab w:pos="7937" w:val="right" w:leader="dot"/>
        </w:tabs>
        <w:spacing w:after="80"/>
        <w:ind w:left="397"/>
      </w:pPr>
      <w:hyperlink w:anchor="head_48">
        <w:r>
          <w:t>3.4.1 표현학습, 행동모방과 가치학습</w:t>
        </w:r>
      </w:hyperlink>
      <w:r>
        <w:tab/>
        <w:t>27</w:t>
      </w:r>
    </w:p>
    <w:p>
      <w:pPr>
        <w:pStyle w:val="ThesisTOC"/>
        <w:tabs>
          <w:tab w:pos="7937" w:val="right" w:leader="dot"/>
        </w:tabs>
        <w:spacing w:after="80"/>
        <w:ind w:left="397"/>
      </w:pPr>
      <w:hyperlink w:anchor="head_49">
        <w:r>
          <w:t>3.4.2 등급 신호와 보조보상</w:t>
        </w:r>
      </w:hyperlink>
      <w:r>
        <w:tab/>
        <w:t>28</w:t>
      </w:r>
    </w:p>
    <w:p>
      <w:pPr>
        <w:pStyle w:val="ThesisTOC"/>
        <w:tabs>
          <w:tab w:pos="7937" w:val="right" w:leader="dot"/>
        </w:tabs>
        <w:spacing w:after="80"/>
        <w:ind w:left="397"/>
      </w:pPr>
      <w:hyperlink w:anchor="head_50">
        <w:r>
          <w:t>3.4.3 계층적 확률평균과 선택 독립성</w:t>
        </w:r>
      </w:hyperlink>
      <w:r>
        <w:tab/>
        <w:t>28</w:t>
      </w:r>
    </w:p>
    <w:p>
      <w:pPr>
        <w:pStyle w:val="ThesisTOC"/>
        <w:tabs>
          <w:tab w:pos="7937" w:val="right" w:leader="dot"/>
        </w:tabs>
        <w:spacing w:after="80"/>
        <w:ind w:left="198"/>
      </w:pPr>
      <w:hyperlink w:anchor="head_51">
        <w:r>
          <w:t>3.5 LLM 모델과 생성 실행조건</w:t>
        </w:r>
      </w:hyperlink>
      <w:r>
        <w:tab/>
        <w:t>29</w:t>
      </w:r>
    </w:p>
    <w:p>
      <w:pPr>
        <w:pStyle w:val="ThesisTOC"/>
        <w:tabs>
          <w:tab w:pos="7937" w:val="right" w:leader="dot"/>
        </w:tabs>
        <w:spacing w:after="80"/>
        <w:ind w:left="198"/>
      </w:pPr>
      <w:hyperlink w:anchor="head_52">
        <w:r>
          <w:t>3.6 정책조건·정보조건과 실행행렬</w:t>
        </w:r>
      </w:hyperlink>
      <w:r>
        <w:tab/>
        <w:t>30</w:t>
      </w:r>
    </w:p>
    <w:p>
      <w:pPr>
        <w:pStyle w:val="ThesisTOC"/>
        <w:tabs>
          <w:tab w:pos="7937" w:val="right" w:leader="dot"/>
        </w:tabs>
        <w:spacing w:after="80"/>
        <w:ind w:left="397"/>
      </w:pPr>
      <w:hyperlink w:anchor="head_53">
        <w:r>
          <w:t>3.6.1 동일 초안의 재검토와 두 종류의 참조</w:t>
        </w:r>
      </w:hyperlink>
      <w:r>
        <w:tab/>
        <w:t>30</w:t>
      </w:r>
    </w:p>
    <w:p>
      <w:pPr>
        <w:pStyle w:val="ThesisTOC"/>
        <w:tabs>
          <w:tab w:pos="7937" w:val="right" w:leader="dot"/>
        </w:tabs>
        <w:spacing w:after="80"/>
        <w:ind w:left="397"/>
      </w:pPr>
      <w:hyperlink w:anchor="head_54">
        <w:r>
          <w:t>3.6.2 실제 제공정보의 차이</w:t>
        </w:r>
      </w:hyperlink>
      <w:r>
        <w:tab/>
        <w:t>31</w:t>
      </w:r>
    </w:p>
    <w:p>
      <w:pPr>
        <w:pStyle w:val="ThesisTOC"/>
        <w:tabs>
          <w:tab w:pos="7937" w:val="right" w:leader="dot"/>
        </w:tabs>
        <w:spacing w:after="80"/>
        <w:ind w:left="397"/>
      </w:pPr>
      <w:hyperlink w:anchor="head_55">
        <w:r>
          <w:t>3.6.3 Main Run1과 Stability Run2</w:t>
        </w:r>
      </w:hyperlink>
      <w:r>
        <w:tab/>
        <w:t>32</w:t>
      </w:r>
    </w:p>
    <w:p>
      <w:pPr>
        <w:pStyle w:val="ThesisTOC"/>
        <w:tabs>
          <w:tab w:pos="7937" w:val="right" w:leader="dot"/>
        </w:tabs>
        <w:spacing w:after="80"/>
        <w:ind w:left="198"/>
      </w:pPr>
      <w:hyperlink w:anchor="head_56">
        <w:r>
          <w:t>3.7 원응답과 네 행동층</w:t>
        </w:r>
      </w:hyperlink>
      <w:r>
        <w:tab/>
        <w:t>33</w:t>
      </w:r>
    </w:p>
    <w:p>
      <w:pPr>
        <w:pStyle w:val="ThesisTOC"/>
        <w:tabs>
          <w:tab w:pos="7937" w:val="right" w:leader="dot"/>
        </w:tabs>
        <w:spacing w:after="80"/>
        <w:ind w:left="198"/>
      </w:pPr>
      <w:hyperlink w:anchor="head_57">
        <w:r>
          <w:t>3.8 Strict, Repaired와 PP</w:t>
        </w:r>
      </w:hyperlink>
      <w:r>
        <w:tab/>
        <w:t>34</w:t>
      </w:r>
    </w:p>
    <w:p>
      <w:pPr>
        <w:pStyle w:val="ThesisTOC"/>
        <w:tabs>
          <w:tab w:pos="7937" w:val="right" w:leader="dot"/>
        </w:tabs>
        <w:spacing w:after="80"/>
        <w:ind w:left="397"/>
      </w:pPr>
      <w:hyperlink w:anchor="head_58">
        <w:r>
          <w:t>3.8.1 두 실행정책의 구분</w:t>
        </w:r>
      </w:hyperlink>
      <w:r>
        <w:tab/>
        <w:t>34</w:t>
      </w:r>
    </w:p>
    <w:p>
      <w:pPr>
        <w:pStyle w:val="ThesisTOC"/>
        <w:tabs>
          <w:tab w:pos="7937" w:val="right" w:leader="dot"/>
        </w:tabs>
        <w:spacing w:after="80"/>
        <w:ind w:left="397"/>
      </w:pPr>
      <w:hyperlink w:anchor="head_59">
        <w:r>
          <w:t>3.8.2 PP는 실행정책이 아니라 조건부 표본</w:t>
        </w:r>
      </w:hyperlink>
      <w:r>
        <w:tab/>
        <w:t>34</w:t>
      </w:r>
    </w:p>
    <w:p>
      <w:pPr>
        <w:pStyle w:val="ThesisTOC"/>
        <w:tabs>
          <w:tab w:pos="7937" w:val="right" w:leader="dot"/>
        </w:tabs>
        <w:spacing w:after="80"/>
        <w:ind w:left="198"/>
      </w:pPr>
      <w:hyperlink w:anchor="head_60">
        <w:r>
          <w:t>3.9 대비, 불확실성과 반복성 분석</w:t>
        </w:r>
      </w:hyperlink>
      <w:r>
        <w:tab/>
        <w:t>35</w:t>
      </w:r>
    </w:p>
    <w:p>
      <w:pPr>
        <w:pStyle w:val="ThesisTOC"/>
        <w:tabs>
          <w:tab w:pos="7937" w:val="right" w:leader="dot"/>
        </w:tabs>
        <w:spacing w:after="80"/>
        <w:ind w:left="397"/>
      </w:pPr>
      <w:hyperlink w:anchor="head_61">
        <w:r>
          <w:t>3.9.1 네 대비와 행동예산 상호작용</w:t>
        </w:r>
      </w:hyperlink>
      <w:r>
        <w:tab/>
        <w:t>35</w:t>
      </w:r>
    </w:p>
    <w:p>
      <w:pPr>
        <w:pStyle w:val="ThesisTOC"/>
        <w:tabs>
          <w:tab w:pos="7937" w:val="right" w:leader="dot"/>
        </w:tabs>
        <w:spacing w:after="80"/>
        <w:ind w:left="397"/>
      </w:pPr>
      <w:hyperlink w:anchor="head_62">
        <w:r>
          <w:t>3.9.2 기업 단위 bootstrap과 다중비교</w:t>
        </w:r>
      </w:hyperlink>
      <w:r>
        <w:tab/>
        <w:t>35</w:t>
      </w:r>
    </w:p>
    <w:p>
      <w:pPr>
        <w:pStyle w:val="ThesisTOC"/>
        <w:tabs>
          <w:tab w:pos="7937" w:val="right" w:leader="dot"/>
        </w:tabs>
        <w:spacing w:after="80"/>
        <w:ind w:left="397"/>
      </w:pPr>
      <w:hyperlink w:anchor="head_63">
        <w:r>
          <w:t>3.9.3 네 종류의 반복성</w:t>
        </w:r>
      </w:hyperlink>
      <w:r>
        <w:tab/>
        <w:t>36</w:t>
      </w:r>
    </w:p>
    <w:p>
      <w:pPr>
        <w:pStyle w:val="ThesisTOC"/>
        <w:tabs>
          <w:tab w:pos="7937" w:val="right" w:leader="dot"/>
        </w:tabs>
        <w:spacing w:after="80"/>
        <w:ind w:left="198"/>
      </w:pPr>
      <w:hyperlink w:anchor="head_64">
        <w:r>
          <w:t>3.10 실행명세의 불일치, 비용과 재현성</w:t>
        </w:r>
      </w:hyperlink>
      <w:r>
        <w:tab/>
        <w:t>37</w:t>
      </w:r>
    </w:p>
    <w:p>
      <w:pPr>
        <w:pStyle w:val="ThesisTOC"/>
        <w:tabs>
          <w:tab w:pos="7937" w:val="right" w:leader="dot"/>
        </w:tabs>
        <w:spacing w:after="80"/>
        <w:ind w:left="397"/>
      </w:pPr>
      <w:hyperlink w:anchor="head_65">
        <w:r>
          <w:t>3.10.1 부모 응답 분기규칙의 문서 간 차이</w:t>
        </w:r>
      </w:hyperlink>
      <w:r>
        <w:tab/>
        <w:t>37</w:t>
      </w:r>
    </w:p>
    <w:p>
      <w:pPr>
        <w:pStyle w:val="ThesisTOC"/>
        <w:tabs>
          <w:tab w:pos="7937" w:val="right" w:leader="dot"/>
        </w:tabs>
        <w:spacing w:after="80"/>
        <w:ind w:left="397"/>
      </w:pPr>
      <w:hyperlink w:anchor="head_66">
        <w:r>
          <w:t>3.10.2 비용과 산출물의 추적</w:t>
        </w:r>
      </w:hyperlink>
      <w:r>
        <w:tab/>
        <w:t>37</w:t>
      </w:r>
    </w:p>
    <w:p>
      <w:pPr>
        <w:pStyle w:val="ThesisTOC"/>
        <w:tabs>
          <w:tab w:pos="7937" w:val="right" w:leader="dot"/>
        </w:tabs>
        <w:spacing w:after="80"/>
        <w:ind w:left="0"/>
      </w:pPr>
      <w:hyperlink w:anchor="head_67">
        <w:r>
          <w:t>제4장 평가기반 검증과 학습 참조정책</w:t>
        </w:r>
      </w:hyperlink>
      <w:r>
        <w:tab/>
        <w:t>38</w:t>
      </w:r>
    </w:p>
    <w:p>
      <w:pPr>
        <w:pStyle w:val="ThesisTOC"/>
        <w:tabs>
          <w:tab w:pos="7937" w:val="right" w:leader="dot"/>
        </w:tabs>
        <w:spacing w:after="80"/>
        <w:ind w:left="198"/>
      </w:pPr>
      <w:hyperlink w:anchor="head_68">
        <w:r>
          <w:t>4.1 Oracle와 실제 신용등급의 정렬성</w:t>
        </w:r>
      </w:hyperlink>
      <w:r>
        <w:tab/>
        <w:t>38</w:t>
      </w:r>
    </w:p>
    <w:p>
      <w:pPr>
        <w:pStyle w:val="ThesisTOC"/>
        <w:tabs>
          <w:tab w:pos="7937" w:val="right" w:leader="dot"/>
        </w:tabs>
        <w:spacing w:after="80"/>
        <w:ind w:left="198"/>
      </w:pPr>
      <w:hyperlink w:anchor="head_69">
        <w:r>
          <w:t>4.2 Simulator 검증의 범위와 최신 실행 점검</w:t>
        </w:r>
      </w:hyperlink>
      <w:r>
        <w:tab/>
        <w:t>39</w:t>
      </w:r>
    </w:p>
    <w:p>
      <w:pPr>
        <w:pStyle w:val="ThesisTOC"/>
        <w:tabs>
          <w:tab w:pos="7937" w:val="right" w:leader="dot"/>
        </w:tabs>
        <w:spacing w:after="80"/>
        <w:ind w:left="397"/>
      </w:pPr>
      <w:hyperlink w:anchor="head_70">
        <w:r>
          <w:t>4.2.1 회계적 일관성과 과거 상태 재현</w:t>
        </w:r>
      </w:hyperlink>
      <w:r>
        <w:tab/>
        <w:t>39</w:t>
      </w:r>
    </w:p>
    <w:p>
      <w:pPr>
        <w:pStyle w:val="ThesisTOC"/>
        <w:tabs>
          <w:tab w:pos="7937" w:val="right" w:leader="dot"/>
        </w:tabs>
        <w:spacing w:after="80"/>
        <w:ind w:left="397"/>
      </w:pPr>
      <w:hyperlink w:anchor="head_71">
        <w:r>
          <w:t>4.2.2 수준, 기업 순위와 변화방향의 분리</w:t>
        </w:r>
      </w:hyperlink>
      <w:r>
        <w:tab/>
        <w:t>39</w:t>
      </w:r>
    </w:p>
    <w:p>
      <w:pPr>
        <w:pStyle w:val="ThesisTOC"/>
        <w:tabs>
          <w:tab w:pos="7937" w:val="right" w:leader="dot"/>
        </w:tabs>
        <w:spacing w:after="80"/>
        <w:ind w:left="397"/>
      </w:pPr>
      <w:hyperlink w:anchor="head_72">
        <w:r>
          <w:t>4.2.3 V4.3 의미론 fixture와 증거의 경계</w:t>
        </w:r>
      </w:hyperlink>
      <w:r>
        <w:tab/>
        <w:t>40</w:t>
      </w:r>
    </w:p>
    <w:p>
      <w:pPr>
        <w:pStyle w:val="ThesisTOC"/>
        <w:tabs>
          <w:tab w:pos="7937" w:val="right" w:leader="dot"/>
        </w:tabs>
        <w:spacing w:after="80"/>
        <w:ind w:left="198"/>
      </w:pPr>
      <w:hyperlink w:anchor="head_73">
        <w:r>
          <w:t>4.3 최신 아홉 행동에서 Oracle의 구별력</w:t>
        </w:r>
      </w:hyperlink>
      <w:r>
        <w:tab/>
        <w:t>41</w:t>
      </w:r>
    </w:p>
    <w:p>
      <w:pPr>
        <w:pStyle w:val="ThesisTOC"/>
        <w:tabs>
          <w:tab w:pos="7937" w:val="right" w:leader="dot"/>
        </w:tabs>
        <w:spacing w:after="80"/>
        <w:ind w:left="198"/>
      </w:pPr>
      <w:hyperlink w:anchor="head_74">
        <w:r>
          <w:t>4.4 최종 비교정책의 공통 평가표면</w:t>
        </w:r>
      </w:hyperlink>
      <w:r>
        <w:tab/>
        <w:t>42</w:t>
      </w:r>
    </w:p>
    <w:p>
      <w:pPr>
        <w:pStyle w:val="ThesisTOC"/>
        <w:tabs>
          <w:tab w:pos="7937" w:val="right" w:leader="dot"/>
        </w:tabs>
        <w:spacing w:after="80"/>
        <w:ind w:left="198"/>
      </w:pPr>
      <w:hyperlink w:anchor="head_75">
        <w:r>
          <w:t>4.5 C3-E의 행동분포와 seed 구성</w:t>
        </w:r>
      </w:hyperlink>
      <w:r>
        <w:tab/>
        <w:t>45</w:t>
      </w:r>
    </w:p>
    <w:p>
      <w:pPr>
        <w:pStyle w:val="ThesisTOC"/>
        <w:tabs>
          <w:tab w:pos="7937" w:val="right" w:leader="dot"/>
        </w:tabs>
        <w:spacing w:after="80"/>
        <w:ind w:left="397"/>
      </w:pPr>
      <w:hyperlink w:anchor="head_76">
        <w:r>
          <w:t>4.5.1 평균가치, 행동다양성과 손실 사례</w:t>
        </w:r>
      </w:hyperlink>
      <w:r>
        <w:tab/>
        <w:t>45</w:t>
      </w:r>
    </w:p>
    <w:p>
      <w:pPr>
        <w:pStyle w:val="ThesisTOC"/>
        <w:tabs>
          <w:tab w:pos="7937" w:val="right" w:leader="dot"/>
        </w:tabs>
        <w:spacing w:after="80"/>
        <w:ind w:left="397"/>
      </w:pPr>
      <w:hyperlink w:anchor="head_77">
        <w:r>
          <w:t>4.5.2 matched seed 확장과 민감도</w:t>
        </w:r>
      </w:hyperlink>
      <w:r>
        <w:tab/>
        <w:t>46</w:t>
      </w:r>
    </w:p>
    <w:p>
      <w:pPr>
        <w:pStyle w:val="ThesisTOC"/>
        <w:tabs>
          <w:tab w:pos="7937" w:val="right" w:leader="dot"/>
        </w:tabs>
        <w:spacing w:after="80"/>
        <w:ind w:left="198"/>
      </w:pPr>
      <w:hyperlink w:anchor="head_78">
        <w:r>
          <w:t>4.6 학습 참조정책의 사용범위</w:t>
        </w:r>
      </w:hyperlink>
      <w:r>
        <w:tab/>
        <w:t>47</w:t>
      </w:r>
    </w:p>
    <w:p>
      <w:pPr>
        <w:pStyle w:val="ThesisTOC"/>
        <w:tabs>
          <w:tab w:pos="7937" w:val="right" w:leader="dot"/>
        </w:tabs>
        <w:spacing w:after="80"/>
        <w:ind w:left="198"/>
      </w:pPr>
      <w:hyperlink w:anchor="head_79">
        <w:r>
          <w:t>4.7 소결</w:t>
        </w:r>
      </w:hyperlink>
      <w:r>
        <w:tab/>
        <w:t>47</w:t>
      </w:r>
    </w:p>
    <w:p>
      <w:pPr>
        <w:pStyle w:val="ThesisTOC"/>
        <w:tabs>
          <w:tab w:pos="7937" w:val="right" w:leader="dot"/>
        </w:tabs>
        <w:spacing w:after="80"/>
        <w:ind w:left="0"/>
      </w:pPr>
      <w:hyperlink w:anchor="head_80">
        <w:r>
          <w:t>제5장 Baseline 본실험 결과</w:t>
        </w:r>
      </w:hyperlink>
      <w:r>
        <w:tab/>
        <w:t>48</w:t>
      </w:r>
    </w:p>
    <w:p>
      <w:pPr>
        <w:pStyle w:val="ThesisTOC"/>
        <w:tabs>
          <w:tab w:pos="7937" w:val="right" w:leader="dot"/>
        </w:tabs>
        <w:spacing w:after="80"/>
        <w:ind w:left="198"/>
      </w:pPr>
      <w:hyperlink w:anchor="head_81">
        <w:r>
          <w:t>5.1 응답 완결성과 사용 가능성</w:t>
        </w:r>
      </w:hyperlink>
      <w:r>
        <w:tab/>
        <w:t>48</w:t>
      </w:r>
    </w:p>
    <w:p>
      <w:pPr>
        <w:pStyle w:val="ThesisTOC"/>
        <w:tabs>
          <w:tab w:pos="7937" w:val="right" w:leader="dot"/>
        </w:tabs>
        <w:spacing w:after="80"/>
        <w:ind w:left="397"/>
      </w:pPr>
      <w:hyperlink w:anchor="head_82">
        <w:r>
          <w:t>5.1.1 요청 단위와 평가 단위의 구분</w:t>
        </w:r>
      </w:hyperlink>
      <w:r>
        <w:tab/>
        <w:t>48</w:t>
      </w:r>
    </w:p>
    <w:p>
      <w:pPr>
        <w:pStyle w:val="ThesisTOC"/>
        <w:tabs>
          <w:tab w:pos="7937" w:val="right" w:leader="dot"/>
        </w:tabs>
        <w:spacing w:after="80"/>
        <w:ind w:left="397"/>
      </w:pPr>
      <w:hyperlink w:anchor="head_83">
        <w:r>
          <w:t>5.1.2 행동 수용률과 전체 응답 형식</w:t>
        </w:r>
      </w:hyperlink>
      <w:r>
        <w:tab/>
        <w:t>48</w:t>
      </w:r>
    </w:p>
    <w:p>
      <w:pPr>
        <w:pStyle w:val="ThesisTOC"/>
        <w:tabs>
          <w:tab w:pos="7937" w:val="right" w:leader="dot"/>
        </w:tabs>
        <w:spacing w:after="80"/>
        <w:ind w:left="198"/>
      </w:pPr>
      <w:hyperlink w:anchor="head_84">
        <w:r>
          <w:t>5.2 Baseline Run1의 정책가치</w:t>
        </w:r>
      </w:hyperlink>
      <w:r>
        <w:tab/>
        <w:t>50</w:t>
      </w:r>
    </w:p>
    <w:p>
      <w:pPr>
        <w:pStyle w:val="ThesisTOC"/>
        <w:tabs>
          <w:tab w:pos="7937" w:val="right" w:leader="dot"/>
        </w:tabs>
        <w:spacing w:after="80"/>
        <w:ind w:left="397"/>
      </w:pPr>
      <w:hyperlink w:anchor="head_85">
        <w:r>
          <w:t>5.2.1 전체 할당 기업의 A0 대비 가치</w:t>
        </w:r>
      </w:hyperlink>
      <w:r>
        <w:tab/>
        <w:t>50</w:t>
      </w:r>
    </w:p>
    <w:p>
      <w:pPr>
        <w:pStyle w:val="ThesisTOC"/>
        <w:tabs>
          <w:tab w:pos="7937" w:val="right" w:leader="dot"/>
        </w:tabs>
        <w:spacing w:after="80"/>
        <w:ind w:left="397"/>
      </w:pPr>
      <w:hyperlink w:anchor="head_86">
        <w:r>
          <w:t>5.2.2 학습 참조와 비교할 때의 주의점</w:t>
        </w:r>
      </w:hyperlink>
      <w:r>
        <w:tab/>
        <w:t>52</w:t>
      </w:r>
    </w:p>
    <w:p>
      <w:pPr>
        <w:pStyle w:val="ThesisTOC"/>
        <w:tabs>
          <w:tab w:pos="7937" w:val="right" w:leader="dot"/>
        </w:tabs>
        <w:spacing w:after="80"/>
        <w:ind w:left="198"/>
      </w:pPr>
      <w:hyperlink w:anchor="head_87">
        <w:r>
          <w:t>5.3 자기 재검토, 진단 지시와 참조의 효과</w:t>
        </w:r>
      </w:hyperlink>
      <w:r>
        <w:tab/>
        <w:t>52</w:t>
      </w:r>
    </w:p>
    <w:p>
      <w:pPr>
        <w:pStyle w:val="ThesisTOC"/>
        <w:tabs>
          <w:tab w:pos="7937" w:val="right" w:leader="dot"/>
        </w:tabs>
        <w:spacing w:after="80"/>
        <w:ind w:left="397"/>
      </w:pPr>
      <w:hyperlink w:anchor="head_88">
        <w:r>
          <w:t>5.3.1 C4R−C4: 다시 검토하는 조건의 가치</w:t>
        </w:r>
      </w:hyperlink>
      <w:r>
        <w:tab/>
        <w:t>53</w:t>
      </w:r>
    </w:p>
    <w:p>
      <w:pPr>
        <w:pStyle w:val="ThesisTOC"/>
        <w:tabs>
          <w:tab w:pos="7937" w:val="right" w:leader="dot"/>
        </w:tabs>
        <w:spacing w:after="80"/>
        <w:ind w:left="397"/>
      </w:pPr>
      <w:hyperlink w:anchor="head_89">
        <w:r>
          <w:t>5.3.2 C5−C4: 프롬프트 진단 유도</w:t>
        </w:r>
      </w:hyperlink>
      <w:r>
        <w:tab/>
        <w:t>53</w:t>
      </w:r>
    </w:p>
    <w:p>
      <w:pPr>
        <w:pStyle w:val="ThesisTOC"/>
        <w:tabs>
          <w:tab w:pos="7937" w:val="right" w:leader="dot"/>
        </w:tabs>
        <w:spacing w:after="80"/>
        <w:ind w:left="397"/>
      </w:pPr>
      <w:hyperlink w:anchor="head_90">
        <w:r>
          <w:t>5.3.3 C6-E−C4R: 학습참조의 추가 가치</w:t>
        </w:r>
      </w:hyperlink>
      <w:r>
        <w:tab/>
        <w:t>54</w:t>
      </w:r>
    </w:p>
    <w:p>
      <w:pPr>
        <w:pStyle w:val="ThesisTOC"/>
        <w:tabs>
          <w:tab w:pos="7937" w:val="right" w:leader="dot"/>
        </w:tabs>
        <w:spacing w:after="80"/>
        <w:ind w:left="397"/>
      </w:pPr>
      <w:hyperlink w:anchor="head_91">
        <w:r>
          <w:t>5.3.4 C6-E−C6-EX: 기업과 참조의 연결</w:t>
        </w:r>
      </w:hyperlink>
      <w:r>
        <w:tab/>
        <w:t>55</w:t>
      </w:r>
    </w:p>
    <w:p>
      <w:pPr>
        <w:pStyle w:val="ThesisTOC"/>
        <w:tabs>
          <w:tab w:pos="7937" w:val="right" w:leader="dot"/>
        </w:tabs>
        <w:spacing w:after="80"/>
        <w:ind w:left="198"/>
      </w:pPr>
      <w:hyperlink w:anchor="head_92">
        <w:r>
          <w:t>5.4 행동예산과 수정효과의 상호작용</w:t>
        </w:r>
      </w:hyperlink>
      <w:r>
        <w:tab/>
        <w:t>55</w:t>
      </w:r>
    </w:p>
    <w:p>
      <w:pPr>
        <w:pStyle w:val="ThesisTOC"/>
        <w:tabs>
          <w:tab w:pos="7937" w:val="right" w:leader="dot"/>
        </w:tabs>
        <w:spacing w:after="80"/>
        <w:ind w:left="198"/>
      </w:pPr>
      <w:hyperlink w:anchor="head_93">
        <w:r>
          <w:t>5.5 후보선택과 자유작성</w:t>
        </w:r>
      </w:hyperlink>
      <w:r>
        <w:tab/>
        <w:t>56</w:t>
      </w:r>
    </w:p>
    <w:p>
      <w:pPr>
        <w:pStyle w:val="ThesisTOC"/>
        <w:tabs>
          <w:tab w:pos="7937" w:val="right" w:leader="dot"/>
        </w:tabs>
        <w:spacing w:after="80"/>
        <w:ind w:left="198"/>
      </w:pPr>
      <w:hyperlink w:anchor="head_94">
        <w:r>
          <w:t>5.6 정보조건: 업종코드와 기업명</w:t>
        </w:r>
      </w:hyperlink>
      <w:r>
        <w:tab/>
        <w:t>57</w:t>
      </w:r>
    </w:p>
    <w:p>
      <w:pPr>
        <w:pStyle w:val="ThesisTOC"/>
        <w:tabs>
          <w:tab w:pos="7937" w:val="right" w:leader="dot"/>
        </w:tabs>
        <w:spacing w:after="80"/>
        <w:ind w:left="198"/>
      </w:pPr>
      <w:hyperlink w:anchor="head_95">
        <w:r>
          <w:t>5.7 Baseline 반복성과 본실험의 소결</w:t>
        </w:r>
      </w:hyperlink>
      <w:r>
        <w:tab/>
        <w:t>57</w:t>
      </w:r>
    </w:p>
    <w:p>
      <w:pPr>
        <w:pStyle w:val="ThesisTOC"/>
        <w:tabs>
          <w:tab w:pos="7937" w:val="right" w:leader="dot"/>
        </w:tabs>
        <w:spacing w:after="80"/>
        <w:ind w:left="0"/>
      </w:pPr>
      <w:hyperlink w:anchor="head_96">
        <w:r>
          <w:t>제6장 추론 설정과 실행규칙에 대한 추가 분석</w:t>
        </w:r>
      </w:hyperlink>
      <w:r>
        <w:tab/>
        <w:t>59</w:t>
      </w:r>
    </w:p>
    <w:p>
      <w:pPr>
        <w:pStyle w:val="ThesisTOC"/>
        <w:tabs>
          <w:tab w:pos="7937" w:val="right" w:leader="dot"/>
        </w:tabs>
        <w:spacing w:after="80"/>
        <w:ind w:left="198"/>
      </w:pPr>
      <w:hyperlink w:anchor="head_97">
        <w:r>
          <w:t>6.1 추가 분석의 지위와 두 축</w:t>
        </w:r>
      </w:hyperlink>
      <w:r>
        <w:tab/>
        <w:t>59</w:t>
      </w:r>
    </w:p>
    <w:p>
      <w:pPr>
        <w:pStyle w:val="ThesisTOC"/>
        <w:tabs>
          <w:tab w:pos="7937" w:val="right" w:leader="dot"/>
        </w:tabs>
        <w:spacing w:after="80"/>
        <w:ind w:left="198"/>
      </w:pPr>
      <w:hyperlink w:anchor="head_98">
        <w:r>
          <w:t>6.2 High에서의 계약준수와 행동강도</w:t>
        </w:r>
      </w:hyperlink>
      <w:r>
        <w:tab/>
        <w:t>60</w:t>
      </w:r>
    </w:p>
    <w:p>
      <w:pPr>
        <w:pStyle w:val="ThesisTOC"/>
        <w:tabs>
          <w:tab w:pos="7937" w:val="right" w:leader="dot"/>
        </w:tabs>
        <w:spacing w:after="80"/>
        <w:ind w:left="397"/>
      </w:pPr>
      <w:hyperlink w:anchor="head_99">
        <w:r>
          <w:t>6.2.1 B1 자유작성 수용률</w:t>
        </w:r>
      </w:hyperlink>
      <w:r>
        <w:tab/>
        <w:t>60</w:t>
      </w:r>
    </w:p>
    <w:p>
      <w:pPr>
        <w:pStyle w:val="ThesisTOC"/>
        <w:tabs>
          <w:tab w:pos="7937" w:val="right" w:leader="dot"/>
        </w:tabs>
        <w:spacing w:after="80"/>
        <w:ind w:left="397"/>
      </w:pPr>
      <w:hyperlink w:anchor="head_100">
        <w:r>
          <w:t>6.2.2 실제 사용 강도와 행동의 폭</w:t>
        </w:r>
      </w:hyperlink>
      <w:r>
        <w:tab/>
        <w:t>62</w:t>
      </w:r>
    </w:p>
    <w:p>
      <w:pPr>
        <w:pStyle w:val="ThesisTOC"/>
        <w:tabs>
          <w:tab w:pos="7937" w:val="right" w:leader="dot"/>
        </w:tabs>
        <w:spacing w:after="80"/>
        <w:ind w:left="198"/>
      </w:pPr>
      <w:hyperlink w:anchor="head_101">
        <w:r>
          <w:t>6.3 결정론적 Repair의 복구범위와 정책가치</w:t>
        </w:r>
      </w:hyperlink>
      <w:r>
        <w:tab/>
        <w:t>63</w:t>
      </w:r>
    </w:p>
    <w:p>
      <w:pPr>
        <w:pStyle w:val="ThesisTOC"/>
        <w:tabs>
          <w:tab w:pos="7937" w:val="right" w:leader="dot"/>
        </w:tabs>
        <w:spacing w:after="80"/>
        <w:ind w:left="397"/>
      </w:pPr>
      <w:hyperlink w:anchor="head_102">
        <w:r>
          <w:t>6.3.1 원응답 보존과 정상행동 불변성</w:t>
        </w:r>
      </w:hyperlink>
      <w:r>
        <w:tab/>
        <w:t>63</w:t>
      </w:r>
    </w:p>
    <w:p>
      <w:pPr>
        <w:pStyle w:val="ThesisTOC"/>
        <w:tabs>
          <w:tab w:pos="7937" w:val="right" w:leader="dot"/>
        </w:tabs>
        <w:spacing w:after="80"/>
        <w:ind w:left="397"/>
      </w:pPr>
      <w:hyperlink w:anchor="head_103">
        <w:r>
          <w:t>6.3.2 네 실행조합의 정책가치</w:t>
        </w:r>
      </w:hyperlink>
      <w:r>
        <w:tab/>
        <w:t>63</w:t>
      </w:r>
    </w:p>
    <w:p>
      <w:pPr>
        <w:pStyle w:val="ThesisTOC"/>
        <w:tabs>
          <w:tab w:pos="7937" w:val="right" w:leader="dot"/>
        </w:tabs>
        <w:spacing w:after="80"/>
        <w:ind w:left="198"/>
      </w:pPr>
      <w:hyperlink w:anchor="head_104">
        <w:r>
          <w:t>6.4 High의 수정효과와 Baseline 대비 변화</w:t>
        </w:r>
      </w:hyperlink>
      <w:r>
        <w:tab/>
        <w:t>68</w:t>
      </w:r>
    </w:p>
    <w:p>
      <w:pPr>
        <w:pStyle w:val="ThesisTOC"/>
        <w:tabs>
          <w:tab w:pos="7937" w:val="right" w:leader="dot"/>
        </w:tabs>
        <w:spacing w:after="80"/>
        <w:ind w:left="397"/>
      </w:pPr>
      <w:hyperlink w:anchor="head_105">
        <w:r>
          <w:t>6.4.1 High regime 안의 네 중심 대비</w:t>
        </w:r>
      </w:hyperlink>
      <w:r>
        <w:tab/>
        <w:t>68</w:t>
      </w:r>
    </w:p>
    <w:p>
      <w:pPr>
        <w:pStyle w:val="ThesisTOC"/>
        <w:tabs>
          <w:tab w:pos="7937" w:val="right" w:leader="dot"/>
        </w:tabs>
        <w:spacing w:after="80"/>
        <w:ind w:left="397"/>
      </w:pPr>
      <w:hyperlink w:anchor="head_106">
        <w:r>
          <w:t>6.4.2 효과의 크기가 정말 달라졌는가</w:t>
        </w:r>
      </w:hyperlink>
      <w:r>
        <w:tab/>
        <w:t>69</w:t>
      </w:r>
    </w:p>
    <w:p>
      <w:pPr>
        <w:pStyle w:val="ThesisTOC"/>
        <w:tabs>
          <w:tab w:pos="7937" w:val="right" w:leader="dot"/>
        </w:tabs>
        <w:spacing w:after="80"/>
        <w:ind w:left="198"/>
      </w:pPr>
      <w:hyperlink w:anchor="head_107">
        <w:r>
          <w:t>6.5 행동예산, 행동공간과 평가모형</w:t>
        </w:r>
      </w:hyperlink>
      <w:r>
        <w:tab/>
        <w:t>70</w:t>
      </w:r>
    </w:p>
    <w:p>
      <w:pPr>
        <w:pStyle w:val="ThesisTOC"/>
        <w:tabs>
          <w:tab w:pos="7937" w:val="right" w:leader="dot"/>
        </w:tabs>
        <w:spacing w:after="80"/>
        <w:ind w:left="397"/>
      </w:pPr>
      <w:hyperlink w:anchor="head_108">
        <w:r>
          <w:t>6.5.1 BINF에서의 비단조성</w:t>
        </w:r>
      </w:hyperlink>
      <w:r>
        <w:tab/>
        <w:t>70</w:t>
      </w:r>
    </w:p>
    <w:p>
      <w:pPr>
        <w:pStyle w:val="ThesisTOC"/>
        <w:tabs>
          <w:tab w:pos="7937" w:val="right" w:leader="dot"/>
        </w:tabs>
        <w:spacing w:after="80"/>
        <w:ind w:left="397"/>
      </w:pPr>
      <w:hyperlink w:anchor="head_109">
        <w:r>
          <w:t>6.5.2 후보선택과 자유작성 격차의 변화</w:t>
        </w:r>
      </w:hyperlink>
      <w:r>
        <w:tab/>
        <w:t>71</w:t>
      </w:r>
    </w:p>
    <w:p>
      <w:pPr>
        <w:pStyle w:val="ThesisTOC"/>
        <w:tabs>
          <w:tab w:pos="7937" w:val="right" w:leader="dot"/>
        </w:tabs>
        <w:spacing w:after="80"/>
        <w:ind w:left="397"/>
      </w:pPr>
      <w:hyperlink w:anchor="head_110">
        <w:r>
          <w:t>6.5.3 다른 Oracle에서의 참조 대비</w:t>
        </w:r>
      </w:hyperlink>
      <w:r>
        <w:tab/>
        <w:t>72</w:t>
      </w:r>
    </w:p>
    <w:p>
      <w:pPr>
        <w:pStyle w:val="ThesisTOC"/>
        <w:tabs>
          <w:tab w:pos="7937" w:val="right" w:leader="dot"/>
        </w:tabs>
        <w:spacing w:after="80"/>
        <w:ind w:left="198"/>
      </w:pPr>
      <w:hyperlink w:anchor="head_111">
        <w:r>
          <w:t>6.6 PP와 부모 응답 게이트의 민감도</w:t>
        </w:r>
      </w:hyperlink>
      <w:r>
        <w:tab/>
        <w:t>73</w:t>
      </w:r>
    </w:p>
    <w:p>
      <w:pPr>
        <w:pStyle w:val="ThesisTOC"/>
        <w:tabs>
          <w:tab w:pos="7937" w:val="right" w:leader="dot"/>
        </w:tabs>
        <w:spacing w:after="80"/>
        <w:ind w:left="397"/>
      </w:pPr>
      <w:hyperlink w:anchor="head_112">
        <w:r>
          <w:t>6.6.1 Strict 수용 교집합에서의 비교</w:t>
        </w:r>
      </w:hyperlink>
      <w:r>
        <w:tab/>
        <w:t>73</w:t>
      </w:r>
    </w:p>
    <w:p>
      <w:pPr>
        <w:pStyle w:val="ThesisTOC"/>
        <w:tabs>
          <w:tab w:pos="7937" w:val="right" w:leader="dot"/>
        </w:tabs>
        <w:spacing w:after="80"/>
        <w:ind w:left="397"/>
      </w:pPr>
      <w:hyperlink w:anchor="head_113">
        <w:r>
          <w:t>6.6.2 계획서와 pre-live 분기명세의 차이</w:t>
        </w:r>
      </w:hyperlink>
      <w:r>
        <w:tab/>
        <w:t>73</w:t>
      </w:r>
    </w:p>
    <w:p>
      <w:pPr>
        <w:pStyle w:val="ThesisTOC"/>
        <w:tabs>
          <w:tab w:pos="7937" w:val="right" w:leader="dot"/>
        </w:tabs>
        <w:spacing w:after="80"/>
        <w:ind w:left="198"/>
      </w:pPr>
      <w:hyperlink w:anchor="head_114">
        <w:r>
          <w:t>6.7 평균, 기업별 효과와 행동의 반복성</w:t>
        </w:r>
      </w:hyperlink>
      <w:r>
        <w:tab/>
        <w:t>75</w:t>
      </w:r>
    </w:p>
    <w:p>
      <w:pPr>
        <w:pStyle w:val="ThesisTOC"/>
        <w:tabs>
          <w:tab w:pos="7937" w:val="right" w:leader="dot"/>
        </w:tabs>
        <w:spacing w:after="80"/>
        <w:ind w:left="397"/>
      </w:pPr>
      <w:hyperlink w:anchor="head_115">
        <w:r>
          <w:t>6.7.1 절대점수와 증분가치의 구분</w:t>
        </w:r>
      </w:hyperlink>
      <w:r>
        <w:tab/>
        <w:t>75</w:t>
      </w:r>
    </w:p>
    <w:p>
      <w:pPr>
        <w:pStyle w:val="ThesisTOC"/>
        <w:tabs>
          <w:tab w:pos="7937" w:val="right" w:leader="dot"/>
        </w:tabs>
        <w:spacing w:after="80"/>
        <w:ind w:left="397"/>
      </w:pPr>
      <w:hyperlink w:anchor="head_116">
        <w:r>
          <w:t>6.7.2 실제 행동벡터의 반복성</w:t>
        </w:r>
      </w:hyperlink>
      <w:r>
        <w:tab/>
        <w:t>76</w:t>
      </w:r>
    </w:p>
    <w:p>
      <w:pPr>
        <w:pStyle w:val="ThesisTOC"/>
        <w:tabs>
          <w:tab w:pos="7937" w:val="right" w:leader="dot"/>
        </w:tabs>
        <w:spacing w:after="80"/>
        <w:ind w:left="198"/>
      </w:pPr>
      <w:hyperlink w:anchor="head_117">
        <w:r>
          <w:t>6.8 API 비용과 운영적 비용효율</w:t>
        </w:r>
      </w:hyperlink>
      <w:r>
        <w:tab/>
        <w:t>77</w:t>
      </w:r>
    </w:p>
    <w:p>
      <w:pPr>
        <w:pStyle w:val="ThesisTOC"/>
        <w:tabs>
          <w:tab w:pos="7937" w:val="right" w:leader="dot"/>
        </w:tabs>
        <w:spacing w:after="80"/>
        <w:ind w:left="397"/>
      </w:pPr>
      <w:hyperlink w:anchor="head_118">
        <w:r>
          <w:t>6.8.1 대시보드 귀속가정</w:t>
        </w:r>
      </w:hyperlink>
      <w:r>
        <w:tab/>
        <w:t>77</w:t>
      </w:r>
    </w:p>
    <w:p>
      <w:pPr>
        <w:pStyle w:val="ThesisTOC"/>
        <w:tabs>
          <w:tab w:pos="7937" w:val="right" w:leader="dot"/>
        </w:tabs>
        <w:spacing w:after="80"/>
        <w:ind w:left="397"/>
      </w:pPr>
      <w:hyperlink w:anchor="head_119">
        <w:r>
          <w:t>6.8.2 요청 한 건과 최종 권고 하나의 비용</w:t>
        </w:r>
      </w:hyperlink>
      <w:r>
        <w:tab/>
        <w:t>78</w:t>
      </w:r>
    </w:p>
    <w:p>
      <w:pPr>
        <w:pStyle w:val="ThesisTOC"/>
        <w:tabs>
          <w:tab w:pos="7937" w:val="right" w:leader="dot"/>
        </w:tabs>
        <w:spacing w:after="80"/>
        <w:ind w:left="397"/>
      </w:pPr>
      <w:hyperlink w:anchor="head_120">
        <w:r>
          <w:t>6.8.3 토큰당 비용을 해석하는 한계</w:t>
        </w:r>
      </w:hyperlink>
      <w:r>
        <w:tab/>
        <w:t>79</w:t>
      </w:r>
    </w:p>
    <w:p>
      <w:pPr>
        <w:pStyle w:val="ThesisTOC"/>
        <w:tabs>
          <w:tab w:pos="7937" w:val="right" w:leader="dot"/>
        </w:tabs>
        <w:spacing w:after="80"/>
        <w:ind w:left="198"/>
      </w:pPr>
      <w:hyperlink w:anchor="head_121">
        <w:r>
          <w:t>6.9 소결</w:t>
        </w:r>
      </w:hyperlink>
      <w:r>
        <w:tab/>
        <w:t>79</w:t>
      </w:r>
    </w:p>
    <w:p>
      <w:pPr>
        <w:pStyle w:val="ThesisTOC"/>
        <w:tabs>
          <w:tab w:pos="7937" w:val="right" w:leader="dot"/>
        </w:tabs>
        <w:spacing w:after="80"/>
        <w:ind w:left="0"/>
      </w:pPr>
      <w:hyperlink w:anchor="head_122">
        <w:r>
          <w:t>제7장 종합 논의와 결론</w:t>
        </w:r>
      </w:hyperlink>
      <w:r>
        <w:tab/>
        <w:t>80</w:t>
      </w:r>
    </w:p>
    <w:p>
      <w:pPr>
        <w:pStyle w:val="ThesisTOC"/>
        <w:tabs>
          <w:tab w:pos="7937" w:val="right" w:leader="dot"/>
        </w:tabs>
        <w:spacing w:after="80"/>
        <w:ind w:left="198"/>
      </w:pPr>
      <w:hyperlink w:anchor="head_123">
        <w:r>
          <w:t>7.1 연구결과의 요약</w:t>
        </w:r>
      </w:hyperlink>
      <w:r>
        <w:tab/>
        <w:t>80</w:t>
      </w:r>
    </w:p>
    <w:p>
      <w:pPr>
        <w:pStyle w:val="ThesisTOC"/>
        <w:tabs>
          <w:tab w:pos="7937" w:val="right" w:leader="dot"/>
        </w:tabs>
        <w:spacing w:after="80"/>
        <w:ind w:left="198"/>
      </w:pPr>
      <w:hyperlink w:anchor="head_124">
        <w:r>
          <w:t>7.2 연구질문과 가설의 회수</w:t>
        </w:r>
      </w:hyperlink>
      <w:r>
        <w:tab/>
        <w:t>81</w:t>
      </w:r>
    </w:p>
    <w:p>
      <w:pPr>
        <w:pStyle w:val="ThesisTOC"/>
        <w:tabs>
          <w:tab w:pos="7937" w:val="right" w:leader="dot"/>
        </w:tabs>
        <w:spacing w:after="80"/>
        <w:ind w:left="198"/>
      </w:pPr>
      <w:hyperlink w:anchor="head_125">
        <w:r>
          <w:t>7.3 학술적 기여</w:t>
        </w:r>
      </w:hyperlink>
      <w:r>
        <w:tab/>
        <w:t>82</w:t>
      </w:r>
    </w:p>
    <w:p>
      <w:pPr>
        <w:pStyle w:val="ThesisTOC"/>
        <w:tabs>
          <w:tab w:pos="7937" w:val="right" w:leader="dot"/>
        </w:tabs>
        <w:spacing w:after="80"/>
        <w:ind w:left="198"/>
      </w:pPr>
      <w:hyperlink w:anchor="head_126">
        <w:r>
          <w:t>7.4 결과의 이론적 해석</w:t>
        </w:r>
      </w:hyperlink>
      <w:r>
        <w:tab/>
        <w:t>83</w:t>
      </w:r>
    </w:p>
    <w:p>
      <w:pPr>
        <w:pStyle w:val="ThesisTOC"/>
        <w:tabs>
          <w:tab w:pos="7937" w:val="right" w:leader="dot"/>
        </w:tabs>
        <w:spacing w:after="80"/>
        <w:ind w:left="397"/>
      </w:pPr>
      <w:hyperlink w:anchor="head_127">
        <w:r>
          <w:t>7.4.1 추론과 재검토는 같은 개입이 아니다</w:t>
        </w:r>
      </w:hyperlink>
      <w:r>
        <w:tab/>
        <w:t>83</w:t>
      </w:r>
    </w:p>
    <w:p>
      <w:pPr>
        <w:pStyle w:val="ThesisTOC"/>
        <w:tabs>
          <w:tab w:pos="7937" w:val="right" w:leader="dot"/>
        </w:tabs>
        <w:spacing w:after="80"/>
        <w:ind w:left="397"/>
      </w:pPr>
      <w:hyperlink w:anchor="head_128">
        <w:r>
          <w:t>7.4.2 참조의 평균품질과 참조를 쓰는 가치</w:t>
        </w:r>
      </w:hyperlink>
      <w:r>
        <w:tab/>
        <w:t>83</w:t>
      </w:r>
    </w:p>
    <w:p>
      <w:pPr>
        <w:pStyle w:val="ThesisTOC"/>
        <w:tabs>
          <w:tab w:pos="7937" w:val="right" w:leader="dot"/>
        </w:tabs>
        <w:spacing w:after="80"/>
        <w:ind w:left="397"/>
      </w:pPr>
      <w:hyperlink w:anchor="head_129">
        <w:r>
          <w:t>7.4.3 실패 처리도 정책의 일부이다</w:t>
        </w:r>
      </w:hyperlink>
      <w:r>
        <w:tab/>
        <w:t>84</w:t>
      </w:r>
    </w:p>
    <w:p>
      <w:pPr>
        <w:pStyle w:val="ThesisTOC"/>
        <w:tabs>
          <w:tab w:pos="7937" w:val="right" w:leader="dot"/>
        </w:tabs>
        <w:spacing w:after="80"/>
        <w:ind w:left="198"/>
      </w:pPr>
      <w:hyperlink w:anchor="head_130">
        <w:r>
          <w:t>7.5 실무적·감독적 시사점</w:t>
        </w:r>
      </w:hyperlink>
      <w:r>
        <w:tab/>
        <w:t>84</w:t>
      </w:r>
    </w:p>
    <w:p>
      <w:pPr>
        <w:pStyle w:val="ThesisTOC"/>
        <w:tabs>
          <w:tab w:pos="7937" w:val="right" w:leader="dot"/>
        </w:tabs>
        <w:spacing w:after="80"/>
        <w:ind w:left="397"/>
      </w:pPr>
      <w:hyperlink w:anchor="head_131">
        <w:r>
          <w:t>7.5.1 검토·변경관리의 단위</w:t>
        </w:r>
      </w:hyperlink>
      <w:r>
        <w:tab/>
        <w:t>84</w:t>
      </w:r>
    </w:p>
    <w:p>
      <w:pPr>
        <w:pStyle w:val="ThesisTOC"/>
        <w:tabs>
          <w:tab w:pos="7937" w:val="right" w:leader="dot"/>
        </w:tabs>
        <w:spacing w:after="80"/>
        <w:ind w:left="397"/>
      </w:pPr>
      <w:hyperlink w:anchor="head_132">
        <w:r>
          <w:t>7.5.2 집단 정책평가와 개별 기업 검토</w:t>
        </w:r>
      </w:hyperlink>
      <w:r>
        <w:tab/>
        <w:t>85</w:t>
      </w:r>
    </w:p>
    <w:p>
      <w:pPr>
        <w:pStyle w:val="ThesisTOC"/>
        <w:tabs>
          <w:tab w:pos="7937" w:val="right" w:leader="dot"/>
        </w:tabs>
        <w:spacing w:after="80"/>
        <w:ind w:left="198"/>
      </w:pPr>
      <w:hyperlink w:anchor="head_133">
        <w:r>
          <w:t>7.6 연구의 한계</w:t>
        </w:r>
      </w:hyperlink>
      <w:r>
        <w:tab/>
        <w:t>86</w:t>
      </w:r>
    </w:p>
    <w:p>
      <w:pPr>
        <w:pStyle w:val="ThesisTOC"/>
        <w:tabs>
          <w:tab w:pos="7937" w:val="right" w:leader="dot"/>
        </w:tabs>
        <w:spacing w:after="80"/>
        <w:ind w:left="198"/>
      </w:pPr>
      <w:hyperlink w:anchor="head_134">
        <w:r>
          <w:t>7.7 향후 연구</w:t>
        </w:r>
      </w:hyperlink>
      <w:r>
        <w:tab/>
        <w:t>87</w:t>
      </w:r>
    </w:p>
    <w:p>
      <w:pPr>
        <w:pStyle w:val="ThesisTOC"/>
        <w:tabs>
          <w:tab w:pos="7937" w:val="right" w:leader="dot"/>
        </w:tabs>
        <w:spacing w:after="80"/>
        <w:ind w:left="198"/>
      </w:pPr>
      <w:hyperlink w:anchor="head_135">
        <w:r>
          <w:t>7.8 결론</w:t>
        </w:r>
      </w:hyperlink>
      <w:r>
        <w:tab/>
        <w:t>87</w:t>
      </w:r>
    </w:p>
    <w:p>
      <w:pPr>
        <w:pStyle w:val="ThesisTOC"/>
        <w:tabs>
          <w:tab w:pos="7937" w:val="right" w:leader="dot"/>
        </w:tabs>
        <w:spacing w:after="80"/>
        <w:ind w:left="0"/>
      </w:pPr>
      <w:hyperlink w:anchor="head_136">
        <w:r>
          <w:t>참고문헌</w:t>
        </w:r>
      </w:hyperlink>
      <w:r>
        <w:tab/>
        <w:t>88</w:t>
      </w:r>
    </w:p>
    <w:p>
      <w:pPr>
        <w:pStyle w:val="ThesisTOC"/>
        <w:tabs>
          <w:tab w:pos="7937" w:val="right" w:leader="dot"/>
        </w:tabs>
        <w:spacing w:after="80"/>
        <w:ind w:left="0"/>
      </w:pPr>
      <w:hyperlink w:anchor="head_137">
        <w:r>
          <w:t>부록 A. 최종 행동·입력 명세</w:t>
        </w:r>
      </w:hyperlink>
      <w:r>
        <w:tab/>
        <w:t>93</w:t>
      </w:r>
    </w:p>
    <w:p>
      <w:pPr>
        <w:pStyle w:val="ThesisTOC"/>
        <w:tabs>
          <w:tab w:pos="7937" w:val="right" w:leader="dot"/>
        </w:tabs>
        <w:spacing w:after="80"/>
        <w:ind w:left="198"/>
      </w:pPr>
      <w:hyperlink w:anchor="head_138">
        <w:r>
          <w:t>A.1 행동 필드, 단위와 실제 계산값</w:t>
        </w:r>
      </w:hyperlink>
      <w:r>
        <w:tab/>
        <w:t>93</w:t>
      </w:r>
    </w:p>
    <w:p>
      <w:pPr>
        <w:pStyle w:val="ThesisTOC"/>
        <w:tabs>
          <w:tab w:pos="7937" w:val="right" w:leader="dot"/>
        </w:tabs>
        <w:spacing w:after="80"/>
        <w:ind w:left="397"/>
      </w:pPr>
      <w:hyperlink w:anchor="head_139">
        <w:r>
          <w:t>A.1.1 성장성 CAPEX 축소율</w:t>
        </w:r>
      </w:hyperlink>
      <w:r>
        <w:tab/>
        <w:t>93</w:t>
      </w:r>
    </w:p>
    <w:p>
      <w:pPr>
        <w:pStyle w:val="ThesisTOC"/>
        <w:tabs>
          <w:tab w:pos="7937" w:val="right" w:leader="dot"/>
        </w:tabs>
        <w:spacing w:after="80"/>
        <w:ind w:left="397"/>
      </w:pPr>
      <w:hyperlink w:anchor="head_140">
        <w:r>
          <w:t>A.1.2 이자부부채 상환율</w:t>
        </w:r>
      </w:hyperlink>
      <w:r>
        <w:tab/>
        <w:t>93</w:t>
      </w:r>
    </w:p>
    <w:p>
      <w:pPr>
        <w:pStyle w:val="ThesisTOC"/>
        <w:tabs>
          <w:tab w:pos="7937" w:val="right" w:leader="dot"/>
        </w:tabs>
        <w:spacing w:after="80"/>
        <w:ind w:left="397"/>
      </w:pPr>
      <w:hyperlink w:anchor="head_141">
        <w:r>
          <w:t>A.1.3 단기차입 차환율</w:t>
        </w:r>
      </w:hyperlink>
      <w:r>
        <w:tab/>
        <w:t>93</w:t>
      </w:r>
    </w:p>
    <w:p>
      <w:pPr>
        <w:pStyle w:val="ThesisTOC"/>
        <w:tabs>
          <w:tab w:pos="7937" w:val="right" w:leader="dot"/>
        </w:tabs>
        <w:spacing w:after="80"/>
        <w:ind w:left="397"/>
      </w:pPr>
      <w:hyperlink w:anchor="head_142">
        <w:r>
          <w:t>A.1.4 재고 회전율 변화</w:t>
        </w:r>
      </w:hyperlink>
      <w:r>
        <w:tab/>
        <w:t>93</w:t>
      </w:r>
    </w:p>
    <w:p>
      <w:pPr>
        <w:pStyle w:val="ThesisTOC"/>
        <w:tabs>
          <w:tab w:pos="7937" w:val="right" w:leader="dot"/>
        </w:tabs>
        <w:spacing w:after="80"/>
        <w:ind w:left="397"/>
      </w:pPr>
      <w:hyperlink w:anchor="head_143">
        <w:r>
          <w:t>A.1.5 매출채권 회전율 변화</w:t>
        </w:r>
      </w:hyperlink>
      <w:r>
        <w:tab/>
        <w:t>93</w:t>
      </w:r>
    </w:p>
    <w:p>
      <w:pPr>
        <w:pStyle w:val="ThesisTOC"/>
        <w:tabs>
          <w:tab w:pos="7937" w:val="right" w:leader="dot"/>
        </w:tabs>
        <w:spacing w:after="80"/>
        <w:ind w:left="397"/>
      </w:pPr>
      <w:hyperlink w:anchor="head_144">
        <w:r>
          <w:t>A.1.6 매입채무 회전율 변화</w:t>
        </w:r>
      </w:hyperlink>
      <w:r>
        <w:tab/>
        <w:t>93</w:t>
      </w:r>
    </w:p>
    <w:p>
      <w:pPr>
        <w:pStyle w:val="ThesisTOC"/>
        <w:tabs>
          <w:tab w:pos="7937" w:val="right" w:leader="dot"/>
        </w:tabs>
        <w:spacing w:after="80"/>
        <w:ind w:left="397"/>
      </w:pPr>
      <w:hyperlink w:anchor="head_145">
        <w:r>
          <w:t>A.1.7 매출원가율 변화</w:t>
        </w:r>
      </w:hyperlink>
      <w:r>
        <w:tab/>
        <w:t>94</w:t>
      </w:r>
    </w:p>
    <w:p>
      <w:pPr>
        <w:pStyle w:val="ThesisTOC"/>
        <w:tabs>
          <w:tab w:pos="7937" w:val="right" w:leader="dot"/>
        </w:tabs>
        <w:spacing w:after="80"/>
        <w:ind w:left="397"/>
      </w:pPr>
      <w:hyperlink w:anchor="head_146">
        <w:r>
          <w:t>A.1.8 판매관리비율 변화</w:t>
        </w:r>
      </w:hyperlink>
      <w:r>
        <w:tab/>
        <w:t>94</w:t>
      </w:r>
    </w:p>
    <w:p>
      <w:pPr>
        <w:pStyle w:val="ThesisTOC"/>
        <w:tabs>
          <w:tab w:pos="7937" w:val="right" w:leader="dot"/>
        </w:tabs>
        <w:spacing w:after="80"/>
        <w:ind w:left="198"/>
      </w:pPr>
      <w:hyperlink w:anchor="head_147">
        <w:r>
          <w:t>A.2 아홉 후보의 실제 행동벡터</w:t>
        </w:r>
      </w:hyperlink>
      <w:r>
        <w:tab/>
        <w:t>94</w:t>
      </w:r>
    </w:p>
    <w:p>
      <w:pPr>
        <w:pStyle w:val="ThesisTOC"/>
        <w:tabs>
          <w:tab w:pos="7937" w:val="right" w:leader="dot"/>
        </w:tabs>
        <w:spacing w:after="80"/>
        <w:ind w:left="198"/>
      </w:pPr>
      <w:hyperlink w:anchor="head_148">
        <w:r>
          <w:t>A.3 LLM 입력특징의 의미</w:t>
        </w:r>
      </w:hyperlink>
      <w:r>
        <w:tab/>
        <w:t>95</w:t>
      </w:r>
    </w:p>
    <w:p>
      <w:pPr>
        <w:pStyle w:val="ThesisTOC"/>
        <w:tabs>
          <w:tab w:pos="7937" w:val="right" w:leader="dot"/>
        </w:tabs>
        <w:spacing w:after="80"/>
        <w:ind w:left="0"/>
      </w:pPr>
      <w:hyperlink w:anchor="head_149">
        <w:r>
          <w:t>부록 B. 평가기반의 개발 검증기록</w:t>
        </w:r>
      </w:hyperlink>
      <w:r>
        <w:tab/>
        <w:t>97</w:t>
      </w:r>
    </w:p>
    <w:p>
      <w:pPr>
        <w:pStyle w:val="ThesisTOC"/>
        <w:tabs>
          <w:tab w:pos="7937" w:val="right" w:leader="dot"/>
        </w:tabs>
        <w:spacing w:after="80"/>
        <w:ind w:left="0"/>
      </w:pPr>
      <w:hyperlink w:anchor="head_150">
        <w:r>
          <w:t>부록 C. C3-E 배포와 학습 구성</w:t>
        </w:r>
      </w:hyperlink>
      <w:r>
        <w:tab/>
        <w:t>100</w:t>
      </w:r>
    </w:p>
    <w:p>
      <w:pPr>
        <w:pStyle w:val="ThesisTOC"/>
        <w:tabs>
          <w:tab w:pos="7937" w:val="right" w:leader="dot"/>
        </w:tabs>
        <w:spacing w:after="80"/>
        <w:ind w:left="198"/>
      </w:pPr>
      <w:hyperlink w:anchor="head_151">
        <w:r>
          <w:t>C.1 최종 배포 식별과 정책의 정의</w:t>
        </w:r>
      </w:hyperlink>
      <w:r>
        <w:tab/>
        <w:t>100</w:t>
      </w:r>
    </w:p>
    <w:p>
      <w:pPr>
        <w:pStyle w:val="ThesisTOC"/>
        <w:tabs>
          <w:tab w:pos="7937" w:val="right" w:leader="dot"/>
        </w:tabs>
        <w:spacing w:after="80"/>
        <w:ind w:left="198"/>
      </w:pPr>
      <w:hyperlink w:anchor="head_152">
        <w:r>
          <w:t>C.2 최종 configuration의 Stage5 설정</w:t>
        </w:r>
      </w:hyperlink>
      <w:r>
        <w:tab/>
        <w:t>101</w:t>
      </w:r>
    </w:p>
    <w:p>
      <w:pPr>
        <w:pStyle w:val="ThesisTOC"/>
        <w:tabs>
          <w:tab w:pos="7937" w:val="right" w:leader="dot"/>
        </w:tabs>
        <w:spacing w:after="80"/>
        <w:ind w:left="198"/>
      </w:pPr>
      <w:hyperlink w:anchor="head_153">
        <w:r>
          <w:t>C.3 28개 actor의 checkpoint 연결</w:t>
        </w:r>
      </w:hyperlink>
      <w:r>
        <w:tab/>
        <w:t>101</w:t>
      </w:r>
    </w:p>
    <w:p>
      <w:pPr>
        <w:pStyle w:val="ThesisTOC"/>
        <w:tabs>
          <w:tab w:pos="7937" w:val="right" w:leader="dot"/>
        </w:tabs>
        <w:spacing w:after="80"/>
        <w:ind w:left="0"/>
      </w:pPr>
      <w:hyperlink w:anchor="head_154">
        <w:r>
          <w:t>부록 D. 실제 LLM 요청과 분기명세</w:t>
        </w:r>
      </w:hyperlink>
      <w:r>
        <w:tab/>
        <w:t>103</w:t>
      </w:r>
    </w:p>
    <w:p>
      <w:pPr>
        <w:pStyle w:val="ThesisTOC"/>
        <w:tabs>
          <w:tab w:pos="7937" w:val="right" w:leader="dot"/>
        </w:tabs>
        <w:spacing w:after="80"/>
        <w:ind w:left="198"/>
      </w:pPr>
      <w:hyperlink w:anchor="head_155">
        <w:r>
          <w:t>D.1 모델·출력·정책 명세</w:t>
        </w:r>
      </w:hyperlink>
      <w:r>
        <w:tab/>
        <w:t>103</w:t>
      </w:r>
    </w:p>
    <w:p>
      <w:pPr>
        <w:pStyle w:val="ThesisTOC"/>
        <w:tabs>
          <w:tab w:pos="7937" w:val="right" w:leader="dot"/>
        </w:tabs>
        <w:spacing w:after="80"/>
        <w:ind w:left="397"/>
      </w:pPr>
      <w:hyperlink w:anchor="head_156">
        <w:r>
          <w:t>D.1.1 공통 system 지시</w:t>
        </w:r>
      </w:hyperlink>
      <w:r>
        <w:tab/>
        <w:t>103</w:t>
      </w:r>
    </w:p>
    <w:p>
      <w:pPr>
        <w:pStyle w:val="ThesisTOC"/>
        <w:tabs>
          <w:tab w:pos="7937" w:val="right" w:leader="dot"/>
        </w:tabs>
        <w:spacing w:after="80"/>
        <w:ind w:left="397"/>
      </w:pPr>
      <w:hyperlink w:anchor="head_157">
        <w:r>
          <w:t>D.1.2 공통 system 지시</w:t>
        </w:r>
      </w:hyperlink>
      <w:r>
        <w:tab/>
        <w:t>103</w:t>
      </w:r>
    </w:p>
    <w:p>
      <w:pPr>
        <w:pStyle w:val="ThesisTOC"/>
        <w:tabs>
          <w:tab w:pos="7937" w:val="right" w:leader="dot"/>
        </w:tabs>
        <w:spacing w:after="80"/>
        <w:ind w:left="397"/>
      </w:pPr>
      <w:hyperlink w:anchor="head_158">
        <w:r>
          <w:t>D.1.3 공통 system 지시</w:t>
        </w:r>
      </w:hyperlink>
      <w:r>
        <w:tab/>
        <w:t>103</w:t>
      </w:r>
    </w:p>
    <w:p>
      <w:pPr>
        <w:pStyle w:val="ThesisTOC"/>
        <w:tabs>
          <w:tab w:pos="7937" w:val="right" w:leader="dot"/>
        </w:tabs>
        <w:spacing w:after="80"/>
        <w:ind w:left="397"/>
      </w:pPr>
      <w:hyperlink w:anchor="head_159">
        <w:r>
          <w:t>D.1.4 공통 system 지시</w:t>
        </w:r>
      </w:hyperlink>
      <w:r>
        <w:tab/>
        <w:t>103</w:t>
      </w:r>
    </w:p>
    <w:p>
      <w:pPr>
        <w:pStyle w:val="ThesisTOC"/>
        <w:tabs>
          <w:tab w:pos="7937" w:val="right" w:leader="dot"/>
        </w:tabs>
        <w:spacing w:after="80"/>
        <w:ind w:left="397"/>
      </w:pPr>
      <w:hyperlink w:anchor="head_160">
        <w:r>
          <w:t>D.1.5 공통 system 지시</w:t>
        </w:r>
      </w:hyperlink>
      <w:r>
        <w:tab/>
        <w:t>104</w:t>
      </w:r>
    </w:p>
    <w:p>
      <w:pPr>
        <w:pStyle w:val="ThesisTOC"/>
        <w:tabs>
          <w:tab w:pos="7937" w:val="right" w:leader="dot"/>
        </w:tabs>
        <w:spacing w:after="80"/>
        <w:ind w:left="198"/>
      </w:pPr>
      <w:hyperlink w:anchor="head_161">
        <w:r>
          <w:t>D.2 정책별 추가 지시</w:t>
        </w:r>
      </w:hyperlink>
      <w:r>
        <w:tab/>
        <w:t>104</w:t>
      </w:r>
    </w:p>
    <w:p>
      <w:pPr>
        <w:pStyle w:val="ThesisTOC"/>
        <w:tabs>
          <w:tab w:pos="7937" w:val="right" w:leader="dot"/>
        </w:tabs>
        <w:spacing w:after="80"/>
        <w:ind w:left="397"/>
      </w:pPr>
      <w:hyperlink w:anchor="head_162">
        <w:r>
          <w:t>D.2.1 C4 조건 지시</w:t>
        </w:r>
      </w:hyperlink>
      <w:r>
        <w:tab/>
        <w:t>104</w:t>
      </w:r>
    </w:p>
    <w:p>
      <w:pPr>
        <w:pStyle w:val="ThesisTOC"/>
        <w:tabs>
          <w:tab w:pos="7937" w:val="right" w:leader="dot"/>
        </w:tabs>
        <w:spacing w:after="80"/>
        <w:ind w:left="397"/>
      </w:pPr>
      <w:hyperlink w:anchor="head_163">
        <w:r>
          <w:t>D.2.2 C4R 조건 지시</w:t>
        </w:r>
      </w:hyperlink>
      <w:r>
        <w:tab/>
        <w:t>104</w:t>
      </w:r>
    </w:p>
    <w:p>
      <w:pPr>
        <w:pStyle w:val="ThesisTOC"/>
        <w:tabs>
          <w:tab w:pos="7937" w:val="right" w:leader="dot"/>
        </w:tabs>
        <w:spacing w:after="80"/>
        <w:ind w:left="397"/>
      </w:pPr>
      <w:hyperlink w:anchor="head_164">
        <w:r>
          <w:t>D.2.3 C5 조건 지시</w:t>
        </w:r>
      </w:hyperlink>
      <w:r>
        <w:tab/>
        <w:t>104</w:t>
      </w:r>
    </w:p>
    <w:p>
      <w:pPr>
        <w:pStyle w:val="ThesisTOC"/>
        <w:tabs>
          <w:tab w:pos="7937" w:val="right" w:leader="dot"/>
        </w:tabs>
        <w:spacing w:after="80"/>
        <w:ind w:left="397"/>
      </w:pPr>
      <w:hyperlink w:anchor="head_165">
        <w:r>
          <w:t>D.2.4 C6-E 조건 지시</w:t>
        </w:r>
      </w:hyperlink>
      <w:r>
        <w:tab/>
        <w:t>104</w:t>
      </w:r>
    </w:p>
    <w:p>
      <w:pPr>
        <w:pStyle w:val="ThesisTOC"/>
        <w:tabs>
          <w:tab w:pos="7937" w:val="right" w:leader="dot"/>
        </w:tabs>
        <w:spacing w:after="80"/>
        <w:ind w:left="397"/>
      </w:pPr>
      <w:hyperlink w:anchor="head_166">
        <w:r>
          <w:t>D.2.5 C6-EX 조건 지시</w:t>
        </w:r>
      </w:hyperlink>
      <w:r>
        <w:tab/>
        <w:t>105</w:t>
      </w:r>
    </w:p>
    <w:p>
      <w:pPr>
        <w:pStyle w:val="ThesisTOC"/>
        <w:tabs>
          <w:tab w:pos="7937" w:val="right" w:leader="dot"/>
        </w:tabs>
        <w:spacing w:after="80"/>
        <w:ind w:left="198"/>
      </w:pPr>
      <w:hyperlink w:anchor="head_167">
        <w:r>
          <w:t>D.3 원응답의 구조와 action-usability</w:t>
        </w:r>
      </w:hyperlink>
      <w:r>
        <w:tab/>
        <w:t>105</w:t>
      </w:r>
    </w:p>
    <w:p>
      <w:pPr>
        <w:pStyle w:val="ThesisTOC"/>
        <w:tabs>
          <w:tab w:pos="7937" w:val="right" w:leader="dot"/>
        </w:tabs>
        <w:spacing w:after="80"/>
        <w:ind w:left="198"/>
      </w:pPr>
      <w:hyperlink w:anchor="head_168">
        <w:r>
          <w:t>D.4 부모 원문을 전달하는 pre-live 규칙</w:t>
        </w:r>
      </w:hyperlink>
      <w:r>
        <w:tab/>
        <w:t>105</w:t>
      </w:r>
    </w:p>
    <w:p>
      <w:pPr>
        <w:pStyle w:val="ThesisTOC"/>
        <w:tabs>
          <w:tab w:pos="7937" w:val="right" w:leader="dot"/>
        </w:tabs>
        <w:spacing w:after="80"/>
        <w:ind w:left="198"/>
      </w:pPr>
      <w:hyperlink w:anchor="head_169">
        <w:r>
          <w:t>D.5 재현 경로</w:t>
        </w:r>
      </w:hyperlink>
      <w:r>
        <w:tab/>
        <w:t>106</w:t>
      </w:r>
    </w:p>
    <w:p>
      <w:pPr>
        <w:pStyle w:val="ThesisTOC"/>
        <w:tabs>
          <w:tab w:pos="7937" w:val="right" w:leader="dot"/>
        </w:tabs>
        <w:spacing w:after="80"/>
        <w:ind w:left="0"/>
      </w:pPr>
      <w:hyperlink w:anchor="head_170">
        <w:r>
          <w:t>부록 E. 최종 대비의 전체 Oracle 결과</w:t>
        </w:r>
      </w:hyperlink>
      <w:r>
        <w:tab/>
        <w:t>107</w:t>
      </w:r>
    </w:p>
    <w:p>
      <w:pPr>
        <w:pStyle w:val="ThesisTOC"/>
        <w:tabs>
          <w:tab w:pos="7937" w:val="right" w:leader="dot"/>
        </w:tabs>
        <w:spacing w:after="80"/>
        <w:ind w:left="198"/>
      </w:pPr>
      <w:hyperlink w:anchor="head_171">
        <w:r>
          <w:t>E.1 Baseline · Strict / Gemini 3.1 Flash-Lite</w:t>
        </w:r>
      </w:hyperlink>
      <w:r>
        <w:tab/>
        <w:t>107</w:t>
      </w:r>
    </w:p>
    <w:p>
      <w:pPr>
        <w:pStyle w:val="ThesisTOC"/>
        <w:tabs>
          <w:tab w:pos="7937" w:val="right" w:leader="dot"/>
        </w:tabs>
        <w:spacing w:after="80"/>
        <w:ind w:left="198"/>
      </w:pPr>
      <w:hyperlink w:anchor="head_172">
        <w:r>
          <w:t>E.2 Baseline · Strict / GPT-5.4-mini</w:t>
        </w:r>
      </w:hyperlink>
      <w:r>
        <w:tab/>
        <w:t>108</w:t>
      </w:r>
    </w:p>
    <w:p>
      <w:pPr>
        <w:pStyle w:val="ThesisTOC"/>
        <w:tabs>
          <w:tab w:pos="7937" w:val="right" w:leader="dot"/>
        </w:tabs>
        <w:spacing w:after="80"/>
        <w:ind w:left="198"/>
      </w:pPr>
      <w:hyperlink w:anchor="head_173">
        <w:r>
          <w:t>E.3 Baseline · Repaired / Gemini 3.1 Flash-Lite</w:t>
        </w:r>
      </w:hyperlink>
      <w:r>
        <w:tab/>
        <w:t>110</w:t>
      </w:r>
    </w:p>
    <w:p>
      <w:pPr>
        <w:pStyle w:val="ThesisTOC"/>
        <w:tabs>
          <w:tab w:pos="7937" w:val="right" w:leader="dot"/>
        </w:tabs>
        <w:spacing w:after="80"/>
        <w:ind w:left="198"/>
      </w:pPr>
      <w:hyperlink w:anchor="head_174">
        <w:r>
          <w:t>E.4 Baseline · Repaired / GPT-5.4-mini</w:t>
        </w:r>
      </w:hyperlink>
      <w:r>
        <w:tab/>
        <w:t>112</w:t>
      </w:r>
    </w:p>
    <w:p>
      <w:pPr>
        <w:pStyle w:val="ThesisTOC"/>
        <w:tabs>
          <w:tab w:pos="7937" w:val="right" w:leader="dot"/>
        </w:tabs>
        <w:spacing w:after="80"/>
        <w:ind w:left="198"/>
      </w:pPr>
      <w:hyperlink w:anchor="head_175">
        <w:r>
          <w:t>E.5 High · Strict / Gemini 3.1 Flash-Lite</w:t>
        </w:r>
      </w:hyperlink>
      <w:r>
        <w:tab/>
        <w:t>113</w:t>
      </w:r>
    </w:p>
    <w:p>
      <w:pPr>
        <w:pStyle w:val="ThesisTOC"/>
        <w:tabs>
          <w:tab w:pos="7937" w:val="right" w:leader="dot"/>
        </w:tabs>
        <w:spacing w:after="80"/>
        <w:ind w:left="198"/>
      </w:pPr>
      <w:hyperlink w:anchor="head_176">
        <w:r>
          <w:t>E.6 High · Strict / GPT-5.4-mini</w:t>
        </w:r>
      </w:hyperlink>
      <w:r>
        <w:tab/>
        <w:t>115</w:t>
      </w:r>
    </w:p>
    <w:p>
      <w:pPr>
        <w:pStyle w:val="ThesisTOC"/>
        <w:tabs>
          <w:tab w:pos="7937" w:val="right" w:leader="dot"/>
        </w:tabs>
        <w:spacing w:after="80"/>
        <w:ind w:left="198"/>
      </w:pPr>
      <w:hyperlink w:anchor="head_177">
        <w:r>
          <w:t>E.7 High · Repaired / Gemini 3.1 Flash-Lite</w:t>
        </w:r>
      </w:hyperlink>
      <w:r>
        <w:tab/>
        <w:t>116</w:t>
      </w:r>
    </w:p>
    <w:p>
      <w:pPr>
        <w:pStyle w:val="ThesisTOC"/>
        <w:tabs>
          <w:tab w:pos="7937" w:val="right" w:leader="dot"/>
        </w:tabs>
        <w:spacing w:after="80"/>
        <w:ind w:left="198"/>
      </w:pPr>
      <w:hyperlink w:anchor="head_178">
        <w:r>
          <w:t>E.8 High · Repaired / GPT-5.4-mini</w:t>
        </w:r>
      </w:hyperlink>
      <w:r>
        <w:tab/>
        <w:t>118</w:t>
      </w:r>
    </w:p>
    <w:p>
      <w:pPr>
        <w:pStyle w:val="ThesisTOC"/>
        <w:tabs>
          <w:tab w:pos="7937" w:val="right" w:leader="dot"/>
        </w:tabs>
        <w:spacing w:after="80"/>
        <w:ind w:left="0"/>
      </w:pPr>
      <w:hyperlink w:anchor="head_179">
        <w:r>
          <w:t>부록 F. PP·반복성·비용과 증거 연결</w:t>
        </w:r>
      </w:hyperlink>
      <w:r>
        <w:tab/>
        <w:t>120</w:t>
      </w:r>
    </w:p>
    <w:p>
      <w:pPr>
        <w:pStyle w:val="ThesisTOC"/>
        <w:tabs>
          <w:tab w:pos="7937" w:val="right" w:leader="dot"/>
        </w:tabs>
        <w:spacing w:after="80"/>
        <w:ind w:left="198"/>
      </w:pPr>
      <w:hyperlink w:anchor="head_180">
        <w:r>
          <w:t>F.1 주요 PP 표본의 구성</w:t>
        </w:r>
      </w:hyperlink>
      <w:r>
        <w:tab/>
        <w:t>120</w:t>
      </w:r>
    </w:p>
    <w:p>
      <w:pPr>
        <w:pStyle w:val="ThesisTOC"/>
        <w:tabs>
          <w:tab w:pos="7937" w:val="right" w:leader="dot"/>
        </w:tabs>
        <w:spacing w:after="80"/>
        <w:ind w:left="198"/>
      </w:pPr>
      <w:hyperlink w:anchor="head_181">
        <w:r>
          <w:t>F.2 비용 계산식과 귀속 범위</w:t>
        </w:r>
      </w:hyperlink>
      <w:r>
        <w:tab/>
        <w:t>120</w:t>
      </w:r>
    </w:p>
    <w:p>
      <w:pPr>
        <w:pStyle w:val="ThesisTOC"/>
        <w:tabs>
          <w:tab w:pos="7937" w:val="right" w:leader="dot"/>
        </w:tabs>
        <w:spacing w:after="80"/>
        <w:ind w:left="198"/>
      </w:pPr>
      <w:hyperlink w:anchor="head_182">
        <w:r>
          <w:t>F.3 재집계 산출물과 자료 출처</w:t>
        </w:r>
      </w:hyperlink>
      <w:r>
        <w:tab/>
        <w:t>121</w:t>
      </w:r>
    </w:p>
    <w:p>
      <w:pPr>
        <w:pStyle w:val="ThesisTOC"/>
        <w:tabs>
          <w:tab w:pos="7937" w:val="right" w:leader="dot"/>
        </w:tabs>
        <w:spacing w:after="80"/>
        <w:ind w:left="198"/>
      </w:pPr>
      <w:hyperlink w:anchor="head_183">
        <w:r>
          <w:t>F.4 아직 남는 증거상 제한</w:t>
        </w:r>
      </w:hyperlink>
      <w:r>
        <w:tab/>
        <w:t>122</w:t>
      </w:r>
    </w:p>
    <w:p>
      <w:pPr>
        <w:pStyle w:val="ThesisTOC"/>
        <w:tabs>
          <w:tab w:pos="7937" w:val="right" w:leader="dot"/>
        </w:tabs>
        <w:spacing w:after="80"/>
        <w:ind w:left="0"/>
      </w:pPr>
      <w:hyperlink w:anchor="head_184">
        <w:r>
          <w:t>부록 G. 구형 실험의 개발 이력과 분리 원칙</w:t>
        </w:r>
      </w:hyperlink>
      <w:r>
        <w:tab/>
        <w:t>123</w:t>
      </w:r>
    </w:p>
    <w:p>
      <w:pPr>
        <w:pStyle w:val="FrontTitle"/>
        <w:pageBreakBefore/>
        <w:widowControl/>
      </w:pPr>
      <w:r>
        <w:t>표 차례</w:t>
      </w:r>
    </w:p>
    <w:p>
      <w:pPr>
        <w:pStyle w:val="ThesisTOC"/>
        <w:tabs>
          <w:tab w:pos="7937" w:val="right" w:leader="dot"/>
        </w:tabs>
        <w:spacing w:after="80"/>
        <w:ind w:left="0"/>
      </w:pPr>
      <w:hyperlink w:anchor="cap_1">
        <w:r>
          <w:t>표 1-1. 연구질문과 최종 실험의 대응</w:t>
        </w:r>
      </w:hyperlink>
      <w:r>
        <w:tab/>
        <w:t>4</w:t>
      </w:r>
    </w:p>
    <w:p>
      <w:pPr>
        <w:pStyle w:val="ThesisTOC"/>
        <w:tabs>
          <w:tab w:pos="7937" w:val="right" w:leader="dot"/>
        </w:tabs>
        <w:spacing w:after="80"/>
        <w:ind w:left="0"/>
      </w:pPr>
      <w:hyperlink w:anchor="cap_2">
        <w:r>
          <w:t>표 1-2. 평가경로와 보존하는 정보</w:t>
        </w:r>
      </w:hyperlink>
      <w:r>
        <w:tab/>
        <w:t>6</w:t>
      </w:r>
    </w:p>
    <w:p>
      <w:pPr>
        <w:pStyle w:val="ThesisTOC"/>
        <w:tabs>
          <w:tab w:pos="7937" w:val="right" w:leader="dot"/>
        </w:tabs>
        <w:spacing w:after="80"/>
        <w:ind w:left="0"/>
      </w:pPr>
      <w:hyperlink w:anchor="cap_3">
        <w:r>
          <w:t>표 2-1. 기존 가설과 최종 분석의 대응</w:t>
        </w:r>
      </w:hyperlink>
      <w:r>
        <w:tab/>
        <w:t>20</w:t>
      </w:r>
    </w:p>
    <w:p>
      <w:pPr>
        <w:pStyle w:val="ThesisTOC"/>
        <w:tabs>
          <w:tab w:pos="7937" w:val="right" w:leader="dot"/>
        </w:tabs>
        <w:spacing w:after="80"/>
        <w:ind w:left="0"/>
      </w:pPr>
      <w:hyperlink w:anchor="cap_4">
        <w:r>
          <w:t>표 3-1. 자료 집합과 사용목적의 구분</w:t>
        </w:r>
      </w:hyperlink>
      <w:r>
        <w:tab/>
        <w:t>22</w:t>
      </w:r>
    </w:p>
    <w:p>
      <w:pPr>
        <w:pStyle w:val="ThesisTOC"/>
        <w:tabs>
          <w:tab w:pos="7937" w:val="right" w:leader="dot"/>
        </w:tabs>
        <w:spacing w:after="80"/>
        <w:ind w:left="0"/>
      </w:pPr>
      <w:hyperlink w:anchor="cap_5">
        <w:r>
          <w:t>표 3-2. 자유작성 행동의 허용범위와 정규화 기준</w:t>
        </w:r>
      </w:hyperlink>
      <w:r>
        <w:tab/>
        <w:t>24</w:t>
      </w:r>
    </w:p>
    <w:p>
      <w:pPr>
        <w:pStyle w:val="ThesisTOC"/>
        <w:tabs>
          <w:tab w:pos="7937" w:val="right" w:leader="dot"/>
        </w:tabs>
        <w:spacing w:after="80"/>
        <w:ind w:left="0"/>
      </w:pPr>
      <w:hyperlink w:anchor="cap_6">
        <w:r>
          <w:t>표 3-3. 표준 후보의 내용과 정규화 강도 배분</w:t>
        </w:r>
      </w:hyperlink>
      <w:r>
        <w:tab/>
        <w:t>25</w:t>
      </w:r>
    </w:p>
    <w:p>
      <w:pPr>
        <w:pStyle w:val="ThesisTOC"/>
        <w:tabs>
          <w:tab w:pos="7937" w:val="right" w:leader="dot"/>
        </w:tabs>
        <w:spacing w:after="80"/>
        <w:ind w:left="0"/>
      </w:pPr>
      <w:hyperlink w:anchor="cap_7">
        <w:r>
          <w:t>표 3-4. 최종 네 configuration의 보조보상 가중치</w:t>
        </w:r>
      </w:hyperlink>
      <w:r>
        <w:tab/>
        <w:t>28</w:t>
      </w:r>
    </w:p>
    <w:p>
      <w:pPr>
        <w:pStyle w:val="ThesisTOC"/>
        <w:tabs>
          <w:tab w:pos="7937" w:val="right" w:leader="dot"/>
        </w:tabs>
        <w:spacing w:after="80"/>
        <w:ind w:left="0"/>
      </w:pPr>
      <w:hyperlink w:anchor="cap_8">
        <w:r>
          <w:t>표 3-5. 공급자별 Baseline과 High 생성 설정</w:t>
        </w:r>
      </w:hyperlink>
      <w:r>
        <w:tab/>
        <w:t>29</w:t>
      </w:r>
    </w:p>
    <w:p>
      <w:pPr>
        <w:pStyle w:val="ThesisTOC"/>
        <w:tabs>
          <w:tab w:pos="7937" w:val="right" w:leader="dot"/>
        </w:tabs>
        <w:spacing w:after="80"/>
        <w:ind w:left="0"/>
      </w:pPr>
      <w:hyperlink w:anchor="cap_9">
        <w:r>
          <w:t>표 3-6. 최종 다섯 정책조건과 비교대상</w:t>
        </w:r>
      </w:hyperlink>
      <w:r>
        <w:tab/>
        <w:t>30</w:t>
      </w:r>
    </w:p>
    <w:p>
      <w:pPr>
        <w:pStyle w:val="ThesisTOC"/>
        <w:tabs>
          <w:tab w:pos="7937" w:val="right" w:leader="dot"/>
        </w:tabs>
        <w:spacing w:after="80"/>
        <w:ind w:left="0"/>
      </w:pPr>
      <w:hyperlink w:anchor="cap_10">
        <w:r>
          <w:t>표 3-7. 정보조건별 실제 차이</w:t>
        </w:r>
      </w:hyperlink>
      <w:r>
        <w:tab/>
        <w:t>32</w:t>
      </w:r>
    </w:p>
    <w:p>
      <w:pPr>
        <w:pStyle w:val="ThesisTOC"/>
        <w:tabs>
          <w:tab w:pos="7937" w:val="right" w:leader="dot"/>
        </w:tabs>
        <w:spacing w:after="80"/>
        <w:ind w:left="0"/>
      </w:pPr>
      <w:hyperlink w:anchor="cap_11">
        <w:r>
          <w:t>표 3-8. 모델·regime 하나당 실행행렬</w:t>
        </w:r>
      </w:hyperlink>
      <w:r>
        <w:tab/>
        <w:t>32</w:t>
      </w:r>
    </w:p>
    <w:p>
      <w:pPr>
        <w:pStyle w:val="ThesisTOC"/>
        <w:tabs>
          <w:tab w:pos="7937" w:val="right" w:leader="dot"/>
        </w:tabs>
        <w:spacing w:after="80"/>
        <w:ind w:left="0"/>
      </w:pPr>
      <w:hyperlink w:anchor="cap_12">
        <w:r>
          <w:t>표 3-9. 행동층과 실패 처리</w:t>
        </w:r>
      </w:hyperlink>
      <w:r>
        <w:tab/>
        <w:t>33</w:t>
      </w:r>
    </w:p>
    <w:p>
      <w:pPr>
        <w:pStyle w:val="ThesisTOC"/>
        <w:tabs>
          <w:tab w:pos="7937" w:val="right" w:leader="dot"/>
        </w:tabs>
        <w:spacing w:after="80"/>
        <w:ind w:left="0"/>
      </w:pPr>
      <w:hyperlink w:anchor="cap_13">
        <w:r>
          <w:t>표 4-1. 개발 단계 Oracle 정렬성 검증기록</w:t>
        </w:r>
      </w:hyperlink>
      <w:r>
        <w:tab/>
        <w:t>38</w:t>
      </w:r>
    </w:p>
    <w:p>
      <w:pPr>
        <w:pStyle w:val="ThesisTOC"/>
        <w:tabs>
          <w:tab w:pos="7937" w:val="right" w:leader="dot"/>
        </w:tabs>
        <w:spacing w:after="80"/>
        <w:ind w:left="0"/>
      </w:pPr>
      <w:hyperlink w:anchor="cap_14">
        <w:r>
          <w:t>표 4-2. 개발 단계 Simulator 검사 3의 기간별 결과</w:t>
        </w:r>
      </w:hyperlink>
      <w:r>
        <w:tab/>
        <w:t>40</w:t>
      </w:r>
    </w:p>
    <w:p>
      <w:pPr>
        <w:pStyle w:val="ThesisTOC"/>
        <w:tabs>
          <w:tab w:pos="7937" w:val="right" w:leader="dot"/>
        </w:tabs>
        <w:spacing w:after="80"/>
        <w:ind w:left="0"/>
      </w:pPr>
      <w:hyperlink w:anchor="cap_15">
        <w:r>
          <w:t>표 4-3. 현재 확보된 검증층과 해석 가능한 범위</w:t>
        </w:r>
      </w:hyperlink>
      <w:r>
        <w:tab/>
        <w:t>41</w:t>
      </w:r>
    </w:p>
    <w:p>
      <w:pPr>
        <w:pStyle w:val="ThesisTOC"/>
        <w:tabs>
          <w:tab w:pos="7937" w:val="right" w:leader="dot"/>
        </w:tabs>
        <w:spacing w:after="80"/>
        <w:ind w:left="0"/>
      </w:pPr>
      <w:hyperlink w:anchor="cap_16">
        <w:r>
          <w:t>표 4-4. V4.3 후보별 점수의 동률과 A0 최적 여부</w:t>
        </w:r>
      </w:hyperlink>
      <w:r>
        <w:tab/>
        <w:t>42</w:t>
      </w:r>
    </w:p>
    <w:p>
      <w:pPr>
        <w:pStyle w:val="ThesisTOC"/>
        <w:tabs>
          <w:tab w:pos="7937" w:val="right" w:leader="dot"/>
        </w:tabs>
        <w:spacing w:after="80"/>
        <w:ind w:left="0"/>
      </w:pPr>
      <w:hyperlink w:anchor="cap_17">
        <w:r>
          <w:t>표 4-5. 최신 비교정책의 A0 대비 평균 정책가치</w:t>
        </w:r>
      </w:hyperlink>
      <w:r>
        <w:tab/>
        <w:t>43</w:t>
      </w:r>
    </w:p>
    <w:p>
      <w:pPr>
        <w:pStyle w:val="ThesisTOC"/>
        <w:tabs>
          <w:tab w:pos="7937" w:val="right" w:leader="dot"/>
        </w:tabs>
        <w:spacing w:after="80"/>
        <w:ind w:left="0"/>
      </w:pPr>
      <w:hyperlink w:anchor="cap_20">
        <w:r>
          <w:t>표 4-6. 최종 C3-E의 주요 지표</w:t>
        </w:r>
      </w:hyperlink>
      <w:r>
        <w:tab/>
        <w:t>46</w:t>
      </w:r>
    </w:p>
    <w:p>
      <w:pPr>
        <w:pStyle w:val="ThesisTOC"/>
        <w:tabs>
          <w:tab w:pos="7937" w:val="right" w:leader="dot"/>
        </w:tabs>
        <w:spacing w:after="80"/>
        <w:ind w:left="0"/>
      </w:pPr>
      <w:hyperlink w:anchor="cap_21">
        <w:r>
          <w:t>표 5-1. Gemini 3.1 Flash-Lite Baseline 자유작성의 수용률</w:t>
        </w:r>
      </w:hyperlink>
      <w:r>
        <w:tab/>
        <w:t>48</w:t>
      </w:r>
    </w:p>
    <w:p>
      <w:pPr>
        <w:pStyle w:val="ThesisTOC"/>
        <w:tabs>
          <w:tab w:pos="7937" w:val="right" w:leader="dot"/>
        </w:tabs>
        <w:spacing w:after="80"/>
        <w:ind w:left="0"/>
      </w:pPr>
      <w:hyperlink w:anchor="cap_22">
        <w:r>
          <w:t>표 5-2. GPT-5.4-mini Baseline 자유작성의 수용률</w:t>
        </w:r>
      </w:hyperlink>
      <w:r>
        <w:tab/>
        <w:t>49</w:t>
      </w:r>
    </w:p>
    <w:p>
      <w:pPr>
        <w:pStyle w:val="ThesisTOC"/>
        <w:tabs>
          <w:tab w:pos="7937" w:val="right" w:leader="dot"/>
        </w:tabs>
        <w:spacing w:after="80"/>
        <w:ind w:left="0"/>
      </w:pPr>
      <w:hyperlink w:anchor="cap_23">
        <w:r>
          <w:t>표 5-3. Gemini 3.1 Flash-Lite Baseline Strict ITT 정책가치</w:t>
        </w:r>
      </w:hyperlink>
      <w:r>
        <w:tab/>
        <w:t>50</w:t>
      </w:r>
    </w:p>
    <w:p>
      <w:pPr>
        <w:pStyle w:val="ThesisTOC"/>
        <w:tabs>
          <w:tab w:pos="7937" w:val="right" w:leader="dot"/>
        </w:tabs>
        <w:spacing w:after="80"/>
        <w:ind w:left="0"/>
      </w:pPr>
      <w:hyperlink w:anchor="cap_24">
        <w:r>
          <w:t>표 5-4. GPT-5.4-mini Baseline Strict ITT 정책가치</w:t>
        </w:r>
      </w:hyperlink>
      <w:r>
        <w:tab/>
        <w:t>51</w:t>
      </w:r>
    </w:p>
    <w:p>
      <w:pPr>
        <w:pStyle w:val="ThesisTOC"/>
        <w:tabs>
          <w:tab w:pos="7937" w:val="right" w:leader="dot"/>
        </w:tabs>
        <w:spacing w:after="80"/>
        <w:ind w:left="0"/>
      </w:pPr>
      <w:hyperlink w:anchor="cap_25">
        <w:r>
          <w:t>표 5-5. Gemini 3.1 Flash-Lite Baseline의 네 중심 대비</w:t>
        </w:r>
      </w:hyperlink>
      <w:r>
        <w:tab/>
        <w:t>52</w:t>
      </w:r>
    </w:p>
    <w:p>
      <w:pPr>
        <w:pStyle w:val="ThesisTOC"/>
        <w:tabs>
          <w:tab w:pos="7937" w:val="right" w:leader="dot"/>
        </w:tabs>
        <w:spacing w:after="80"/>
        <w:ind w:left="0"/>
      </w:pPr>
      <w:hyperlink w:anchor="cap_26">
        <w:r>
          <w:t>표 5-6. GPT-5.4-mini Baseline의 네 중심 대비</w:t>
        </w:r>
      </w:hyperlink>
      <w:r>
        <w:tab/>
        <w:t>53</w:t>
      </w:r>
    </w:p>
    <w:p>
      <w:pPr>
        <w:pStyle w:val="ThesisTOC"/>
        <w:tabs>
          <w:tab w:pos="7937" w:val="right" w:leader="dot"/>
        </w:tabs>
        <w:spacing w:after="80"/>
        <w:ind w:left="0"/>
      </w:pPr>
      <w:hyperlink w:anchor="cap_27">
        <w:r>
          <w:t>표 5-7. 진단 유도 전후의 행동강도와 활성 차원</w:t>
        </w:r>
      </w:hyperlink>
      <w:r>
        <w:tab/>
        <w:t>54</w:t>
      </w:r>
    </w:p>
    <w:p>
      <w:pPr>
        <w:pStyle w:val="ThesisTOC"/>
        <w:tabs>
          <w:tab w:pos="7937" w:val="right" w:leader="dot"/>
        </w:tabs>
        <w:spacing w:after="80"/>
        <w:ind w:left="0"/>
      </w:pPr>
      <w:hyperlink w:anchor="cap_28">
        <w:r>
          <w:t>표 5-8. Baseline 대비효과의 B1−BINF 차이</w:t>
        </w:r>
      </w:hyperlink>
      <w:r>
        <w:tab/>
        <w:t>55</w:t>
      </w:r>
    </w:p>
    <w:p>
      <w:pPr>
        <w:pStyle w:val="ThesisTOC"/>
        <w:tabs>
          <w:tab w:pos="7937" w:val="right" w:leader="dot"/>
        </w:tabs>
        <w:spacing w:after="80"/>
        <w:ind w:left="0"/>
      </w:pPr>
      <w:hyperlink w:anchor="cap_29">
        <w:r>
          <w:t>표 5-9. Baseline B1의 자유작성−후보선택 대비</w:t>
        </w:r>
      </w:hyperlink>
      <w:r>
        <w:tab/>
        <w:t>56</w:t>
      </w:r>
    </w:p>
    <w:p>
      <w:pPr>
        <w:pStyle w:val="ThesisTOC"/>
        <w:tabs>
          <w:tab w:pos="7937" w:val="right" w:leader="dot"/>
        </w:tabs>
        <w:spacing w:after="80"/>
        <w:ind w:left="0"/>
      </w:pPr>
      <w:hyperlink w:anchor="cap_30">
        <w:r>
          <w:t>표 5-10. Baseline C4/free8/B1의 정보조건 대비</w:t>
        </w:r>
      </w:hyperlink>
      <w:r>
        <w:tab/>
        <w:t>57</w:t>
      </w:r>
    </w:p>
    <w:p>
      <w:pPr>
        <w:pStyle w:val="ThesisTOC"/>
        <w:tabs>
          <w:tab w:pos="7937" w:val="right" w:leader="dot"/>
        </w:tabs>
        <w:spacing w:after="80"/>
        <w:ind w:left="0"/>
      </w:pPr>
      <w:hyperlink w:anchor="cap_31">
        <w:r>
          <w:t>표 5-11. Baseline의 별도 Run1·Run2 반복 비교</w:t>
        </w:r>
      </w:hyperlink>
      <w:r>
        <w:tab/>
        <w:t>57</w:t>
      </w:r>
    </w:p>
    <w:p>
      <w:pPr>
        <w:pStyle w:val="ThesisTOC"/>
        <w:tabs>
          <w:tab w:pos="7937" w:val="right" w:leader="dot"/>
        </w:tabs>
        <w:spacing w:after="80"/>
        <w:ind w:left="0"/>
      </w:pPr>
      <w:hyperlink w:anchor="cap_32">
        <w:r>
          <w:t>표 6-1. 생성 regime와 실행규칙의 2×2 구조</w:t>
        </w:r>
      </w:hyperlink>
      <w:r>
        <w:tab/>
        <w:t>59</w:t>
      </w:r>
    </w:p>
    <w:p>
      <w:pPr>
        <w:pStyle w:val="ThesisTOC"/>
        <w:tabs>
          <w:tab w:pos="7937" w:val="right" w:leader="dot"/>
        </w:tabs>
        <w:spacing w:after="80"/>
        <w:ind w:left="0"/>
      </w:pPr>
      <w:hyperlink w:anchor="cap_33">
        <w:r>
          <w:t>표 6-2. Gemini 3.1 Flash-Lite B1의 추론 regime별 행동 수용</w:t>
        </w:r>
      </w:hyperlink>
      <w:r>
        <w:tab/>
        <w:t>60</w:t>
      </w:r>
    </w:p>
    <w:p>
      <w:pPr>
        <w:pStyle w:val="ThesisTOC"/>
        <w:tabs>
          <w:tab w:pos="7937" w:val="right" w:leader="dot"/>
        </w:tabs>
        <w:spacing w:after="80"/>
        <w:ind w:left="0"/>
      </w:pPr>
      <w:hyperlink w:anchor="cap_35">
        <w:r>
          <w:t>표 6-3. GPT-5.4-mini B1의 추론 regime별 행동 수용</w:t>
        </w:r>
      </w:hyperlink>
      <w:r>
        <w:tab/>
        <w:t>61</w:t>
      </w:r>
    </w:p>
    <w:p>
      <w:pPr>
        <w:pStyle w:val="ThesisTOC"/>
        <w:tabs>
          <w:tab w:pos="7937" w:val="right" w:leader="dot"/>
        </w:tabs>
        <w:spacing w:after="80"/>
        <w:ind w:left="0"/>
      </w:pPr>
      <w:hyperlink w:anchor="cap_37">
        <w:r>
          <w:t>표 6-4. 직접생성 C4의 실사용 강도와 활성 차원</w:t>
        </w:r>
      </w:hyperlink>
      <w:r>
        <w:tab/>
        <w:t>62</w:t>
      </w:r>
    </w:p>
    <w:p>
      <w:pPr>
        <w:pStyle w:val="ThesisTOC"/>
        <w:tabs>
          <w:tab w:pos="7937" w:val="right" w:leader="dot"/>
        </w:tabs>
        <w:spacing w:after="80"/>
        <w:ind w:left="0"/>
      </w:pPr>
      <w:hyperlink w:anchor="cap_38">
        <w:r>
          <w:t>표 6-5. Repair 복구와 원래 수용응답의 점수 불변성</w:t>
        </w:r>
      </w:hyperlink>
      <w:r>
        <w:tab/>
        <w:t>63</w:t>
      </w:r>
    </w:p>
    <w:p>
      <w:pPr>
        <w:pStyle w:val="ThesisTOC"/>
        <w:tabs>
          <w:tab w:pos="7937" w:val="right" w:leader="dot"/>
        </w:tabs>
        <w:spacing w:after="80"/>
        <w:ind w:left="0"/>
      </w:pPr>
      <w:hyperlink w:anchor="cap_39">
        <w:r>
          <w:t>표 6-6. Gemini 3.1 Flash-Lite의 생성·실행 조합별 A0 대비 가치</w:t>
        </w:r>
      </w:hyperlink>
      <w:r>
        <w:tab/>
        <w:t>63</w:t>
      </w:r>
    </w:p>
    <w:p>
      <w:pPr>
        <w:pStyle w:val="ThesisTOC"/>
        <w:tabs>
          <w:tab w:pos="7937" w:val="right" w:leader="dot"/>
        </w:tabs>
        <w:spacing w:after="80"/>
        <w:ind w:left="0"/>
      </w:pPr>
      <w:hyperlink w:anchor="cap_42">
        <w:r>
          <w:t>표 6-7. GPT-5.4-mini의 생성·실행 조합별 A0 대비 가치</w:t>
        </w:r>
      </w:hyperlink>
      <w:r>
        <w:tab/>
        <w:t>65</w:t>
      </w:r>
    </w:p>
    <w:p>
      <w:pPr>
        <w:pStyle w:val="ThesisTOC"/>
        <w:tabs>
          <w:tab w:pos="7937" w:val="right" w:leader="dot"/>
        </w:tabs>
        <w:spacing w:after="80"/>
        <w:ind w:left="0"/>
      </w:pPr>
      <w:hyperlink w:anchor="cap_45">
        <w:r>
          <w:t>표 6-8. Gemini 3.1 Flash-Lite High Strict ITT의 네 대비</w:t>
        </w:r>
      </w:hyperlink>
      <w:r>
        <w:tab/>
        <w:t>68</w:t>
      </w:r>
    </w:p>
    <w:p>
      <w:pPr>
        <w:pStyle w:val="ThesisTOC"/>
        <w:tabs>
          <w:tab w:pos="7937" w:val="right" w:leader="dot"/>
        </w:tabs>
        <w:spacing w:after="80"/>
        <w:ind w:left="0"/>
      </w:pPr>
      <w:hyperlink w:anchor="cap_46">
        <w:r>
          <w:t>표 6-9. GPT-5.4-mini High Strict ITT의 네 대비</w:t>
        </w:r>
      </w:hyperlink>
      <w:r>
        <w:tab/>
        <w:t>68</w:t>
      </w:r>
    </w:p>
    <w:p>
      <w:pPr>
        <w:pStyle w:val="ThesisTOC"/>
        <w:tabs>
          <w:tab w:pos="7937" w:val="right" w:leader="dot"/>
        </w:tabs>
        <w:spacing w:after="80"/>
        <w:ind w:left="0"/>
      </w:pPr>
      <w:hyperlink w:anchor="cap_47">
        <w:r>
          <w:t>표 6-10. B1에서 대비효과의 High−Baseline 차이</w:t>
        </w:r>
      </w:hyperlink>
      <w:r>
        <w:tab/>
        <w:t>69</w:t>
      </w:r>
    </w:p>
    <w:p>
      <w:pPr>
        <w:pStyle w:val="ThesisTOC"/>
        <w:tabs>
          <w:tab w:pos="7937" w:val="right" w:leader="dot"/>
        </w:tabs>
        <w:spacing w:after="80"/>
        <w:ind w:left="0"/>
      </w:pPr>
      <w:hyperlink w:anchor="cap_48">
        <w:r>
          <w:t>표 6-11. 정책별 High−Baseline 변화: Strict ITT</w:t>
        </w:r>
      </w:hyperlink>
      <w:r>
        <w:tab/>
        <w:t>70</w:t>
      </w:r>
    </w:p>
    <w:p>
      <w:pPr>
        <w:pStyle w:val="ThesisTOC"/>
        <w:tabs>
          <w:tab w:pos="7937" w:val="right" w:leader="dot"/>
        </w:tabs>
        <w:spacing w:after="80"/>
        <w:ind w:left="0"/>
      </w:pPr>
      <w:hyperlink w:anchor="cap_49">
        <w:r>
          <w:t>표 6-12. High B1의 자유작성−후보선택 대비</w:t>
        </w:r>
      </w:hyperlink>
      <w:r>
        <w:tab/>
        <w:t>71</w:t>
      </w:r>
    </w:p>
    <w:p>
      <w:pPr>
        <w:pStyle w:val="ThesisTOC"/>
        <w:tabs>
          <w:tab w:pos="7937" w:val="right" w:leader="dot"/>
        </w:tabs>
        <w:spacing w:after="80"/>
        <w:ind w:left="0"/>
      </w:pPr>
      <w:hyperlink w:anchor="cap_50">
        <w:r>
          <w:t>표 6-13. High Strict의 참조 대비: Oracle별 방향</w:t>
        </w:r>
      </w:hyperlink>
      <w:r>
        <w:tab/>
        <w:t>72</w:t>
      </w:r>
    </w:p>
    <w:p>
      <w:pPr>
        <w:pStyle w:val="ThesisTOC"/>
        <w:tabs>
          <w:tab w:pos="7937" w:val="right" w:leader="dot"/>
        </w:tabs>
        <w:spacing w:after="80"/>
        <w:ind w:left="0"/>
      </w:pPr>
      <w:hyperlink w:anchor="cap_51">
        <w:r>
          <w:t>표 6-14. Baseline B1의 strict 교집합 PP 대비</w:t>
        </w:r>
      </w:hyperlink>
      <w:r>
        <w:tab/>
        <w:t>73</w:t>
      </w:r>
    </w:p>
    <w:p>
      <w:pPr>
        <w:pStyle w:val="ThesisTOC"/>
        <w:tabs>
          <w:tab w:pos="7937" w:val="right" w:leader="dot"/>
        </w:tabs>
        <w:spacing w:after="80"/>
        <w:ind w:left="0"/>
      </w:pPr>
      <w:hyperlink w:anchor="cap_52">
        <w:r>
          <w:t>표 6-15. B1의 부모 수용 게이트 민감도</w:t>
        </w:r>
      </w:hyperlink>
      <w:r>
        <w:tab/>
        <w:t>74</w:t>
      </w:r>
    </w:p>
    <w:p>
      <w:pPr>
        <w:pStyle w:val="ThesisTOC"/>
        <w:tabs>
          <w:tab w:pos="7937" w:val="right" w:leader="dot"/>
        </w:tabs>
        <w:spacing w:after="80"/>
        <w:ind w:left="0"/>
      </w:pPr>
      <w:hyperlink w:anchor="cap_53">
        <w:r>
          <w:t>표 6-16. 학습참조 증분효과 C6-E−C4R의 반복성</w:t>
        </w:r>
      </w:hyperlink>
      <w:r>
        <w:tab/>
        <w:t>75</w:t>
      </w:r>
    </w:p>
    <w:p>
      <w:pPr>
        <w:pStyle w:val="ThesisTOC"/>
        <w:tabs>
          <w:tab w:pos="7937" w:val="right" w:leader="dot"/>
        </w:tabs>
        <w:spacing w:after="80"/>
        <w:ind w:left="0"/>
      </w:pPr>
      <w:hyperlink w:anchor="cap_54">
        <w:r>
          <w:t>표 6-17. High 자유작성의 실제 8차원 행동 반복성</w:t>
        </w:r>
      </w:hyperlink>
      <w:r>
        <w:tab/>
        <w:t>76</w:t>
      </w:r>
    </w:p>
    <w:p>
      <w:pPr>
        <w:pStyle w:val="ThesisTOC"/>
        <w:tabs>
          <w:tab w:pos="7937" w:val="right" w:leader="dot"/>
        </w:tabs>
        <w:spacing w:after="80"/>
        <w:ind w:left="0"/>
      </w:pPr>
      <w:hyperlink w:anchor="cap_55">
        <w:r>
          <w:t>표 6-18. 가정에 따른 공급자·regime별 지출과 단가</w:t>
        </w:r>
      </w:hyperlink>
      <w:r>
        <w:tab/>
        <w:t>78</w:t>
      </w:r>
    </w:p>
    <w:p>
      <w:pPr>
        <w:pStyle w:val="ThesisTOC"/>
        <w:tabs>
          <w:tab w:pos="7937" w:val="right" w:leader="dot"/>
        </w:tabs>
        <w:spacing w:after="80"/>
        <w:ind w:left="0"/>
      </w:pPr>
      <w:hyperlink w:anchor="cap_56">
        <w:r>
          <w:t>표 7-1. 연구질문·가설별 증거와 결론의 범위</w:t>
        </w:r>
      </w:hyperlink>
      <w:r>
        <w:tab/>
        <w:t>81</w:t>
      </w:r>
    </w:p>
    <w:p>
      <w:pPr>
        <w:pStyle w:val="ThesisTOC"/>
        <w:tabs>
          <w:tab w:pos="7937" w:val="right" w:leader="dot"/>
        </w:tabs>
        <w:spacing w:after="80"/>
        <w:ind w:left="0"/>
      </w:pPr>
      <w:hyperlink w:anchor="cap_57">
        <w:r>
          <w:t>표 7-2. 정책 하네스의 변경요소와 필요한 검증</w:t>
        </w:r>
      </w:hyperlink>
      <w:r>
        <w:tab/>
        <w:t>85</w:t>
      </w:r>
    </w:p>
    <w:p>
      <w:pPr>
        <w:pStyle w:val="ThesisTOC"/>
        <w:tabs>
          <w:tab w:pos="7937" w:val="right" w:leader="dot"/>
        </w:tabs>
        <w:spacing w:after="80"/>
        <w:ind w:left="0"/>
      </w:pPr>
      <w:hyperlink w:anchor="cap_58">
        <w:r>
          <w:t>표 A-1. CAPEX·부채·재고 부분</w:t>
        </w:r>
      </w:hyperlink>
      <w:r>
        <w:tab/>
        <w:t>94</w:t>
      </w:r>
    </w:p>
    <w:p>
      <w:pPr>
        <w:pStyle w:val="ThesisTOC"/>
        <w:tabs>
          <w:tab w:pos="7937" w:val="right" w:leader="dot"/>
        </w:tabs>
        <w:spacing w:after="80"/>
        <w:ind w:left="0"/>
      </w:pPr>
      <w:hyperlink w:anchor="cap_59">
        <w:r>
          <w:t>표 A-2. 매출채권·매입채무·비용 부분</w:t>
        </w:r>
      </w:hyperlink>
      <w:r>
        <w:tab/>
        <w:t>95</w:t>
      </w:r>
    </w:p>
    <w:p>
      <w:pPr>
        <w:pStyle w:val="ThesisTOC"/>
        <w:tabs>
          <w:tab w:pos="7937" w:val="right" w:leader="dot"/>
        </w:tabs>
        <w:spacing w:after="80"/>
        <w:ind w:left="0"/>
      </w:pPr>
      <w:hyperlink w:anchor="cap_60">
        <w:r>
          <w:t>표 A-3. 재무특징과 제공정보의 정확한 정의</w:t>
        </w:r>
      </w:hyperlink>
      <w:r>
        <w:tab/>
        <w:t>95</w:t>
      </w:r>
    </w:p>
    <w:p>
      <w:pPr>
        <w:pStyle w:val="ThesisTOC"/>
        <w:tabs>
          <w:tab w:pos="7937" w:val="right" w:leader="dot"/>
        </w:tabs>
        <w:spacing w:after="80"/>
        <w:ind w:left="0"/>
      </w:pPr>
      <w:hyperlink w:anchor="cap_61">
        <w:r>
          <w:t>표 B-1. Oracle 공통 입력변수</w:t>
        </w:r>
      </w:hyperlink>
      <w:r>
        <w:tab/>
        <w:t>97</w:t>
      </w:r>
    </w:p>
    <w:p>
      <w:pPr>
        <w:pStyle w:val="ThesisTOC"/>
        <w:tabs>
          <w:tab w:pos="7937" w:val="right" w:leader="dot"/>
        </w:tabs>
        <w:spacing w:after="80"/>
        <w:ind w:left="0"/>
      </w:pPr>
      <w:hyperlink w:anchor="cap_62">
        <w:r>
          <w:t>표 B-2. 개발 단계 Oracle-α 항목 가중치</w:t>
        </w:r>
      </w:hyperlink>
      <w:r>
        <w:tab/>
        <w:t>97</w:t>
      </w:r>
    </w:p>
    <w:p>
      <w:pPr>
        <w:pStyle w:val="ThesisTOC"/>
        <w:tabs>
          <w:tab w:pos="7937" w:val="right" w:leader="dot"/>
        </w:tabs>
        <w:spacing w:after="80"/>
        <w:ind w:left="0"/>
      </w:pPr>
      <w:hyperlink w:anchor="cap_63">
        <w:r>
          <w:t>표 B-3. 개발 단계 Oracle-β 계수</w:t>
        </w:r>
      </w:hyperlink>
      <w:r>
        <w:tab/>
        <w:t>98</w:t>
      </w:r>
    </w:p>
    <w:p>
      <w:pPr>
        <w:pStyle w:val="ThesisTOC"/>
        <w:tabs>
          <w:tab w:pos="7937" w:val="right" w:leader="dot"/>
        </w:tabs>
        <w:spacing w:after="80"/>
        <w:ind w:left="0"/>
      </w:pPr>
      <w:hyperlink w:anchor="cap_64">
        <w:r>
          <w:t>표 B-4. 개발 단계 실제 등급 대비 예측성능</w:t>
        </w:r>
      </w:hyperlink>
      <w:r>
        <w:tab/>
        <w:t>99</w:t>
      </w:r>
    </w:p>
    <w:p>
      <w:pPr>
        <w:pStyle w:val="ThesisTOC"/>
        <w:tabs>
          <w:tab w:pos="7937" w:val="right" w:leader="dot"/>
        </w:tabs>
        <w:spacing w:after="80"/>
        <w:ind w:left="0"/>
      </w:pPr>
      <w:hyperlink w:anchor="cap_65">
        <w:r>
          <w:t>표 C-1. 배포정책의 동결값</w:t>
        </w:r>
      </w:hyperlink>
      <w:r>
        <w:tab/>
        <w:t>100</w:t>
      </w:r>
    </w:p>
    <w:p>
      <w:pPr>
        <w:pStyle w:val="ThesisTOC"/>
        <w:tabs>
          <w:tab w:pos="7937" w:val="right" w:leader="dot"/>
        </w:tabs>
        <w:spacing w:after="80"/>
        <w:ind w:left="0"/>
      </w:pPr>
      <w:hyperlink w:anchor="cap_66">
        <w:r>
          <w:t>표 C-2. 구성별 주요 Stage5 설정</w:t>
        </w:r>
      </w:hyperlink>
      <w:r>
        <w:tab/>
        <w:t>101</w:t>
      </w:r>
    </w:p>
    <w:p>
      <w:pPr>
        <w:pStyle w:val="ThesisTOC"/>
        <w:tabs>
          <w:tab w:pos="7937" w:val="right" w:leader="dot"/>
        </w:tabs>
        <w:spacing w:after="80"/>
        <w:ind w:left="0"/>
      </w:pPr>
      <w:hyperlink w:anchor="cap_67">
        <w:r>
          <w:t>표 C-3. 최종 구성원의 checkpoint 해시 접두어</w:t>
        </w:r>
      </w:hyperlink>
      <w:r>
        <w:tab/>
        <w:t>101</w:t>
      </w:r>
    </w:p>
    <w:p>
      <w:pPr>
        <w:pStyle w:val="ThesisTOC"/>
        <w:tabs>
          <w:tab w:pos="7937" w:val="right" w:leader="dot"/>
        </w:tabs>
        <w:spacing w:after="80"/>
        <w:ind w:left="0"/>
      </w:pPr>
      <w:hyperlink w:anchor="cap_68">
        <w:r>
          <w:t>표 E-1. Baseline · Strict / Gemini / Oracle-α</w:t>
        </w:r>
      </w:hyperlink>
      <w:r>
        <w:tab/>
        <w:t>107</w:t>
      </w:r>
    </w:p>
    <w:p>
      <w:pPr>
        <w:pStyle w:val="ThesisTOC"/>
        <w:tabs>
          <w:tab w:pos="7937" w:val="right" w:leader="dot"/>
        </w:tabs>
        <w:spacing w:after="80"/>
        <w:ind w:left="0"/>
      </w:pPr>
      <w:hyperlink w:anchor="cap_69">
        <w:r>
          <w:t>표 E-2. Baseline · Strict / Gemini / Oracle-β</w:t>
        </w:r>
      </w:hyperlink>
      <w:r>
        <w:tab/>
        <w:t>107</w:t>
      </w:r>
    </w:p>
    <w:p>
      <w:pPr>
        <w:pStyle w:val="ThesisTOC"/>
        <w:tabs>
          <w:tab w:pos="7937" w:val="right" w:leader="dot"/>
        </w:tabs>
        <w:spacing w:after="80"/>
        <w:ind w:left="0"/>
      </w:pPr>
      <w:hyperlink w:anchor="cap_70">
        <w:r>
          <w:t>표 E-3. Baseline · Strict / Gemini / Oracle-γ</w:t>
        </w:r>
      </w:hyperlink>
      <w:r>
        <w:tab/>
        <w:t>108</w:t>
      </w:r>
    </w:p>
    <w:p>
      <w:pPr>
        <w:pStyle w:val="ThesisTOC"/>
        <w:tabs>
          <w:tab w:pos="7937" w:val="right" w:leader="dot"/>
        </w:tabs>
        <w:spacing w:after="80"/>
        <w:ind w:left="0"/>
      </w:pPr>
      <w:hyperlink w:anchor="cap_71">
        <w:r>
          <w:t>표 E-4. Baseline · Strict / GPT / Oracle-α</w:t>
        </w:r>
      </w:hyperlink>
      <w:r>
        <w:tab/>
        <w:t>108</w:t>
      </w:r>
    </w:p>
    <w:p>
      <w:pPr>
        <w:pStyle w:val="ThesisTOC"/>
        <w:tabs>
          <w:tab w:pos="7937" w:val="right" w:leader="dot"/>
        </w:tabs>
        <w:spacing w:after="80"/>
        <w:ind w:left="0"/>
      </w:pPr>
      <w:hyperlink w:anchor="cap_72">
        <w:r>
          <w:t>표 E-5. Baseline · Strict / GPT / Oracle-β</w:t>
        </w:r>
      </w:hyperlink>
      <w:r>
        <w:tab/>
        <w:t>109</w:t>
      </w:r>
    </w:p>
    <w:p>
      <w:pPr>
        <w:pStyle w:val="ThesisTOC"/>
        <w:tabs>
          <w:tab w:pos="7937" w:val="right" w:leader="dot"/>
        </w:tabs>
        <w:spacing w:after="80"/>
        <w:ind w:left="0"/>
      </w:pPr>
      <w:hyperlink w:anchor="cap_73">
        <w:r>
          <w:t>표 E-6. Baseline · Strict / GPT / Oracle-γ</w:t>
        </w:r>
      </w:hyperlink>
      <w:r>
        <w:tab/>
        <w:t>109</w:t>
      </w:r>
    </w:p>
    <w:p>
      <w:pPr>
        <w:pStyle w:val="ThesisTOC"/>
        <w:tabs>
          <w:tab w:pos="7937" w:val="right" w:leader="dot"/>
        </w:tabs>
        <w:spacing w:after="80"/>
        <w:ind w:left="0"/>
      </w:pPr>
      <w:hyperlink w:anchor="cap_74">
        <w:r>
          <w:t>표 E-7. Baseline · Repaired / Gemini / Oracle-α</w:t>
        </w:r>
      </w:hyperlink>
      <w:r>
        <w:tab/>
        <w:t>110</w:t>
      </w:r>
    </w:p>
    <w:p>
      <w:pPr>
        <w:pStyle w:val="ThesisTOC"/>
        <w:tabs>
          <w:tab w:pos="7937" w:val="right" w:leader="dot"/>
        </w:tabs>
        <w:spacing w:after="80"/>
        <w:ind w:left="0"/>
      </w:pPr>
      <w:hyperlink w:anchor="cap_75">
        <w:r>
          <w:t>표 E-8. Baseline · Repaired / Gemini / Oracle-β</w:t>
        </w:r>
      </w:hyperlink>
      <w:r>
        <w:tab/>
        <w:t>110</w:t>
      </w:r>
    </w:p>
    <w:p>
      <w:pPr>
        <w:pStyle w:val="ThesisTOC"/>
        <w:tabs>
          <w:tab w:pos="7937" w:val="right" w:leader="dot"/>
        </w:tabs>
        <w:spacing w:after="80"/>
        <w:ind w:left="0"/>
      </w:pPr>
      <w:hyperlink w:anchor="cap_76">
        <w:r>
          <w:t>표 E-9. Baseline · Repaired / Gemini / Oracle-γ</w:t>
        </w:r>
      </w:hyperlink>
      <w:r>
        <w:tab/>
        <w:t>111</w:t>
      </w:r>
    </w:p>
    <w:p>
      <w:pPr>
        <w:pStyle w:val="ThesisTOC"/>
        <w:tabs>
          <w:tab w:pos="7937" w:val="right" w:leader="dot"/>
        </w:tabs>
        <w:spacing w:after="80"/>
        <w:ind w:left="0"/>
      </w:pPr>
      <w:hyperlink w:anchor="cap_77">
        <w:r>
          <w:t>표 E-10. Baseline · Repaired / GPT / Oracle-α</w:t>
        </w:r>
      </w:hyperlink>
      <w:r>
        <w:tab/>
        <w:t>112</w:t>
      </w:r>
    </w:p>
    <w:p>
      <w:pPr>
        <w:pStyle w:val="ThesisTOC"/>
        <w:tabs>
          <w:tab w:pos="7937" w:val="right" w:leader="dot"/>
        </w:tabs>
        <w:spacing w:after="80"/>
        <w:ind w:left="0"/>
      </w:pPr>
      <w:hyperlink w:anchor="cap_78">
        <w:r>
          <w:t>표 E-11. Baseline · Repaired / GPT / Oracle-β</w:t>
        </w:r>
      </w:hyperlink>
      <w:r>
        <w:tab/>
        <w:t>112</w:t>
      </w:r>
    </w:p>
    <w:p>
      <w:pPr>
        <w:pStyle w:val="ThesisTOC"/>
        <w:tabs>
          <w:tab w:pos="7937" w:val="right" w:leader="dot"/>
        </w:tabs>
        <w:spacing w:after="80"/>
        <w:ind w:left="0"/>
      </w:pPr>
      <w:hyperlink w:anchor="cap_79">
        <w:r>
          <w:t>표 E-12. Baseline · Repaired / GPT / Oracle-γ</w:t>
        </w:r>
      </w:hyperlink>
      <w:r>
        <w:tab/>
        <w:t>113</w:t>
      </w:r>
    </w:p>
    <w:p>
      <w:pPr>
        <w:pStyle w:val="ThesisTOC"/>
        <w:tabs>
          <w:tab w:pos="7937" w:val="right" w:leader="dot"/>
        </w:tabs>
        <w:spacing w:after="80"/>
        <w:ind w:left="0"/>
      </w:pPr>
      <w:hyperlink w:anchor="cap_80">
        <w:r>
          <w:t>표 E-13. High · Strict / Gemini / Oracle-α</w:t>
        </w:r>
      </w:hyperlink>
      <w:r>
        <w:tab/>
        <w:t>113</w:t>
      </w:r>
    </w:p>
    <w:p>
      <w:pPr>
        <w:pStyle w:val="ThesisTOC"/>
        <w:tabs>
          <w:tab w:pos="7937" w:val="right" w:leader="dot"/>
        </w:tabs>
        <w:spacing w:after="80"/>
        <w:ind w:left="0"/>
      </w:pPr>
      <w:hyperlink w:anchor="cap_81">
        <w:r>
          <w:t>표 E-14. High · Strict / Gemini / Oracle-β</w:t>
        </w:r>
      </w:hyperlink>
      <w:r>
        <w:tab/>
        <w:t>114</w:t>
      </w:r>
    </w:p>
    <w:p>
      <w:pPr>
        <w:pStyle w:val="ThesisTOC"/>
        <w:tabs>
          <w:tab w:pos="7937" w:val="right" w:leader="dot"/>
        </w:tabs>
        <w:spacing w:after="80"/>
        <w:ind w:left="0"/>
      </w:pPr>
      <w:hyperlink w:anchor="cap_82">
        <w:r>
          <w:t>표 E-15. High · Strict / Gemini / Oracle-γ</w:t>
        </w:r>
      </w:hyperlink>
      <w:r>
        <w:tab/>
        <w:t>114</w:t>
      </w:r>
    </w:p>
    <w:p>
      <w:pPr>
        <w:pStyle w:val="ThesisTOC"/>
        <w:tabs>
          <w:tab w:pos="7937" w:val="right" w:leader="dot"/>
        </w:tabs>
        <w:spacing w:after="80"/>
        <w:ind w:left="0"/>
      </w:pPr>
      <w:hyperlink w:anchor="cap_83">
        <w:r>
          <w:t>표 E-16. High · Strict / GPT / Oracle-α</w:t>
        </w:r>
      </w:hyperlink>
      <w:r>
        <w:tab/>
        <w:t>115</w:t>
      </w:r>
    </w:p>
    <w:p>
      <w:pPr>
        <w:pStyle w:val="ThesisTOC"/>
        <w:tabs>
          <w:tab w:pos="7937" w:val="right" w:leader="dot"/>
        </w:tabs>
        <w:spacing w:after="80"/>
        <w:ind w:left="0"/>
      </w:pPr>
      <w:hyperlink w:anchor="cap_84">
        <w:r>
          <w:t>표 E-17. High · Strict / GPT / Oracle-β</w:t>
        </w:r>
      </w:hyperlink>
      <w:r>
        <w:tab/>
        <w:t>115</w:t>
      </w:r>
    </w:p>
    <w:p>
      <w:pPr>
        <w:pStyle w:val="ThesisTOC"/>
        <w:tabs>
          <w:tab w:pos="7937" w:val="right" w:leader="dot"/>
        </w:tabs>
        <w:spacing w:after="80"/>
        <w:ind w:left="0"/>
      </w:pPr>
      <w:hyperlink w:anchor="cap_85">
        <w:r>
          <w:t>표 E-18. High · Strict / GPT / Oracle-γ</w:t>
        </w:r>
      </w:hyperlink>
      <w:r>
        <w:tab/>
        <w:t>116</w:t>
      </w:r>
    </w:p>
    <w:p>
      <w:pPr>
        <w:pStyle w:val="ThesisTOC"/>
        <w:tabs>
          <w:tab w:pos="7937" w:val="right" w:leader="dot"/>
        </w:tabs>
        <w:spacing w:after="80"/>
        <w:ind w:left="0"/>
      </w:pPr>
      <w:hyperlink w:anchor="cap_86">
        <w:r>
          <w:t>표 E-19. High · Repaired / Gemini / Oracle-α</w:t>
        </w:r>
      </w:hyperlink>
      <w:r>
        <w:tab/>
        <w:t>116</w:t>
      </w:r>
    </w:p>
    <w:p>
      <w:pPr>
        <w:pStyle w:val="ThesisTOC"/>
        <w:tabs>
          <w:tab w:pos="7937" w:val="right" w:leader="dot"/>
        </w:tabs>
        <w:spacing w:after="80"/>
        <w:ind w:left="0"/>
      </w:pPr>
      <w:hyperlink w:anchor="cap_87">
        <w:r>
          <w:t>표 E-20. High · Repaired / Gemini / Oracle-β</w:t>
        </w:r>
      </w:hyperlink>
      <w:r>
        <w:tab/>
        <w:t>117</w:t>
      </w:r>
    </w:p>
    <w:p>
      <w:pPr>
        <w:pStyle w:val="ThesisTOC"/>
        <w:tabs>
          <w:tab w:pos="7937" w:val="right" w:leader="dot"/>
        </w:tabs>
        <w:spacing w:after="80"/>
        <w:ind w:left="0"/>
      </w:pPr>
      <w:hyperlink w:anchor="cap_88">
        <w:r>
          <w:t>표 E-21. High · Repaired / Gemini / Oracle-γ</w:t>
        </w:r>
      </w:hyperlink>
      <w:r>
        <w:tab/>
        <w:t>117</w:t>
      </w:r>
    </w:p>
    <w:p>
      <w:pPr>
        <w:pStyle w:val="ThesisTOC"/>
        <w:tabs>
          <w:tab w:pos="7937" w:val="right" w:leader="dot"/>
        </w:tabs>
        <w:spacing w:after="80"/>
        <w:ind w:left="0"/>
      </w:pPr>
      <w:hyperlink w:anchor="cap_89">
        <w:r>
          <w:t>표 E-22. High · Repaired / GPT / Oracle-α</w:t>
        </w:r>
      </w:hyperlink>
      <w:r>
        <w:tab/>
        <w:t>118</w:t>
      </w:r>
    </w:p>
    <w:p>
      <w:pPr>
        <w:pStyle w:val="ThesisTOC"/>
        <w:tabs>
          <w:tab w:pos="7937" w:val="right" w:leader="dot"/>
        </w:tabs>
        <w:spacing w:after="80"/>
        <w:ind w:left="0"/>
      </w:pPr>
      <w:hyperlink w:anchor="cap_90">
        <w:r>
          <w:t>표 E-23. High · Repaired / GPT / Oracle-β</w:t>
        </w:r>
      </w:hyperlink>
      <w:r>
        <w:tab/>
        <w:t>118</w:t>
      </w:r>
    </w:p>
    <w:p>
      <w:pPr>
        <w:pStyle w:val="ThesisTOC"/>
        <w:tabs>
          <w:tab w:pos="7937" w:val="right" w:leader="dot"/>
        </w:tabs>
        <w:spacing w:after="80"/>
        <w:ind w:left="0"/>
      </w:pPr>
      <w:hyperlink w:anchor="cap_91">
        <w:r>
          <w:t>표 E-24. High · Repaired / GPT / Oracle-γ</w:t>
        </w:r>
      </w:hyperlink>
      <w:r>
        <w:tab/>
        <w:t>119</w:t>
      </w:r>
    </w:p>
    <w:p>
      <w:pPr>
        <w:pStyle w:val="ThesisTOC"/>
        <w:tabs>
          <w:tab w:pos="7937" w:val="right" w:leader="dot"/>
        </w:tabs>
        <w:spacing w:after="80"/>
        <w:ind w:left="0"/>
      </w:pPr>
      <w:hyperlink w:anchor="cap_92">
        <w:r>
          <w:t>표 F-1. 대비별 strict PP 교집합 N</w:t>
        </w:r>
      </w:hyperlink>
      <w:r>
        <w:tab/>
        <w:t>120</w:t>
      </w:r>
    </w:p>
    <w:p>
      <w:pPr>
        <w:pStyle w:val="ThesisTOC"/>
        <w:tabs>
          <w:tab w:pos="7937" w:val="right" w:leader="dot"/>
        </w:tabs>
        <w:spacing w:after="80"/>
        <w:ind w:left="0"/>
      </w:pPr>
      <w:hyperlink w:anchor="cap_93">
        <w:r>
          <w:t>표 F-2. 본문 표와 파생파일의 대응</w:t>
        </w:r>
      </w:hyperlink>
      <w:r>
        <w:tab/>
        <w:t>121</w:t>
      </w:r>
    </w:p>
    <w:p>
      <w:pPr>
        <w:pStyle w:val="ThesisTOC"/>
        <w:tabs>
          <w:tab w:pos="7937" w:val="right" w:leader="dot"/>
        </w:tabs>
        <w:spacing w:after="80"/>
        <w:ind w:left="0"/>
      </w:pPr>
      <w:hyperlink w:anchor="cap_94">
        <w:r>
          <w:t>표 F-3. 편집과 재집계로 없앨 수 없는 제한</w:t>
        </w:r>
      </w:hyperlink>
      <w:r>
        <w:tab/>
        <w:t>122</w:t>
      </w:r>
    </w:p>
    <w:p>
      <w:pPr>
        <w:pStyle w:val="ThesisTOC"/>
        <w:tabs>
          <w:tab w:pos="7937" w:val="right" w:leader="dot"/>
        </w:tabs>
        <w:spacing w:after="80"/>
        <w:ind w:left="0"/>
      </w:pPr>
      <w:hyperlink w:anchor="cap_95">
        <w:r>
          <w:t>표 G-1. 개발계약에서 최종계약으로의 주요 전환</w:t>
        </w:r>
      </w:hyperlink>
      <w:r>
        <w:tab/>
        <w:t>123</w:t>
      </w:r>
    </w:p>
    <w:p>
      <w:pPr>
        <w:pStyle w:val="FrontTitle"/>
        <w:pageBreakBefore/>
        <w:widowControl/>
      </w:pPr>
      <w:r>
        <w:t>그림 차례</w:t>
      </w:r>
    </w:p>
    <w:p>
      <w:pPr>
        <w:pStyle w:val="ThesisTOC"/>
        <w:tabs>
          <w:tab w:pos="7937" w:val="right" w:leader="dot"/>
        </w:tabs>
        <w:spacing w:after="80"/>
        <w:ind w:left="0"/>
      </w:pPr>
      <w:hyperlink w:anchor="cap_18">
        <w:r>
          <w:t>그림 4-1. Oracle-α에서의 최종 비교정책 순위</w:t>
        </w:r>
      </w:hyperlink>
      <w:r>
        <w:tab/>
        <w:t>44</w:t>
      </w:r>
    </w:p>
    <w:p>
      <w:pPr>
        <w:pStyle w:val="ThesisTOC"/>
        <w:tabs>
          <w:tab w:pos="7937" w:val="right" w:leader="dot"/>
        </w:tabs>
        <w:spacing w:after="80"/>
        <w:ind w:left="0"/>
      </w:pPr>
      <w:hyperlink w:anchor="cap_19">
        <w:r>
          <w:t>그림 4-2. 동결 C3-E의 기업별 행동 분포</w:t>
        </w:r>
      </w:hyperlink>
      <w:r>
        <w:tab/>
        <w:t>45</w:t>
      </w:r>
    </w:p>
    <w:p>
      <w:pPr>
        <w:pStyle w:val="ThesisTOC"/>
        <w:tabs>
          <w:tab w:pos="7937" w:val="right" w:leader="dot"/>
        </w:tabs>
        <w:spacing w:after="80"/>
        <w:ind w:left="0"/>
      </w:pPr>
      <w:hyperlink w:anchor="cap_34">
        <w:r>
          <w:t>그림 6-1. Gemini 3.1 Flash-Lite B1의 행동 수용률 변화</w:t>
        </w:r>
      </w:hyperlink>
      <w:r>
        <w:tab/>
        <w:t>60</w:t>
      </w:r>
    </w:p>
    <w:p>
      <w:pPr>
        <w:pStyle w:val="ThesisTOC"/>
        <w:tabs>
          <w:tab w:pos="7937" w:val="right" w:leader="dot"/>
        </w:tabs>
        <w:spacing w:after="80"/>
        <w:ind w:left="0"/>
      </w:pPr>
      <w:hyperlink w:anchor="cap_36">
        <w:r>
          <w:t>그림 6-2. GPT-5.4-mini B1의 행동 수용률 변화</w:t>
        </w:r>
      </w:hyperlink>
      <w:r>
        <w:tab/>
        <w:t>61</w:t>
      </w:r>
    </w:p>
    <w:p>
      <w:pPr>
        <w:pStyle w:val="ThesisTOC"/>
        <w:tabs>
          <w:tab w:pos="7937" w:val="right" w:leader="dot"/>
        </w:tabs>
        <w:spacing w:after="80"/>
        <w:ind w:left="0"/>
      </w:pPr>
      <w:hyperlink w:anchor="cap_40">
        <w:r>
          <w:t>그림 6-3. Gemini 3.1 Flash-Lite B1의 네 생성·실행 조합</w:t>
        </w:r>
      </w:hyperlink>
      <w:r>
        <w:tab/>
        <w:t>64</w:t>
      </w:r>
    </w:p>
    <w:p>
      <w:pPr>
        <w:pStyle w:val="ThesisTOC"/>
        <w:tabs>
          <w:tab w:pos="7937" w:val="right" w:leader="dot"/>
        </w:tabs>
        <w:spacing w:after="80"/>
        <w:ind w:left="0"/>
      </w:pPr>
      <w:hyperlink w:anchor="cap_41">
        <w:r>
          <w:t>그림 6-4. Gemini 3.1 Flash-Lite BINF의 네 생성·실행 조합</w:t>
        </w:r>
      </w:hyperlink>
      <w:r>
        <w:tab/>
        <w:t>65</w:t>
      </w:r>
    </w:p>
    <w:p>
      <w:pPr>
        <w:pStyle w:val="ThesisTOC"/>
        <w:tabs>
          <w:tab w:pos="7937" w:val="right" w:leader="dot"/>
        </w:tabs>
        <w:spacing w:after="80"/>
        <w:ind w:left="0"/>
      </w:pPr>
      <w:hyperlink w:anchor="cap_43">
        <w:r>
          <w:t>그림 6-5. GPT-5.4-mini B1의 네 생성·실행 조합</w:t>
        </w:r>
      </w:hyperlink>
      <w:r>
        <w:tab/>
        <w:t>66</w:t>
      </w:r>
    </w:p>
    <w:p>
      <w:pPr>
        <w:pStyle w:val="ThesisTOC"/>
        <w:tabs>
          <w:tab w:pos="7937" w:val="right" w:leader="dot"/>
        </w:tabs>
        <w:spacing w:after="80"/>
        <w:ind w:left="0"/>
      </w:pPr>
      <w:hyperlink w:anchor="cap_44">
        <w:r>
          <w:t>그림 6-6. GPT-5.4-mini BINF의 네 생성·실행 조합</w:t>
        </w:r>
      </w:hyperlink>
      <w:r>
        <w:tab/>
        <w:t>67</w:t>
      </w:r>
    </w:p>
    <w:p>
      <w:bookmarkStart w:id="1" w:name="head_1"/>
      <w:pPr>
        <w:pStyle w:val="1"/>
        <w:widowControl/>
      </w:pPr>
      <w:r>
        <w:t>Abstract</w:t>
      </w:r>
      <w:bookmarkEnd w:id="1"/>
    </w:p>
    <w:p>
      <w:pPr>
        <w:pStyle w:val="a4"/>
        <w:widowControl/>
      </w:pPr>
      <w:r>
        <w:t>A Validation-First Evaluation Framework for LLM-Generated Corporate Credit-Rating Recourse: An Oracle–RL–LLM Pipeline</w:t>
      </w:r>
    </w:p>
    <w:p>
      <w:pPr>
        <w:widowControl/>
      </w:pPr>
      <w:r>
        <w:t>This study examines how corporate credit-rating recourse generated by large language models (LLMs) should be evaluated when the effects of implementing the recommendations cannot be observed directly. It retains a validation-first distinction between the scope of an evaluation harness and the quality of policies measured within that harness. Three structurally different credit-scoring models and an accounting-consistent financial simulator provide a common, explicitly limited evaluation environment. Development-stage validation evidence, current action-level diagnostics, and real-world effectiveness are treated as different evidentiary claims.</w:t>
      </w:r>
    </w:p>
    <w:p>
      <w:pPr>
        <w:widowControl/>
      </w:pPr>
      <w:r>
        <w:t>The final V4.3 experiment evaluates 575 Korean listed firms using eight managerial action dimensions and nine canonical candidate actions. A normalized action budget of one (B1) is compared with a condition without an aggregate intensity cap (BINF). A Candidate-IQL reference policy, C3-E, combines 28 actors from four configurations and seven matched seeds by hierarchical probability averaging. Actor training does not directly optimize Oracle scores, but final policy selection used the repeatedly examined 2024 development/evaluation surface. The selected policy is therefore not presented as an Oracle-independent, untouched-holdout result.</w:t>
      </w:r>
    </w:p>
    <w:p>
      <w:pPr>
        <w:widowControl/>
      </w:pPr>
      <w:r>
        <w:t>The study compares direct generation (C4), diagnostic prompting (C5), self-review of the same draft (C4R), revision with the firm's learned-policy reference (C6-E), and revision with a fixed derangement of reference assignments (C6-EX). The baseline and subsequent high-reasoning campaigns each contain 24,150 requests; main and repeatability runs are analyzed separately. Strict execution assigns A0 to confirmed unusable completions, whereas deterministic repair is evaluated as a separate, offline execution policy. Per-protocol comparisons use the intersection of strict-usable firms required by each contrast.</w:t>
      </w:r>
    </w:p>
    <w:p>
      <w:pPr>
        <w:widowControl/>
      </w:pPr>
      <w:r>
        <w:t>In baseline B1 free-form generation, strict action usability for C4 was 15.3% for Gemini 3.1 Flash-Lite and 44.3% for GPT-5.4-mini; in the high regime it rose to 99.1% and 97.4%, respectively. In high B1, the C6-E minus C4R mean Oracle-alpha differences were +0.0897 and +0.1003. However, effects depended on budget, execution rule, and model. GPT's baseline B1 self-review difference decreased from +0.1693 under strict execution to +0.0047 under repaired execution. High reasoning did not uniformly improve BINF scores, and small differences from C3-E did not establish policy equivalence. Firm-level incremental effects were substantially less repeatable than absolute credit scores.</w:t>
      </w:r>
    </w:p>
    <w:p>
      <w:pPr>
        <w:widowControl/>
      </w:pPr>
      <w:r>
        <w:t>These findings support evaluating the complete policy harness—including inference settings, prompts, action constraints, reference assignment, validation, and execution rules—rather than the model name alone. A discrepancy between the planning document's parent-usability gate and the pre-live raw-draft branching specification is disclosed and assessed through offline sensitivity analysis. Output ceilings also changed in the high regime. Results are conditional on the selected firms, evaluator and implementation; they do not demonstrate actual rating improvement, universal policy superiority, or the safety of automated firm-level recommendations.</w:t>
      </w:r>
    </w:p>
    <w:p>
      <w:pPr>
        <w:pStyle w:val="SourceNote"/>
        <w:widowControl/>
      </w:pPr>
      <w:r>
        <w:t>Keywords: large language model; corporate credit rating; algorithmic recourse; offline reinforcement learning; model validation; policy harness; execution validity</w:t>
      </w:r>
    </w:p>
    <w:p>
      <w:bookmarkStart w:id="2" w:name="head_2"/>
      <w:pPr>
        <w:pStyle w:val="1"/>
        <w:widowControl/>
      </w:pPr>
      <w:r>
        <w:t>초록</w:t>
      </w:r>
      <w:bookmarkEnd w:id="2"/>
    </w:p>
    <w:p>
      <w:pPr>
        <w:pStyle w:val="a4"/>
        <w:widowControl/>
      </w:pPr>
      <w:r>
        <w:t>검증 우선 평가 프레임워크를 통한 LLM 생성 기업 신용등급 개선권고 평가: 신용평가모형–강화학습–LLM 파이프라인</w:t>
      </w:r>
    </w:p>
    <w:p>
      <w:pPr>
        <w:widowControl/>
      </w:pPr>
      <w:r>
        <w:t>본 연구는 대규모 언어모형(LLM)이 생성한 기업 신용등급 개선권고의 실제 실행효과를 직접 관찰하기 어려운 상황에서, 권고를 어떤 평가기반과 실행규칙 아래에서 비교해야 하는지를 검토한다. 검증 우선 접근에 따라 평가 하네스가 제공하는 증거의 범위와 그 안에서 측정한 정책가치를 구분하였다. 서로 다른 구조의 세 신용평가모형과 회계적으로 일관된 재무 Simulator를 공통 평가기반으로 사용하되, 개발 단계의 검증자료, 최신 행동별 평가, 현실의 실행효과를 동일한 근거로 취급하지 않았다.</w:t>
      </w:r>
    </w:p>
    <w:p>
      <w:pPr>
        <w:widowControl/>
      </w:pPr>
      <w:r>
        <w:t>최종 V4.3 실험은 2024년 한국 상장기업 575개를 대상으로 8차원 관리행동과 9개 표준후보를 비교한다. 행동크기는 P50 기준으로 정규화하고, 총 강도를 1 이하로 제한한 B1과 총 강도 상한이 없는 BINF를 함께 분석하였다. 학습 참조정책 C3-E는 네 configuration과 일곱 matched seed의 28개 actor를 계층적 확률평균으로 결합한다. 개별 actor의 학습목표에는 Oracle 점수를 직접 사용하지 않았지만, 최종 정책 선택에는 2024년 개발·평가 표면의 반복적인 정책평가가 활용되었다. 따라서 선택과정까지 독립적인 외부 검증정책으로 해석하지 않았다.</w:t>
      </w:r>
    </w:p>
    <w:p>
      <w:pPr>
        <w:widowControl/>
      </w:pPr>
      <w:r>
        <w:t>LLM 조건은 직접 생성 C4, 진단 지시 C5, 동일 초안의 자기 재검토 C4R, 기업별 학습정책 참조를 제공한 C6-E, 참조의 주변분포를 보존하면서 기업 간 배정을 바꾼 C6-EX로 구분하였다. Baseline과 이후 추가한 High 추론 실행은 각각 24,150건이며, 본실험 Run1과 반복성 Run2를 분리하였다. Strict 실행은 완료되었으나 사용할 수 없는 응답에 A0를 적용하고, 결정론적 Repair는 같은 원응답에 적용하는 별도 실행정책으로 평가하였다. PP 비교는 필요한 모든 조건에서 strict usable인 동일 기업의 교집합으로 한정하였다.</w:t>
      </w:r>
    </w:p>
    <w:p>
      <w:pPr>
        <w:widowControl/>
      </w:pPr>
      <w:r>
        <w:t>B1 자유작성 C4의 strict 행동 수용률은 Baseline에서 Gemini 15.3%, GPT 44.3%였고, High에서는 각각 99.1%, 97.4%였다. High B1의 C6-E−C4R 정책가치 차이는 Oracle-α에서 Gemini +0.0897, GPT +0.1003이었다. 그러나 효과는 행동예산과 실행규칙에 의존하였다. GPT Baseline B1의 C4R−C4는 Strict +0.1693에서 Repaired +0.0047로 작아졌다. High가 BINF의 점수를 항상 높이지는 않았고, C3-E와 평균이 비슷하다는 사실도 동등성을 입증하지 않았다. 기업별 증분효과의 반복성은 절대 신용평점의 반복성보다 낮았다.</w:t>
      </w:r>
    </w:p>
    <w:p>
      <w:pPr>
        <w:widowControl/>
      </w:pPr>
      <w:r>
        <w:t>이 결과는 모델명뿐 아니라 추론 설정, 프롬프트, 참조, 행동제약, 검증 및 실행규칙으로 구성된 정책 하네스를 함께 평가해야 함을 보여준다. 계획서의 부모 응답 수용 게이트와 실행 전 raw-draft 분기 명세의 차이는 공개하고 별도 민감도 분석으로 확인하였다. High에서 출력 토큰 상한도 변경되었으므로 순수한 단일 설정의 효과로 해석하지 않는다. 본 연구는 제한된 평가환경 안의 비교이며, 실제 신용등급 상승이나 개별 기업 권고의 안전성을 입증한 것은 아니다.</w:t>
      </w:r>
    </w:p>
    <w:p>
      <w:pPr>
        <w:pStyle w:val="SourceNote"/>
        <w:widowControl/>
      </w:pPr>
      <w:r>
        <w:t>주제어: 대규모 언어모형, 기업 신용등급, 알고리즘적 권고, 오프라인 강화학습, 모형 검증, 정책 하네스, 실행 유효성</w:t>
      </w:r>
    </w:p>
    <w:p>
      <w:pPr>
        <w:sectPr>
          <w:headerReference w:type="default" r:id="rId29"/>
          <w:footerReference w:type="default" r:id="rId30"/>
          <w:pgSz w:w="11906" w:h="16838"/>
          <w:pgMar w:top="3005" w:right="1984" w:bottom="3005" w:left="1984" w:header="850" w:footer="2041" w:gutter="0"/>
          <w:pgNumType w:start="1" w:fmt="lowerRoman"/>
          <w:cols w:space="720"/>
          <w:formProt w:val="0"/>
          <w:docGrid w:linePitch="360" w:charSpace="8192"/>
        </w:sectPr>
      </w:pPr>
    </w:p>
    <w:p>
      <w:bookmarkStart w:id="3" w:name="head_3"/>
      <w:pPr>
        <w:pStyle w:val="1"/>
        <w:widowControl/>
      </w:pPr>
      <w:r>
        <w:t>제1장 서론</w:t>
      </w:r>
      <w:bookmarkEnd w:id="3"/>
    </w:p>
    <w:p>
      <w:bookmarkStart w:id="4" w:name="head_4"/>
      <w:pPr>
        <w:pStyle w:val="2"/>
        <w:widowControl/>
      </w:pPr>
      <w:r>
        <w:t>1.1 연구 배경과 문제 제기</w:t>
      </w:r>
      <w:bookmarkEnd w:id="4"/>
    </w:p>
    <w:p w14:paraId="45D19D1D" w14:textId="082B484E" w:rsidR="007A40C8" w:rsidRPr="007A40C8" w:rsidRDefault="007A40C8" w:rsidP="006B410F">
      <w:pPr>
        <w:rPr>
          <w:rFonts w:asciiTheme="majorHAnsi" w:eastAsiaTheme="minorEastAsia" w:hAnsiTheme="majorHAnsi" w:cstheme="majorHAnsi"/>
          <w:sz w:val="20"/>
          <w:szCs w:val="20"/>
        </w:rPr>
      </w:pPr>
      <w:r w:rsidRPr="007A40C8">
        <w:rPr>
          <w:rFonts w:asciiTheme="majorHAnsi" w:eastAsiaTheme="minorEastAsia" w:hAnsiTheme="majorHAnsi" w:cstheme="majorHAnsi" w:hint="eastAsia" w:ascii="NanumMyeongjo" w:hAnsi="NanumMyeongjo" w:eastAsia="NanumMyeongjo"/>
          <w:sz w:val="20"/>
          <w:szCs w:val="20"/>
        </w:rPr>
        <w:t>신용등급은</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기업의</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자금조달</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비용</w:t>
      </w:r>
      <w:r w:rsidR="007A7961">
        <w:rPr>
          <w:rFonts w:asciiTheme="majorHAnsi" w:eastAsiaTheme="minorEastAsia" w:hAnsiTheme="majorHAnsi" w:cstheme="majorHAnsi" w:hint="eastAsia" w:ascii="NanumMyeongjo" w:hAnsi="NanumMyeongjo" w:eastAsia="NanumMyeongjo"/>
          <w:sz w:val="20"/>
          <w:szCs w:val="20"/>
        </w:rPr>
        <w:t>,</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투자자</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접근성</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금융기관의</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의사결정과</w:t>
      </w:r>
      <w:r w:rsidRPr="007A40C8">
        <w:rPr>
          <w:rFonts w:asciiTheme="majorHAnsi" w:eastAsiaTheme="minorEastAsia" w:hAnsiTheme="majorHAnsi" w:cstheme="majorHAnsi" w:hint="eastAsia" w:ascii="NanumMyeongjo" w:hAnsi="NanumMyeongjo" w:eastAsia="NanumMyeongjo"/>
          <w:sz w:val="20"/>
          <w:szCs w:val="20"/>
        </w:rPr>
        <w:t xml:space="preserve"> </w:t>
      </w:r>
      <w:proofErr w:type="spellStart"/>
      <w:r w:rsidRPr="007A40C8">
        <w:rPr>
          <w:rFonts w:asciiTheme="majorHAnsi" w:eastAsiaTheme="minorEastAsia" w:hAnsiTheme="majorHAnsi" w:cstheme="majorHAnsi" w:hint="eastAsia" w:ascii="NanumMyeongjo" w:hAnsi="NanumMyeongjo" w:eastAsia="NanumMyeongjo"/>
          <w:sz w:val="20"/>
          <w:szCs w:val="20"/>
        </w:rPr>
        <w:t>신용리스크</w:t>
      </w:r>
      <w:proofErr w:type="spellEnd"/>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측정에</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영향을</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미치는</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핵심</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정보이다</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특히</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투자등급과</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투기등급</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사이의</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경계나</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금융기관</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내부등급</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체계의</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구간</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이동은</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기업의</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차입조건뿐</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아니라</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금융기관의</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한도</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설정</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가격결정과</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사후관리에도</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실질적인</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영향을</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줄</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수</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있다</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따라서</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기업의</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현재</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재무상태를</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바탕으로</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어떤</w:t>
      </w:r>
      <w:r w:rsidRPr="007A40C8">
        <w:rPr>
          <w:rFonts w:asciiTheme="majorHAnsi" w:eastAsiaTheme="minorEastAsia" w:hAnsiTheme="majorHAnsi" w:cstheme="majorHAnsi" w:hint="eastAsia" w:ascii="NanumMyeongjo" w:hAnsi="NanumMyeongjo" w:eastAsia="NanumMyeongjo"/>
          <w:sz w:val="20"/>
          <w:szCs w:val="20"/>
        </w:rPr>
        <w:t xml:space="preserve"> </w:t>
      </w:r>
      <w:proofErr w:type="spellStart"/>
      <w:r w:rsidRPr="007A40C8">
        <w:rPr>
          <w:rFonts w:asciiTheme="majorHAnsi" w:eastAsiaTheme="minorEastAsia" w:hAnsiTheme="majorHAnsi" w:cstheme="majorHAnsi" w:hint="eastAsia" w:ascii="NanumMyeongjo" w:hAnsi="NanumMyeongjo" w:eastAsia="NanumMyeongjo"/>
          <w:sz w:val="20"/>
          <w:szCs w:val="20"/>
        </w:rPr>
        <w:t>재무적·경영적</w:t>
      </w:r>
      <w:proofErr w:type="spellEnd"/>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행동이</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신용상태의</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개선과</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연결될</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수</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있는지를</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체계적으로</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검토하는</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것은</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기업과</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금융기관</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모두에</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중요한</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의사결정</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문제이다</w:t>
      </w:r>
      <w:r w:rsidRPr="007A40C8">
        <w:rPr>
          <w:rFonts w:asciiTheme="majorHAnsi" w:eastAsiaTheme="minorEastAsia" w:hAnsiTheme="majorHAnsi" w:cstheme="majorHAnsi" w:hint="eastAsia" w:ascii="NanumMyeongjo" w:hAnsi="NanumMyeongjo" w:eastAsia="NanumMyeongjo"/>
          <w:sz w:val="20"/>
          <w:szCs w:val="20"/>
        </w:rPr>
        <w:t>.</w:t>
      </w:r>
    </w:p>
    <w:p w14:paraId="15854D82" w14:textId="77777777" w:rsidR="007A40C8" w:rsidRPr="007A40C8" w:rsidRDefault="007A40C8" w:rsidP="007A40C8">
      <w:pPr>
        <w:rPr>
          <w:rFonts w:asciiTheme="majorHAnsi" w:eastAsiaTheme="minorEastAsia" w:hAnsiTheme="majorHAnsi" w:cstheme="majorHAnsi"/>
          <w:sz w:val="20"/>
          <w:szCs w:val="20"/>
        </w:rPr>
      </w:pPr>
      <w:r w:rsidRPr="007A40C8">
        <w:rPr>
          <w:rFonts w:asciiTheme="majorHAnsi" w:eastAsiaTheme="minorEastAsia" w:hAnsiTheme="majorHAnsi" w:cstheme="majorHAnsi" w:hint="eastAsia" w:ascii="NanumMyeongjo" w:hAnsi="NanumMyeongjo" w:eastAsia="NanumMyeongjo"/>
          <w:sz w:val="20"/>
          <w:szCs w:val="20"/>
        </w:rPr>
        <w:t>최근</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대규모</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언어모형</w:t>
      </w:r>
      <w:r w:rsidRPr="007A40C8">
        <w:rPr>
          <w:rFonts w:asciiTheme="majorHAnsi" w:eastAsiaTheme="minorEastAsia" w:hAnsiTheme="majorHAnsi" w:cstheme="majorHAnsi" w:hint="eastAsia" w:ascii="NanumMyeongjo" w:hAnsi="NanumMyeongjo" w:eastAsia="NanumMyeongjo"/>
          <w:sz w:val="20"/>
          <w:szCs w:val="20"/>
        </w:rPr>
        <w:t xml:space="preserve">(Large Language Model, </w:t>
      </w:r>
      <w:r w:rsidRPr="007A40C8">
        <w:rPr>
          <w:rFonts w:asciiTheme="majorHAnsi" w:eastAsiaTheme="minorEastAsia" w:hAnsiTheme="majorHAnsi" w:cstheme="majorHAnsi" w:hint="eastAsia" w:ascii="NanumMyeongjo" w:hAnsi="NanumMyeongjo" w:eastAsia="NanumMyeongjo"/>
          <w:sz w:val="20"/>
          <w:szCs w:val="20"/>
        </w:rPr>
        <w:t>이하</w:t>
      </w:r>
      <w:r w:rsidRPr="007A40C8">
        <w:rPr>
          <w:rFonts w:asciiTheme="majorHAnsi" w:eastAsiaTheme="minorEastAsia" w:hAnsiTheme="majorHAnsi" w:cstheme="majorHAnsi" w:hint="eastAsia" w:ascii="NanumMyeongjo" w:hAnsi="NanumMyeongjo" w:eastAsia="NanumMyeongjo"/>
          <w:sz w:val="20"/>
          <w:szCs w:val="20"/>
        </w:rPr>
        <w:t xml:space="preserve"> LLM)</w:t>
      </w:r>
      <w:r w:rsidRPr="007A40C8">
        <w:rPr>
          <w:rFonts w:asciiTheme="majorHAnsi" w:eastAsiaTheme="minorEastAsia" w:hAnsiTheme="majorHAnsi" w:cstheme="majorHAnsi" w:hint="eastAsia" w:ascii="NanumMyeongjo" w:hAnsi="NanumMyeongjo" w:eastAsia="NanumMyeongjo"/>
          <w:sz w:val="20"/>
          <w:szCs w:val="20"/>
        </w:rPr>
        <w:t>은</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문서</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요약이나</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질의응답을</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넘어</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기업의</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분석과</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의사결정을</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지원하는</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도구로</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활용</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범위를</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넓히고</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있다</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기업의</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재무정보와</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산업정보를</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해석하고</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위험요인을</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설명할</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수</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있다는</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점에서</w:t>
      </w:r>
      <w:r w:rsidRPr="007A40C8">
        <w:rPr>
          <w:rFonts w:asciiTheme="majorHAnsi" w:eastAsiaTheme="minorEastAsia" w:hAnsiTheme="majorHAnsi" w:cstheme="majorHAnsi" w:hint="eastAsia" w:ascii="NanumMyeongjo" w:hAnsi="NanumMyeongjo" w:eastAsia="NanumMyeongjo"/>
          <w:sz w:val="20"/>
          <w:szCs w:val="20"/>
        </w:rPr>
        <w:t>, LLM</w:t>
      </w:r>
      <w:r w:rsidRPr="007A40C8">
        <w:rPr>
          <w:rFonts w:asciiTheme="majorHAnsi" w:eastAsiaTheme="minorEastAsia" w:hAnsiTheme="majorHAnsi" w:cstheme="majorHAnsi" w:hint="eastAsia" w:ascii="NanumMyeongjo" w:hAnsi="NanumMyeongjo" w:eastAsia="NanumMyeongjo"/>
          <w:sz w:val="20"/>
          <w:szCs w:val="20"/>
        </w:rPr>
        <w:t>은</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신용위험의</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원인을</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진단하고</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개선방안을</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제안하는</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조언</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도구로도</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활용될</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가능성이</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있다</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전통적인</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신용평가모형이</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기업의</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신용위험을</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예측하거나</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분류하는</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데</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중점을</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두었다면</w:t>
      </w:r>
      <w:r w:rsidRPr="007A40C8">
        <w:rPr>
          <w:rFonts w:asciiTheme="majorHAnsi" w:eastAsiaTheme="minorEastAsia" w:hAnsiTheme="majorHAnsi" w:cstheme="majorHAnsi" w:hint="eastAsia" w:ascii="NanumMyeongjo" w:hAnsi="NanumMyeongjo" w:eastAsia="NanumMyeongjo"/>
          <w:sz w:val="20"/>
          <w:szCs w:val="20"/>
        </w:rPr>
        <w:t>, LLM</w:t>
      </w:r>
      <w:r w:rsidRPr="007A40C8">
        <w:rPr>
          <w:rFonts w:asciiTheme="majorHAnsi" w:eastAsiaTheme="minorEastAsia" w:hAnsiTheme="majorHAnsi" w:cstheme="majorHAnsi" w:hint="eastAsia" w:ascii="NanumMyeongjo" w:hAnsi="NanumMyeongjo" w:eastAsia="NanumMyeongjo"/>
          <w:sz w:val="20"/>
          <w:szCs w:val="20"/>
        </w:rPr>
        <w:t>은</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관측된</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위험요인을</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바탕으로</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구체적인</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행동방안을</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자연어로</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제안할</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수</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있다는</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차별성을</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가진다</w:t>
      </w:r>
      <w:r w:rsidRPr="007A40C8">
        <w:rPr>
          <w:rFonts w:asciiTheme="majorHAnsi" w:eastAsiaTheme="minorEastAsia" w:hAnsiTheme="majorHAnsi" w:cstheme="majorHAnsi" w:hint="eastAsia" w:ascii="NanumMyeongjo" w:hAnsi="NanumMyeongjo" w:eastAsia="NanumMyeongjo"/>
          <w:sz w:val="20"/>
          <w:szCs w:val="20"/>
        </w:rPr>
        <w:t>.</w:t>
      </w:r>
    </w:p>
    <w:p w14:paraId="35FB4440" w14:textId="77777777" w:rsidR="00A1132A" w:rsidRDefault="007A40C8" w:rsidP="007A40C8">
      <w:pPr>
        <w:rPr>
          <w:rFonts w:asciiTheme="majorHAnsi" w:eastAsiaTheme="minorEastAsia" w:hAnsiTheme="majorHAnsi" w:cstheme="majorHAnsi"/>
          <w:sz w:val="20"/>
          <w:szCs w:val="20"/>
        </w:rPr>
      </w:pPr>
      <w:r w:rsidRPr="007A40C8">
        <w:rPr>
          <w:rFonts w:asciiTheme="majorHAnsi" w:eastAsiaTheme="minorEastAsia" w:hAnsiTheme="majorHAnsi" w:cstheme="majorHAnsi" w:hint="eastAsia" w:ascii="NanumMyeongjo" w:hAnsi="NanumMyeongjo" w:eastAsia="NanumMyeongjo"/>
          <w:sz w:val="20"/>
          <w:szCs w:val="20"/>
        </w:rPr>
        <w:t>그러나</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기업</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신용등급</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개선권고는</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일반적인</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정보제공이나</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문서작성과</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동일하게</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다루기</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어렵다</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권고가</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기업의</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재무정책에</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반영될</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경우</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자금조달</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투자</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유동성과</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자본구조에</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영향을</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줄</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수</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있으며</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금융기관이</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이를</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여신심사나</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사후관리의</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보조수단으로</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활용할</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경우</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잘못된</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권고의</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실패비용도</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커질</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수</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있다</w:t>
      </w:r>
      <w:r w:rsidRPr="007A40C8">
        <w:rPr>
          <w:rFonts w:asciiTheme="majorHAnsi" w:eastAsiaTheme="minorEastAsia" w:hAnsiTheme="majorHAnsi" w:cstheme="majorHAnsi" w:hint="eastAsia" w:ascii="NanumMyeongjo" w:hAnsi="NanumMyeongjo" w:eastAsia="NanumMyeongjo"/>
          <w:sz w:val="20"/>
          <w:szCs w:val="20"/>
        </w:rPr>
        <w:t xml:space="preserve">. </w:t>
      </w:r>
    </w:p>
    <w:p w14:paraId="037624CB" w14:textId="77777777" w:rsidR="007A40C8" w:rsidRPr="007A40C8" w:rsidRDefault="007A40C8" w:rsidP="007A40C8">
      <w:pPr>
        <w:rPr>
          <w:rFonts w:asciiTheme="majorHAnsi" w:eastAsiaTheme="minorEastAsia" w:hAnsiTheme="majorHAnsi" w:cstheme="majorHAnsi"/>
          <w:sz w:val="20"/>
          <w:szCs w:val="20"/>
        </w:rPr>
      </w:pPr>
      <w:r w:rsidRPr="007A40C8">
        <w:rPr>
          <w:rFonts w:asciiTheme="majorHAnsi" w:eastAsiaTheme="minorEastAsia" w:hAnsiTheme="majorHAnsi" w:cstheme="majorHAnsi" w:hint="eastAsia" w:ascii="NanumMyeongjo" w:hAnsi="NanumMyeongjo" w:eastAsia="NanumMyeongjo"/>
          <w:sz w:val="20"/>
          <w:szCs w:val="20"/>
        </w:rPr>
        <w:t>따라서</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이</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영역에서</w:t>
      </w:r>
      <w:r w:rsidRPr="007A40C8">
        <w:rPr>
          <w:rFonts w:asciiTheme="majorHAnsi" w:eastAsiaTheme="minorEastAsia" w:hAnsiTheme="majorHAnsi" w:cstheme="majorHAnsi" w:hint="eastAsia" w:ascii="NanumMyeongjo" w:hAnsi="NanumMyeongjo" w:eastAsia="NanumMyeongjo"/>
          <w:sz w:val="20"/>
          <w:szCs w:val="20"/>
        </w:rPr>
        <w:t xml:space="preserve"> LLM</w:t>
      </w:r>
      <w:r w:rsidRPr="007A40C8">
        <w:rPr>
          <w:rFonts w:asciiTheme="majorHAnsi" w:eastAsiaTheme="minorEastAsia" w:hAnsiTheme="majorHAnsi" w:cstheme="majorHAnsi" w:hint="eastAsia" w:ascii="NanumMyeongjo" w:hAnsi="NanumMyeongjo" w:eastAsia="NanumMyeongjo"/>
          <w:sz w:val="20"/>
          <w:szCs w:val="20"/>
        </w:rPr>
        <w:t>을</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활용하려면</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출력의</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유창성이나</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설득력뿐</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아니라</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권고의</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신뢰성</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설명가능성</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제약</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준수와</w:t>
      </w:r>
      <w:r w:rsidRPr="007A40C8">
        <w:rPr>
          <w:rFonts w:asciiTheme="majorHAnsi" w:eastAsiaTheme="minorEastAsia" w:hAnsiTheme="majorHAnsi" w:cstheme="majorHAnsi" w:hint="eastAsia" w:ascii="NanumMyeongjo" w:hAnsi="NanumMyeongjo" w:eastAsia="NanumMyeongjo"/>
          <w:sz w:val="20"/>
          <w:szCs w:val="20"/>
        </w:rPr>
        <w:t xml:space="preserve"> </w:t>
      </w:r>
      <w:r w:rsidR="008C2588">
        <w:rPr>
          <w:rFonts w:asciiTheme="majorHAnsi" w:eastAsiaTheme="minorEastAsia" w:hAnsiTheme="majorHAnsi" w:cstheme="majorHAnsi" w:hint="eastAsia" w:ascii="NanumMyeongjo" w:hAnsi="NanumMyeongjo" w:eastAsia="NanumMyeongjo"/>
          <w:sz w:val="20"/>
          <w:szCs w:val="20"/>
        </w:rPr>
        <w:t>검증</w:t>
      </w:r>
      <w:r w:rsidRPr="007A40C8">
        <w:rPr>
          <w:rFonts w:asciiTheme="majorHAnsi" w:eastAsiaTheme="minorEastAsia" w:hAnsiTheme="majorHAnsi" w:cstheme="majorHAnsi" w:hint="eastAsia" w:ascii="NanumMyeongjo" w:hAnsi="NanumMyeongjo" w:eastAsia="NanumMyeongjo"/>
          <w:sz w:val="20"/>
          <w:szCs w:val="20"/>
        </w:rPr>
        <w:t>가능성을</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함께</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검토해야</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한다</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금융분야의</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인공지능</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거버넌스에서도</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의사결정</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지원</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도구에</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대한</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인간의</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최종</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책임</w:t>
      </w:r>
      <w:r w:rsidRPr="007A40C8">
        <w:rPr>
          <w:rFonts w:asciiTheme="majorHAnsi" w:eastAsiaTheme="minorEastAsia" w:hAnsiTheme="majorHAnsi" w:cstheme="majorHAnsi" w:hint="eastAsia" w:ascii="NanumMyeongjo" w:hAnsi="NanumMyeongjo" w:eastAsia="NanumMyeongjo"/>
          <w:sz w:val="20"/>
          <w:szCs w:val="20"/>
        </w:rPr>
        <w:t xml:space="preserve">, </w:t>
      </w:r>
      <w:proofErr w:type="spellStart"/>
      <w:r w:rsidRPr="007A40C8">
        <w:rPr>
          <w:rFonts w:asciiTheme="majorHAnsi" w:eastAsiaTheme="minorEastAsia" w:hAnsiTheme="majorHAnsi" w:cstheme="majorHAnsi" w:hint="eastAsia" w:ascii="NanumMyeongjo" w:hAnsi="NanumMyeongjo" w:eastAsia="NanumMyeongjo"/>
          <w:sz w:val="20"/>
          <w:szCs w:val="20"/>
        </w:rPr>
        <w:t>모델리스크</w:t>
      </w:r>
      <w:proofErr w:type="spellEnd"/>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관리와</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지속적인</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검증이</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강조되는</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이유가</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여기에</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있다</w:t>
      </w:r>
      <w:r w:rsidRPr="007A40C8">
        <w:rPr>
          <w:rFonts w:asciiTheme="majorHAnsi" w:eastAsiaTheme="minorEastAsia" w:hAnsiTheme="majorHAnsi" w:cstheme="majorHAnsi" w:hint="eastAsia" w:ascii="NanumMyeongjo" w:hAnsi="NanumMyeongjo" w:eastAsia="NanumMyeongjo"/>
          <w:sz w:val="20"/>
          <w:szCs w:val="20"/>
        </w:rPr>
        <w:t>.</w:t>
      </w:r>
    </w:p>
    <w:p w14:paraId="666E358B" w14:textId="77777777" w:rsidR="007A40C8" w:rsidRPr="007A40C8" w:rsidRDefault="007A40C8" w:rsidP="007A40C8">
      <w:pPr>
        <w:rPr>
          <w:rFonts w:asciiTheme="majorHAnsi" w:eastAsiaTheme="minorEastAsia" w:hAnsiTheme="majorHAnsi" w:cstheme="majorHAnsi"/>
          <w:sz w:val="20"/>
          <w:szCs w:val="20"/>
        </w:rPr>
      </w:pPr>
      <w:r w:rsidRPr="007A40C8">
        <w:rPr>
          <w:rFonts w:asciiTheme="majorHAnsi" w:eastAsiaTheme="minorEastAsia" w:hAnsiTheme="majorHAnsi" w:cstheme="majorHAnsi" w:hint="eastAsia" w:ascii="NanumMyeongjo" w:hAnsi="NanumMyeongjo" w:eastAsia="NanumMyeongjo"/>
          <w:sz w:val="20"/>
          <w:szCs w:val="20"/>
        </w:rPr>
        <w:t>본</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연구에서</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기업</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신용등급</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개선권고는</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기업의</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현재</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재무상태를</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바탕으로</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신용상태</w:t>
      </w:r>
      <w:r w:rsidR="00A1132A">
        <w:rPr>
          <w:rFonts w:asciiTheme="majorHAnsi" w:eastAsiaTheme="minorEastAsia" w:hAnsiTheme="majorHAnsi" w:cstheme="majorHAnsi" w:hint="eastAsia" w:ascii="NanumMyeongjo" w:hAnsi="NanumMyeongjo" w:eastAsia="NanumMyeongjo"/>
          <w:sz w:val="20"/>
          <w:szCs w:val="20"/>
        </w:rPr>
        <w:t>를</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개선</w:t>
      </w:r>
      <w:r w:rsidR="00A1132A">
        <w:rPr>
          <w:rFonts w:asciiTheme="majorHAnsi" w:eastAsiaTheme="minorEastAsia" w:hAnsiTheme="majorHAnsi" w:cstheme="majorHAnsi" w:hint="eastAsia" w:ascii="NanumMyeongjo" w:hAnsi="NanumMyeongjo" w:eastAsia="NanumMyeongjo"/>
          <w:sz w:val="20"/>
          <w:szCs w:val="20"/>
        </w:rPr>
        <w:t>할</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수</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있는</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재무행동의</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방향과</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규모를</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제안하는</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것으로</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정의한다</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이러한</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권고는</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단일</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재무</w:t>
      </w:r>
      <w:r w:rsidR="00A1132A">
        <w:rPr>
          <w:rFonts w:asciiTheme="majorHAnsi" w:eastAsiaTheme="minorEastAsia" w:hAnsiTheme="majorHAnsi" w:cstheme="majorHAnsi" w:hint="eastAsia" w:ascii="NanumMyeongjo" w:hAnsi="NanumMyeongjo" w:eastAsia="NanumMyeongjo"/>
          <w:sz w:val="20"/>
          <w:szCs w:val="20"/>
        </w:rPr>
        <w:t>지표가</w:t>
      </w:r>
      <w:r w:rsidR="00A1132A">
        <w:rPr>
          <w:rFonts w:asciiTheme="majorHAnsi" w:eastAsiaTheme="minorEastAsia" w:hAnsiTheme="majorHAnsi" w:cstheme="majorHAnsi" w:hint="eastAsia" w:ascii="NanumMyeongjo" w:hAnsi="NanumMyeongjo" w:eastAsia="NanumMyeongjo"/>
          <w:sz w:val="20"/>
          <w:szCs w:val="20"/>
        </w:rPr>
        <w:t xml:space="preserve"> </w:t>
      </w:r>
      <w:r w:rsidR="00A1132A">
        <w:rPr>
          <w:rFonts w:asciiTheme="majorHAnsi" w:eastAsiaTheme="minorEastAsia" w:hAnsiTheme="majorHAnsi" w:cstheme="majorHAnsi" w:hint="eastAsia" w:ascii="NanumMyeongjo" w:hAnsi="NanumMyeongjo" w:eastAsia="NanumMyeongjo"/>
          <w:sz w:val="20"/>
          <w:szCs w:val="20"/>
        </w:rPr>
        <w:t>아닌</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부채</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투자</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운전자본과</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비용구조에</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관한</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복수의</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행동</w:t>
      </w:r>
      <w:r w:rsidR="00A1132A">
        <w:rPr>
          <w:rFonts w:asciiTheme="majorHAnsi" w:eastAsiaTheme="minorEastAsia" w:hAnsiTheme="majorHAnsi" w:cstheme="majorHAnsi" w:hint="eastAsia" w:ascii="NanumMyeongjo" w:hAnsi="NanumMyeongjo" w:eastAsia="NanumMyeongjo"/>
          <w:sz w:val="20"/>
          <w:szCs w:val="20"/>
        </w:rPr>
        <w:t>을</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동시에</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제안</w:t>
      </w:r>
      <w:r w:rsidR="00A1132A">
        <w:rPr>
          <w:rFonts w:asciiTheme="majorHAnsi" w:eastAsiaTheme="minorEastAsia" w:hAnsiTheme="majorHAnsi" w:cstheme="majorHAnsi" w:hint="eastAsia" w:ascii="NanumMyeongjo" w:hAnsi="NanumMyeongjo" w:eastAsia="NanumMyeongjo"/>
          <w:sz w:val="20"/>
          <w:szCs w:val="20"/>
        </w:rPr>
        <w:t>할</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수</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있고</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한</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항목의</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개선이</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다른</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항목의</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악화로</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이어질</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수도</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있다</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따라</w:t>
      </w:r>
      <w:r w:rsidR="00A1132A">
        <w:rPr>
          <w:rFonts w:asciiTheme="majorHAnsi" w:eastAsiaTheme="minorEastAsia" w:hAnsiTheme="majorHAnsi" w:cstheme="majorHAnsi" w:hint="eastAsia" w:ascii="NanumMyeongjo" w:hAnsi="NanumMyeongjo" w:eastAsia="NanumMyeongjo"/>
          <w:sz w:val="20"/>
          <w:szCs w:val="20"/>
        </w:rPr>
        <w:t>서</w:t>
      </w:r>
      <w:r w:rsidRPr="007A40C8">
        <w:rPr>
          <w:rFonts w:asciiTheme="majorHAnsi" w:eastAsiaTheme="minorEastAsia" w:hAnsiTheme="majorHAnsi" w:cstheme="majorHAnsi" w:hint="eastAsia" w:ascii="NanumMyeongjo" w:hAnsi="NanumMyeongjo" w:eastAsia="NanumMyeongjo"/>
          <w:sz w:val="20"/>
          <w:szCs w:val="20"/>
        </w:rPr>
        <w:t xml:space="preserve"> </w:t>
      </w:r>
      <w:r w:rsidR="00A1132A">
        <w:rPr>
          <w:rFonts w:asciiTheme="majorHAnsi" w:eastAsiaTheme="minorEastAsia" w:hAnsiTheme="majorHAnsi" w:cstheme="majorHAnsi" w:hint="eastAsia" w:ascii="NanumMyeongjo" w:hAnsi="NanumMyeongjo" w:eastAsia="NanumMyeongjo"/>
          <w:sz w:val="20"/>
          <w:szCs w:val="20"/>
        </w:rPr>
        <w:t>LLM</w:t>
      </w:r>
      <w:r w:rsidR="00A1132A">
        <w:rPr>
          <w:rFonts w:asciiTheme="majorHAnsi" w:eastAsiaTheme="minorEastAsia" w:hAnsiTheme="majorHAnsi" w:cstheme="majorHAnsi" w:hint="eastAsia" w:ascii="NanumMyeongjo" w:hAnsi="NanumMyeongjo" w:eastAsia="NanumMyeongjo"/>
          <w:sz w:val="20"/>
          <w:szCs w:val="20"/>
        </w:rPr>
        <w:t>의</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권고는</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자연어</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설명의</w:t>
      </w:r>
      <w:r w:rsidRPr="007A40C8">
        <w:rPr>
          <w:rFonts w:asciiTheme="majorHAnsi" w:eastAsiaTheme="minorEastAsia" w:hAnsiTheme="majorHAnsi" w:cstheme="majorHAnsi" w:hint="eastAsia" w:ascii="NanumMyeongjo" w:hAnsi="NanumMyeongjo" w:eastAsia="NanumMyeongjo"/>
          <w:sz w:val="20"/>
          <w:szCs w:val="20"/>
        </w:rPr>
        <w:t xml:space="preserve"> </w:t>
      </w:r>
      <w:proofErr w:type="spellStart"/>
      <w:r w:rsidRPr="007A40C8">
        <w:rPr>
          <w:rFonts w:asciiTheme="majorHAnsi" w:eastAsiaTheme="minorEastAsia" w:hAnsiTheme="majorHAnsi" w:cstheme="majorHAnsi" w:hint="eastAsia" w:ascii="NanumMyeongjo" w:hAnsi="NanumMyeongjo" w:eastAsia="NanumMyeongjo"/>
          <w:sz w:val="20"/>
          <w:szCs w:val="20"/>
        </w:rPr>
        <w:t>생성이라기보다</w:t>
      </w:r>
      <w:proofErr w:type="spellEnd"/>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제약된</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다차원</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행동공간에서</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행동의</w:t>
      </w:r>
      <w:r w:rsidRPr="007A40C8">
        <w:rPr>
          <w:rFonts w:asciiTheme="majorHAnsi" w:eastAsiaTheme="minorEastAsia" w:hAnsiTheme="majorHAnsi" w:cstheme="majorHAnsi" w:hint="eastAsia" w:ascii="NanumMyeongjo" w:hAnsi="NanumMyeongjo" w:eastAsia="NanumMyeongjo"/>
          <w:sz w:val="20"/>
          <w:szCs w:val="20"/>
        </w:rPr>
        <w:t xml:space="preserve"> </w:t>
      </w:r>
      <w:proofErr w:type="spellStart"/>
      <w:r w:rsidRPr="007A40C8">
        <w:rPr>
          <w:rFonts w:asciiTheme="majorHAnsi" w:eastAsiaTheme="minorEastAsia" w:hAnsiTheme="majorHAnsi" w:cstheme="majorHAnsi" w:hint="eastAsia" w:ascii="NanumMyeongjo" w:hAnsi="NanumMyeongjo" w:eastAsia="NanumMyeongjo"/>
          <w:sz w:val="20"/>
          <w:szCs w:val="20"/>
        </w:rPr>
        <w:t>방향·규모·조합을</w:t>
      </w:r>
      <w:proofErr w:type="spellEnd"/>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선택하는</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정책</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문제로</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이해할</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필요가</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있다</w:t>
      </w:r>
      <w:r w:rsidRPr="007A40C8">
        <w:rPr>
          <w:rFonts w:asciiTheme="majorHAnsi" w:eastAsiaTheme="minorEastAsia" w:hAnsiTheme="majorHAnsi" w:cstheme="majorHAnsi" w:hint="eastAsia" w:ascii="NanumMyeongjo" w:hAnsi="NanumMyeongjo" w:eastAsia="NanumMyeongjo"/>
          <w:sz w:val="20"/>
          <w:szCs w:val="20"/>
        </w:rPr>
        <w:t>.</w:t>
      </w:r>
    </w:p>
    <w:p w14:paraId="2D08FF5F" w14:textId="77777777" w:rsidR="007A40C8" w:rsidRPr="007A40C8" w:rsidRDefault="007A40C8" w:rsidP="007A40C8">
      <w:pPr>
        <w:rPr>
          <w:rFonts w:asciiTheme="majorHAnsi" w:eastAsiaTheme="minorEastAsia" w:hAnsiTheme="majorHAnsi" w:cstheme="majorHAnsi"/>
          <w:sz w:val="20"/>
          <w:szCs w:val="20"/>
        </w:rPr>
      </w:pPr>
      <w:r w:rsidRPr="007A40C8">
        <w:rPr>
          <w:rFonts w:asciiTheme="majorHAnsi" w:eastAsiaTheme="minorEastAsia" w:hAnsiTheme="majorHAnsi" w:cstheme="majorHAnsi" w:hint="eastAsia" w:ascii="NanumMyeongjo" w:hAnsi="NanumMyeongjo" w:eastAsia="NanumMyeongjo"/>
          <w:sz w:val="20"/>
          <w:szCs w:val="20"/>
        </w:rPr>
        <w:t>문제는</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이러한</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권고의</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품질을</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직접</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관찰하기</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어렵다는</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데</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있다</w:t>
      </w:r>
      <w:r w:rsidRPr="007A40C8">
        <w:rPr>
          <w:rFonts w:asciiTheme="majorHAnsi" w:eastAsiaTheme="minorEastAsia" w:hAnsiTheme="majorHAnsi" w:cstheme="majorHAnsi" w:hint="eastAsia" w:ascii="NanumMyeongjo" w:hAnsi="NanumMyeongjo" w:eastAsia="NanumMyeongjo"/>
          <w:sz w:val="20"/>
          <w:szCs w:val="20"/>
        </w:rPr>
        <w:t>. LLM</w:t>
      </w:r>
      <w:r w:rsidRPr="007A40C8">
        <w:rPr>
          <w:rFonts w:asciiTheme="majorHAnsi" w:eastAsiaTheme="minorEastAsia" w:hAnsiTheme="majorHAnsi" w:cstheme="majorHAnsi" w:hint="eastAsia" w:ascii="NanumMyeongjo" w:hAnsi="NanumMyeongjo" w:eastAsia="NanumMyeongjo"/>
          <w:sz w:val="20"/>
          <w:szCs w:val="20"/>
        </w:rPr>
        <w:t>이</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제안한</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재무행동을</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실제</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기업에</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임의로</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적용하고</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이후</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신용등급의</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변화를</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관찰하는</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실험은</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현실적으로</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수행할</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수</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없다</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또한</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생성된</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권고를</w:t>
      </w:r>
      <w:r w:rsidRPr="007A40C8">
        <w:rPr>
          <w:rFonts w:asciiTheme="majorHAnsi" w:eastAsiaTheme="minorEastAsia" w:hAnsiTheme="majorHAnsi" w:cstheme="majorHAnsi" w:hint="eastAsia" w:ascii="NanumMyeongjo" w:hAnsi="NanumMyeongjo" w:eastAsia="NanumMyeongjo"/>
          <w:sz w:val="20"/>
          <w:szCs w:val="20"/>
        </w:rPr>
        <w:t xml:space="preserve"> </w:t>
      </w:r>
      <w:r w:rsidR="00A81A89">
        <w:rPr>
          <w:rFonts w:asciiTheme="majorHAnsi" w:eastAsiaTheme="minorEastAsia" w:hAnsiTheme="majorHAnsi" w:cstheme="majorHAnsi" w:hint="eastAsia" w:ascii="NanumMyeongjo" w:hAnsi="NanumMyeongjo" w:eastAsia="NanumMyeongjo"/>
          <w:sz w:val="20"/>
          <w:szCs w:val="20"/>
        </w:rPr>
        <w:t>실제</w:t>
      </w:r>
      <w:r w:rsidR="00A81A89">
        <w:rPr>
          <w:rFonts w:asciiTheme="majorHAnsi" w:eastAsiaTheme="minorEastAsia" w:hAnsiTheme="majorHAnsi" w:cstheme="majorHAnsi" w:hint="eastAsia" w:ascii="NanumMyeongjo" w:hAnsi="NanumMyeongjo" w:eastAsia="NanumMyeongjo"/>
          <w:sz w:val="20"/>
          <w:szCs w:val="20"/>
        </w:rPr>
        <w:t xml:space="preserve"> </w:t>
      </w:r>
      <w:r w:rsidR="00A81A89">
        <w:rPr>
          <w:rFonts w:asciiTheme="majorHAnsi" w:eastAsiaTheme="minorEastAsia" w:hAnsiTheme="majorHAnsi" w:cstheme="majorHAnsi" w:hint="eastAsia" w:ascii="NanumMyeongjo" w:hAnsi="NanumMyeongjo" w:eastAsia="NanumMyeongjo"/>
          <w:sz w:val="20"/>
          <w:szCs w:val="20"/>
        </w:rPr>
        <w:t>신용평가사에서</w:t>
      </w:r>
      <w:r w:rsidR="00A81A89">
        <w:rPr>
          <w:rFonts w:asciiTheme="majorHAnsi" w:eastAsiaTheme="minorEastAsia" w:hAnsiTheme="majorHAnsi" w:cstheme="majorHAnsi" w:hint="eastAsia" w:ascii="NanumMyeongjo" w:hAnsi="NanumMyeongjo" w:eastAsia="NanumMyeongjo"/>
          <w:sz w:val="20"/>
          <w:szCs w:val="20"/>
        </w:rPr>
        <w:t xml:space="preserve"> </w:t>
      </w:r>
      <w:r w:rsidR="00A81A89">
        <w:rPr>
          <w:rFonts w:asciiTheme="majorHAnsi" w:eastAsiaTheme="minorEastAsia" w:hAnsiTheme="majorHAnsi" w:cstheme="majorHAnsi" w:hint="eastAsia" w:ascii="NanumMyeongjo" w:hAnsi="NanumMyeongjo" w:eastAsia="NanumMyeongjo"/>
          <w:sz w:val="20"/>
          <w:szCs w:val="20"/>
        </w:rPr>
        <w:t>사용하는</w:t>
      </w:r>
      <w:r w:rsidR="00A81A89">
        <w:rPr>
          <w:rFonts w:asciiTheme="majorHAnsi" w:eastAsiaTheme="minorEastAsia" w:hAnsiTheme="majorHAnsi" w:cstheme="majorHAnsi" w:hint="eastAsia" w:ascii="NanumMyeongjo" w:hAnsi="NanumMyeongjo" w:eastAsia="NanumMyeongjo"/>
          <w:sz w:val="20"/>
          <w:szCs w:val="20"/>
        </w:rPr>
        <w:t xml:space="preserve"> </w:t>
      </w:r>
      <w:r w:rsidR="00A81A89">
        <w:rPr>
          <w:rFonts w:asciiTheme="majorHAnsi" w:eastAsiaTheme="minorEastAsia" w:hAnsiTheme="majorHAnsi" w:cstheme="majorHAnsi" w:hint="eastAsia" w:ascii="NanumMyeongjo" w:hAnsi="NanumMyeongjo" w:eastAsia="NanumMyeongjo"/>
          <w:sz w:val="20"/>
          <w:szCs w:val="20"/>
        </w:rPr>
        <w:t>신용평가모형에</w:t>
      </w:r>
      <w:r w:rsidR="00A81A89">
        <w:rPr>
          <w:rFonts w:asciiTheme="majorHAnsi" w:eastAsiaTheme="minorEastAsia" w:hAnsiTheme="majorHAnsi" w:cstheme="majorHAnsi" w:hint="eastAsia" w:ascii="NanumMyeongjo" w:hAnsi="NanumMyeongjo" w:eastAsia="NanumMyeongjo"/>
          <w:sz w:val="20"/>
          <w:szCs w:val="20"/>
        </w:rPr>
        <w:t xml:space="preserve"> </w:t>
      </w:r>
      <w:r w:rsidR="00A81A89">
        <w:rPr>
          <w:rFonts w:asciiTheme="majorHAnsi" w:eastAsiaTheme="minorEastAsia" w:hAnsiTheme="majorHAnsi" w:cstheme="majorHAnsi" w:hint="eastAsia" w:ascii="NanumMyeongjo" w:hAnsi="NanumMyeongjo" w:eastAsia="NanumMyeongjo"/>
          <w:sz w:val="20"/>
          <w:szCs w:val="20"/>
        </w:rPr>
        <w:t>입력하여</w:t>
      </w:r>
      <w:r w:rsidR="00A81A89">
        <w:rPr>
          <w:rFonts w:asciiTheme="majorHAnsi" w:eastAsiaTheme="minorEastAsia" w:hAnsiTheme="majorHAnsi" w:cstheme="majorHAnsi" w:hint="eastAsia" w:ascii="NanumMyeongjo" w:hAnsi="NanumMyeongjo" w:eastAsia="NanumMyeongjo"/>
          <w:sz w:val="20"/>
          <w:szCs w:val="20"/>
        </w:rPr>
        <w:t xml:space="preserve"> </w:t>
      </w:r>
      <w:r w:rsidR="00A81A89">
        <w:rPr>
          <w:rFonts w:asciiTheme="majorHAnsi" w:eastAsiaTheme="minorEastAsia" w:hAnsiTheme="majorHAnsi" w:cstheme="majorHAnsi" w:hint="eastAsia" w:ascii="NanumMyeongjo" w:hAnsi="NanumMyeongjo" w:eastAsia="NanumMyeongjo"/>
          <w:sz w:val="20"/>
          <w:szCs w:val="20"/>
        </w:rPr>
        <w:t>가상의</w:t>
      </w:r>
      <w:r w:rsidR="00A81A89">
        <w:rPr>
          <w:rFonts w:asciiTheme="majorHAnsi" w:eastAsiaTheme="minorEastAsia" w:hAnsiTheme="majorHAnsi" w:cstheme="majorHAnsi" w:hint="eastAsia" w:ascii="NanumMyeongjo" w:hAnsi="NanumMyeongjo" w:eastAsia="NanumMyeongjo"/>
          <w:sz w:val="20"/>
          <w:szCs w:val="20"/>
        </w:rPr>
        <w:t xml:space="preserve"> </w:t>
      </w:r>
      <w:r w:rsidR="00A81A89">
        <w:rPr>
          <w:rFonts w:asciiTheme="majorHAnsi" w:eastAsiaTheme="minorEastAsia" w:hAnsiTheme="majorHAnsi" w:cstheme="majorHAnsi" w:hint="eastAsia" w:ascii="NanumMyeongjo" w:hAnsi="NanumMyeongjo" w:eastAsia="NanumMyeongjo"/>
          <w:sz w:val="20"/>
          <w:szCs w:val="20"/>
        </w:rPr>
        <w:t>신용등급을</w:t>
      </w:r>
      <w:r w:rsidR="00A81A89">
        <w:rPr>
          <w:rFonts w:asciiTheme="majorHAnsi" w:eastAsiaTheme="minorEastAsia" w:hAnsiTheme="majorHAnsi" w:cstheme="majorHAnsi" w:hint="eastAsia" w:ascii="NanumMyeongjo" w:hAnsi="NanumMyeongjo" w:eastAsia="NanumMyeongjo"/>
          <w:sz w:val="20"/>
          <w:szCs w:val="20"/>
        </w:rPr>
        <w:t xml:space="preserve"> </w:t>
      </w:r>
      <w:r w:rsidR="00A81A89">
        <w:rPr>
          <w:rFonts w:asciiTheme="majorHAnsi" w:eastAsiaTheme="minorEastAsia" w:hAnsiTheme="majorHAnsi" w:cstheme="majorHAnsi" w:hint="eastAsia" w:ascii="NanumMyeongjo" w:hAnsi="NanumMyeongjo" w:eastAsia="NanumMyeongjo"/>
          <w:sz w:val="20"/>
          <w:szCs w:val="20"/>
        </w:rPr>
        <w:t>산출할</w:t>
      </w:r>
      <w:r w:rsidR="00A81A89">
        <w:rPr>
          <w:rFonts w:asciiTheme="majorHAnsi" w:eastAsiaTheme="minorEastAsia" w:hAnsiTheme="majorHAnsi" w:cstheme="majorHAnsi" w:hint="eastAsia" w:ascii="NanumMyeongjo" w:hAnsi="NanumMyeongjo" w:eastAsia="NanumMyeongjo"/>
          <w:sz w:val="20"/>
          <w:szCs w:val="20"/>
        </w:rPr>
        <w:t xml:space="preserve"> </w:t>
      </w:r>
      <w:r w:rsidR="00A81A89">
        <w:rPr>
          <w:rFonts w:asciiTheme="majorHAnsi" w:eastAsiaTheme="minorEastAsia" w:hAnsiTheme="majorHAnsi" w:cstheme="majorHAnsi" w:hint="eastAsia" w:ascii="NanumMyeongjo" w:hAnsi="NanumMyeongjo" w:eastAsia="NanumMyeongjo"/>
          <w:sz w:val="20"/>
          <w:szCs w:val="20"/>
        </w:rPr>
        <w:t>수</w:t>
      </w:r>
      <w:r w:rsidR="00A81A89">
        <w:rPr>
          <w:rFonts w:asciiTheme="majorHAnsi" w:eastAsiaTheme="minorEastAsia" w:hAnsiTheme="majorHAnsi" w:cstheme="majorHAnsi" w:hint="eastAsia" w:ascii="NanumMyeongjo" w:hAnsi="NanumMyeongjo" w:eastAsia="NanumMyeongjo"/>
          <w:sz w:val="20"/>
          <w:szCs w:val="20"/>
        </w:rPr>
        <w:t xml:space="preserve"> </w:t>
      </w:r>
      <w:r w:rsidR="00A81A89">
        <w:rPr>
          <w:rFonts w:asciiTheme="majorHAnsi" w:eastAsiaTheme="minorEastAsia" w:hAnsiTheme="majorHAnsi" w:cstheme="majorHAnsi" w:hint="eastAsia" w:ascii="NanumMyeongjo" w:hAnsi="NanumMyeongjo" w:eastAsia="NanumMyeongjo"/>
          <w:sz w:val="20"/>
          <w:szCs w:val="20"/>
        </w:rPr>
        <w:t>없다</w:t>
      </w:r>
      <w:r w:rsidR="00A81A89">
        <w:rPr>
          <w:rFonts w:asciiTheme="majorHAnsi" w:eastAsiaTheme="minorEastAsia" w:hAnsiTheme="majorHAnsi" w:cstheme="majorHAnsi" w:hint="eastAsia" w:ascii="NanumMyeongjo" w:hAnsi="NanumMyeongjo" w:eastAsia="NanumMyeongjo"/>
          <w:sz w:val="20"/>
          <w:szCs w:val="20"/>
        </w:rPr>
        <w:t>.</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따라서</w:t>
      </w:r>
      <w:r w:rsidRPr="007A40C8">
        <w:rPr>
          <w:rFonts w:asciiTheme="majorHAnsi" w:eastAsiaTheme="minorEastAsia" w:hAnsiTheme="majorHAnsi" w:cstheme="majorHAnsi" w:hint="eastAsia" w:ascii="NanumMyeongjo" w:hAnsi="NanumMyeongjo" w:eastAsia="NanumMyeongjo"/>
          <w:sz w:val="20"/>
          <w:szCs w:val="20"/>
        </w:rPr>
        <w:t xml:space="preserve"> LLM </w:t>
      </w:r>
      <w:r w:rsidRPr="007A40C8">
        <w:rPr>
          <w:rFonts w:asciiTheme="majorHAnsi" w:eastAsiaTheme="minorEastAsia" w:hAnsiTheme="majorHAnsi" w:cstheme="majorHAnsi" w:hint="eastAsia" w:ascii="NanumMyeongjo" w:hAnsi="NanumMyeongjo" w:eastAsia="NanumMyeongjo"/>
          <w:sz w:val="20"/>
          <w:szCs w:val="20"/>
        </w:rPr>
        <w:t>권고</w:t>
      </w:r>
      <w:r w:rsidR="00A81A89">
        <w:rPr>
          <w:rFonts w:asciiTheme="majorHAnsi" w:eastAsiaTheme="minorEastAsia" w:hAnsiTheme="majorHAnsi" w:cstheme="majorHAnsi" w:hint="eastAsia" w:ascii="NanumMyeongjo" w:hAnsi="NanumMyeongjo" w:eastAsia="NanumMyeongjo"/>
          <w:sz w:val="20"/>
          <w:szCs w:val="20"/>
        </w:rPr>
        <w:t>를</w:t>
      </w:r>
      <w:r w:rsidR="00A81A89">
        <w:rPr>
          <w:rFonts w:asciiTheme="majorHAnsi" w:eastAsiaTheme="minorEastAsia" w:hAnsiTheme="majorHAnsi" w:cstheme="majorHAnsi" w:hint="eastAsia" w:ascii="NanumMyeongjo" w:hAnsi="NanumMyeongjo" w:eastAsia="NanumMyeongjo"/>
          <w:sz w:val="20"/>
          <w:szCs w:val="20"/>
        </w:rPr>
        <w:t xml:space="preserve"> </w:t>
      </w:r>
      <w:r w:rsidR="00A81A89">
        <w:rPr>
          <w:rFonts w:asciiTheme="majorHAnsi" w:eastAsiaTheme="minorEastAsia" w:hAnsiTheme="majorHAnsi" w:cstheme="majorHAnsi" w:hint="eastAsia" w:ascii="NanumMyeongjo" w:hAnsi="NanumMyeongjo" w:eastAsia="NanumMyeongjo"/>
          <w:sz w:val="20"/>
          <w:szCs w:val="20"/>
        </w:rPr>
        <w:t>평가할</w:t>
      </w:r>
      <w:r w:rsidR="00A81A89">
        <w:rPr>
          <w:rFonts w:asciiTheme="majorHAnsi" w:eastAsiaTheme="minorEastAsia" w:hAnsiTheme="majorHAnsi" w:cstheme="majorHAnsi" w:hint="eastAsia" w:ascii="NanumMyeongjo" w:hAnsi="NanumMyeongjo" w:eastAsia="NanumMyeongjo"/>
          <w:sz w:val="20"/>
          <w:szCs w:val="20"/>
        </w:rPr>
        <w:t xml:space="preserve"> </w:t>
      </w:r>
      <w:r w:rsidR="00A81A89">
        <w:rPr>
          <w:rFonts w:asciiTheme="majorHAnsi" w:eastAsiaTheme="minorEastAsia" w:hAnsiTheme="majorHAnsi" w:cstheme="majorHAnsi" w:hint="eastAsia" w:ascii="NanumMyeongjo" w:hAnsi="NanumMyeongjo" w:eastAsia="NanumMyeongjo"/>
          <w:sz w:val="20"/>
          <w:szCs w:val="20"/>
        </w:rPr>
        <w:t>기반</w:t>
      </w:r>
      <w:r w:rsidR="00A81A89">
        <w:rPr>
          <w:rFonts w:asciiTheme="majorHAnsi" w:eastAsiaTheme="minorEastAsia" w:hAnsiTheme="majorHAnsi" w:cstheme="majorHAnsi" w:hint="eastAsia" w:ascii="NanumMyeongjo" w:hAnsi="NanumMyeongjo" w:eastAsia="NanumMyeongjo"/>
          <w:sz w:val="20"/>
          <w:szCs w:val="20"/>
        </w:rPr>
        <w:t>(Evaluation Framework)</w:t>
      </w:r>
      <w:r w:rsidR="00A81A89">
        <w:rPr>
          <w:rFonts w:asciiTheme="majorHAnsi" w:eastAsiaTheme="minorEastAsia" w:hAnsiTheme="majorHAnsi" w:cstheme="majorHAnsi" w:hint="eastAsia" w:ascii="NanumMyeongjo" w:hAnsi="NanumMyeongjo" w:eastAsia="NanumMyeongjo"/>
          <w:sz w:val="20"/>
          <w:szCs w:val="20"/>
        </w:rPr>
        <w:t>의</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설계</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자체가</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선행되어야</w:t>
      </w:r>
      <w:r w:rsidRPr="007A40C8">
        <w:rPr>
          <w:rFonts w:asciiTheme="majorHAnsi" w:eastAsiaTheme="minorEastAsia" w:hAnsiTheme="majorHAnsi" w:cstheme="majorHAnsi" w:hint="eastAsia" w:ascii="NanumMyeongjo" w:hAnsi="NanumMyeongjo" w:eastAsia="NanumMyeongjo"/>
          <w:sz w:val="20"/>
          <w:szCs w:val="20"/>
        </w:rPr>
        <w:t xml:space="preserve"> </w:t>
      </w:r>
      <w:r w:rsidRPr="007A40C8">
        <w:rPr>
          <w:rFonts w:asciiTheme="majorHAnsi" w:eastAsiaTheme="minorEastAsia" w:hAnsiTheme="majorHAnsi" w:cstheme="majorHAnsi" w:hint="eastAsia" w:ascii="NanumMyeongjo" w:hAnsi="NanumMyeongjo" w:eastAsia="NanumMyeongjo"/>
          <w:sz w:val="20"/>
          <w:szCs w:val="20"/>
        </w:rPr>
        <w:t>한다</w:t>
      </w:r>
      <w:r w:rsidRPr="007A40C8">
        <w:rPr>
          <w:rFonts w:asciiTheme="majorHAnsi" w:eastAsiaTheme="minorEastAsia" w:hAnsiTheme="majorHAnsi" w:cstheme="majorHAnsi" w:hint="eastAsia" w:ascii="NanumMyeongjo" w:hAnsi="NanumMyeongjo" w:eastAsia="NanumMyeongjo"/>
          <w:sz w:val="20"/>
          <w:szCs w:val="20"/>
        </w:rPr>
        <w:t>.</w:t>
      </w:r>
    </w:p>
    <w:p>
      <w:pPr>
        <w:widowControl/>
      </w:pPr>
      <w:r>
        <w:t>본 연구는 이러한 문제에 대하여 LLM 생성 신용등급 개선권고를 위한 검증 우선 평가체계를 제안한다. 기업의 재무상태와 정책행동을 입력받아 다음 해의 반사실적 재무상태를 산출하는 재무 Simulator와, 그 상태를 평가하는 세 신용평가모형을 구분하여 구성한다. 여기서 반사실적 재무상태는 실제로 관측한 결과가 아니라 특정 행동과 계산 가정을 적용하여 얻은 가상적 결과이다. 권고를 만들기 위한 Candidate-IQL과 LLM, 권고를 점수로 바꾸기 위한 평가기반은 서로 다른 역할을 담당한다.</w:t>
      </w:r>
    </w:p>
    <w:p>
      <w:pPr>
        <w:widowControl/>
      </w:pPr>
      <w:r>
        <w:t>권고 생성과 실행 사이에도 별도의 문제가 존재한다. 행동의 방향이 타당해 보이더라도 응답에서 하나의 행동을 읽을 수 없거나, 행동의 강도가 허용예산을 넘거나, 서로 양립할 수 없는 행동을 함께 제안하면 자동 적용할 수 없다. 반대로 설명문의 형식이 불완전하더라도 행동 자체는 명확할 수 있다. 따라서 출력의 완결성, 행동계약의 준수, 설명의 형식, 평가기반 안의 정책가치를 하나의 성공률로 합치지 않는다.</w:t>
      </w:r>
    </w:p>
    <w:p>
      <w:pPr>
        <w:widowControl/>
      </w:pPr>
      <w:r>
        <w:t>이 구분은 추론과 자기 재검토를 해석할 때 중요하다. 재검토 후 평균점수가 높아졌더라도 그 변화가 더 나은 재무판단 때문인지, 이전에 적용되지 못한 행동이 유효한 형식으로 다시 작성되었기 때문인지 확인해야 한다. 본 연구는 프롬프트에 진단 지시를 추가하는 변화와 API의 추론 설정을 높이는 변화, 그리고 원응답을 처리하는 실행규칙의 변화를 분리하여 비교한다. 연구의 초점은 가장 높은 점수의 모델을 선정하는 데 있지 않고, 관측된 정책가치가 무엇을 측정하는지 밝히는 데 있다.</w:t>
      </w:r>
    </w:p>
    <w:p>
      <w:bookmarkStart w:id="5" w:name="head_5"/>
      <w:pPr>
        <w:pStyle w:val="2"/>
        <w:widowControl/>
      </w:pPr>
      <w:r>
        <w:t>1.2 연구문제와 평가의 두 간극</w:t>
      </w:r>
      <w:bookmarkEnd w:id="5"/>
    </w:p>
    <w:p w14:paraId="2D1F56E0" w14:textId="77777777" w:rsidR="005A6274" w:rsidRPr="00E70925" w:rsidRDefault="005A6274" w:rsidP="00DD5E27">
      <w:pPr>
        <w:rPr>
          <w:rFonts w:asciiTheme="minorEastAsia" w:eastAsiaTheme="minorEastAsia" w:hAnsiTheme="minorEastAsia" w:cstheme="majorHAnsi"/>
          <w:sz w:val="20"/>
          <w:szCs w:val="20"/>
        </w:rPr>
      </w:pPr>
      <w:r w:rsidRPr="00E70925">
        <w:rPr>
          <w:rFonts w:asciiTheme="minorEastAsia" w:eastAsiaTheme="minorEastAsia" w:hAnsiTheme="minorEastAsia" w:ascii="NanumMyeongjo" w:hAnsi="NanumMyeongjo" w:eastAsia="NanumMyeongjo"/>
          <w:sz w:val="20"/>
          <w:szCs w:val="20"/>
        </w:rPr>
        <w:t>본 연구의 배후에 있는 실무적 질문은 “LLM의 권고는 기업의 신용등급을 실제로 개선하는가”이다. 현실에서 이 효과를 직접 관찰하기 어려운 이유를 먼저 확인한 뒤, 본 연구가 다루는 두 가지 타당성 간극을 구분한다.</w:t>
      </w:r>
    </w:p>
    <w:p w14:paraId="26549D9A" w14:textId="77777777" w:rsidR="005A6274" w:rsidRPr="00E70925" w:rsidRDefault="005A6274" w:rsidP="00DD5E27">
      <w:pPr>
        <w:rPr>
          <w:rFonts w:asciiTheme="minorEastAsia" w:eastAsiaTheme="minorEastAsia" w:hAnsiTheme="minorEastAsia" w:cstheme="majorHAnsi"/>
          <w:sz w:val="20"/>
          <w:szCs w:val="20"/>
        </w:rPr>
      </w:pPr>
      <w:r w:rsidRPr="00E70925">
        <w:rPr>
          <w:rFonts w:asciiTheme="minorEastAsia" w:eastAsiaTheme="minorEastAsia" w:hAnsiTheme="minorEastAsia" w:ascii="NanumMyeongjo" w:hAnsi="NanumMyeongjo" w:eastAsia="NanumMyeongjo"/>
          <w:sz w:val="20"/>
          <w:szCs w:val="20"/>
        </w:rPr>
        <w:t>현실에서 정책효과를 직접 관찰하기 어려운 이유는 세 가지다. 첫째, 재무행동의 실행에서 재무상태의 변화까지, 그리고 재무상태의 변화에서 신용등급에의 반영까지는 각각 수개월에서 1년 이상의 시차가 존재한다. 둘째, 동일 기업에 서로 다른 행동을 동시에 적용하여 결과를 비교하는 반사실적 관찰은 원천적으로 불가능하다. 셋째, 실제 신용등급에는 재무행동과 무관한 거시환경, 산업충격과 다른 경영계획도 함께 반영된다. 이러한 관찰상의 제약과 별개로, 본 연구의 타당성 문제는 평가기반 내부의 Gap 1과 평가환경–현실 사이의 Gap 2로 구분된다.</w:t>
      </w:r>
    </w:p>
    <w:p w14:paraId="172EE8B3" w14:textId="77777777" w:rsidR="005A6274" w:rsidRPr="00C5784C" w:rsidRDefault="005A6274" w:rsidP="005A6274">
      <w:pPr>
        <w:rPr>
          <w:rFonts w:asciiTheme="minorEastAsia" w:eastAsiaTheme="minorEastAsia" w:hAnsiTheme="minorEastAsia" w:cstheme="majorHAnsi"/>
          <w:sz w:val="20"/>
          <w:szCs w:val="20"/>
        </w:rPr>
      </w:pPr>
      <w:r w:rsidRPr="00E70925">
        <w:rPr>
          <w:rFonts w:asciiTheme="minorEastAsia" w:eastAsiaTheme="minorEastAsia" w:hAnsiTheme="minorEastAsia" w:cstheme="majorHAnsi" w:hint="eastAsia" w:ascii="NanumMyeongjo" w:hAnsi="NanumMyeongjo" w:eastAsia="NanumMyeongjo"/>
          <w:sz w:val="20"/>
          <w:szCs w:val="20"/>
        </w:rPr>
        <w:t>이렇게 구축한 반사실적 평가환경이 실제 신용등급과 무관하다면 평가는 의미를 잃는다. 첫 번째 간극(Gap 1)은 평가기반</w:t>
      </w:r>
      <w:r w:rsidRPr="005A6274">
        <w:rPr>
          <w:rFonts w:asciiTheme="minorEastAsia" w:eastAsiaTheme="minorEastAsia" w:hAnsiTheme="minorEastAsia" w:cstheme="majorHAnsi" w:hint="eastAsia" w:ascii="NanumMyeongjo" w:hAnsi="NanumMyeongjo" w:eastAsia="NanumMyeongjo"/>
          <w:sz w:val="20"/>
          <w:szCs w:val="20"/>
        </w:rPr>
        <w:t xml:space="preserve"> 내부의 문제이다. 실제 재무제표에서 산출한 신용평점이 동일 기업-연도의 실제 신용등급과 순위상 정렬되는가, 그리고 신용평점의 변화가 다음 해 실제 신용등급의 변화에 선행하여 방향상 </w:t>
      </w:r>
      <w:proofErr w:type="gramStart"/>
      <w:r w:rsidRPr="005A6274">
        <w:rPr>
          <w:rFonts w:asciiTheme="minorEastAsia" w:eastAsiaTheme="minorEastAsia" w:hAnsiTheme="minorEastAsia" w:cstheme="majorHAnsi" w:hint="eastAsia" w:ascii="NanumMyeongjo" w:hAnsi="NanumMyeongjo" w:eastAsia="NanumMyeongjo"/>
          <w:sz w:val="20"/>
          <w:szCs w:val="20"/>
        </w:rPr>
        <w:t>정렬되는가.</w:t>
      </w:r>
      <w:proofErr w:type="gramEnd"/>
      <w:r w:rsidRPr="005A6274">
        <w:rPr>
          <w:rFonts w:asciiTheme="minorEastAsia" w:eastAsiaTheme="minorEastAsia" w:hAnsiTheme="minorEastAsia" w:cstheme="majorHAnsi" w:hint="eastAsia" w:ascii="NanumMyeongjo" w:hAnsi="NanumMyeongjo" w:eastAsia="NanumMyeongjo"/>
          <w:sz w:val="20"/>
          <w:szCs w:val="20"/>
        </w:rPr>
        <w:t xml:space="preserve"> 아울러 행동을 재무상태에 적용하는 시뮬레이터가 </w:t>
      </w:r>
      <w:proofErr w:type="spellStart"/>
      <w:r w:rsidRPr="005A6274">
        <w:rPr>
          <w:rFonts w:asciiTheme="minorEastAsia" w:eastAsiaTheme="minorEastAsia" w:hAnsiTheme="minorEastAsia" w:cstheme="majorHAnsi" w:hint="eastAsia" w:ascii="NanumMyeongjo" w:hAnsi="NanumMyeongjo" w:eastAsia="NanumMyeongjo"/>
          <w:sz w:val="20"/>
          <w:szCs w:val="20"/>
        </w:rPr>
        <w:t>회계항등식과</w:t>
      </w:r>
      <w:proofErr w:type="spellEnd"/>
      <w:r w:rsidRPr="005A6274">
        <w:rPr>
          <w:rFonts w:asciiTheme="minorEastAsia" w:eastAsiaTheme="minorEastAsia" w:hAnsiTheme="minorEastAsia" w:cstheme="majorHAnsi" w:hint="eastAsia" w:ascii="NanumMyeongjo" w:hAnsi="NanumMyeongjo" w:eastAsia="NanumMyeongjo"/>
          <w:sz w:val="20"/>
          <w:szCs w:val="20"/>
        </w:rPr>
        <w:t xml:space="preserve"> 사전 정의된 행동을 일관되게 </w:t>
      </w:r>
      <w:proofErr w:type="gramStart"/>
      <w:r w:rsidRPr="005A6274">
        <w:rPr>
          <w:rFonts w:asciiTheme="minorEastAsia" w:eastAsiaTheme="minorEastAsia" w:hAnsiTheme="minorEastAsia" w:cstheme="majorHAnsi" w:hint="eastAsia" w:ascii="NanumMyeongjo" w:hAnsi="NanumMyeongjo" w:eastAsia="NanumMyeongjo"/>
          <w:sz w:val="20"/>
          <w:szCs w:val="20"/>
        </w:rPr>
        <w:t>적용하는가.</w:t>
      </w:r>
      <w:proofErr w:type="gramEnd"/>
      <w:r w:rsidRPr="005A6274">
        <w:rPr>
          <w:rFonts w:asciiTheme="minorEastAsia" w:eastAsiaTheme="minorEastAsia" w:hAnsiTheme="minorEastAsia" w:cstheme="majorHAnsi" w:hint="eastAsia" w:ascii="NanumMyeongjo" w:hAnsi="NanumMyeongjo" w:eastAsia="NanumMyeongjo"/>
          <w:sz w:val="20"/>
          <w:szCs w:val="20"/>
        </w:rPr>
        <w:t xml:space="preserve"> 본 연구는 이 간극을 직접 검증한다.</w:t>
      </w:r>
      <w:r w:rsidR="003B344D">
        <w:rPr>
          <w:rFonts w:asciiTheme="minorEastAsia" w:eastAsiaTheme="minorEastAsia" w:hAnsiTheme="minorEastAsia" w:cstheme="majorHAnsi" w:hint="eastAsia" w:ascii="NanumMyeongjo" w:hAnsi="NanumMyeongjo" w:eastAsia="NanumMyeongjo"/>
          <w:sz w:val="20"/>
          <w:szCs w:val="20"/>
        </w:rPr>
        <w:t xml:space="preserve"> </w:t>
      </w:r>
      <w:r w:rsidRPr="005A6274">
        <w:rPr>
          <w:rFonts w:asciiTheme="minorEastAsia" w:eastAsiaTheme="minorEastAsia" w:hAnsiTheme="minorEastAsia" w:cstheme="majorHAnsi" w:hint="eastAsia" w:ascii="NanumMyeongjo" w:hAnsi="NanumMyeongjo" w:eastAsia="NanumMyeongjo"/>
          <w:sz w:val="20"/>
          <w:szCs w:val="20"/>
        </w:rPr>
        <w:t>두 번째 간극(Gap 2)은 평가환경과 현실 사이의 문제이다. 평가기반에서 높은 신용평점을 받은 행동</w:t>
      </w:r>
      <w:r w:rsidR="00684377">
        <w:rPr>
          <w:rFonts w:asciiTheme="minorEastAsia" w:eastAsiaTheme="minorEastAsia" w:hAnsiTheme="minorEastAsia" w:cstheme="majorHAnsi" w:hint="eastAsia" w:ascii="NanumMyeongjo" w:hAnsi="NanumMyeongjo" w:eastAsia="NanumMyeongjo"/>
          <w:sz w:val="20"/>
          <w:szCs w:val="20"/>
        </w:rPr>
        <w:t>을</w:t>
      </w:r>
      <w:r w:rsidRPr="005A6274">
        <w:rPr>
          <w:rFonts w:asciiTheme="minorEastAsia" w:eastAsiaTheme="minorEastAsia" w:hAnsiTheme="minorEastAsia" w:cstheme="majorHAnsi" w:hint="eastAsia" w:ascii="NanumMyeongjo" w:hAnsi="NanumMyeongjo" w:eastAsia="NanumMyeongjo"/>
          <w:sz w:val="20"/>
          <w:szCs w:val="20"/>
        </w:rPr>
        <w:t xml:space="preserve"> 실제</w:t>
      </w:r>
      <w:r>
        <w:rPr>
          <w:rFonts w:asciiTheme="minorEastAsia" w:eastAsiaTheme="minorEastAsia" w:hAnsiTheme="minorEastAsia" w:cstheme="majorHAnsi" w:hint="eastAsia" w:ascii="NanumMyeongjo" w:hAnsi="NanumMyeongjo" w:eastAsia="NanumMyeongjo"/>
          <w:sz w:val="20"/>
          <w:szCs w:val="20"/>
        </w:rPr>
        <w:t>로</w:t>
      </w:r>
      <w:r w:rsidRPr="005A6274">
        <w:rPr>
          <w:rFonts w:asciiTheme="minorEastAsia" w:eastAsiaTheme="minorEastAsia" w:hAnsiTheme="minorEastAsia" w:cstheme="majorHAnsi" w:hint="eastAsia" w:ascii="NanumMyeongjo" w:hAnsi="NanumMyeongjo" w:eastAsia="NanumMyeongjo"/>
          <w:sz w:val="20"/>
          <w:szCs w:val="20"/>
        </w:rPr>
        <w:t xml:space="preserve"> 실행</w:t>
      </w:r>
      <w:r w:rsidR="00684377">
        <w:rPr>
          <w:rFonts w:asciiTheme="minorEastAsia" w:eastAsiaTheme="minorEastAsia" w:hAnsiTheme="minorEastAsia" w:cstheme="majorHAnsi" w:hint="eastAsia" w:ascii="NanumMyeongjo" w:hAnsi="NanumMyeongjo" w:eastAsia="NanumMyeongjo"/>
          <w:sz w:val="20"/>
          <w:szCs w:val="20"/>
        </w:rPr>
        <w:t>하였</w:t>
      </w:r>
      <w:r w:rsidRPr="005A6274">
        <w:rPr>
          <w:rFonts w:asciiTheme="minorEastAsia" w:eastAsiaTheme="minorEastAsia" w:hAnsiTheme="minorEastAsia" w:cstheme="majorHAnsi" w:hint="eastAsia" w:ascii="NanumMyeongjo" w:hAnsi="NanumMyeongjo" w:eastAsia="NanumMyeongjo"/>
          <w:sz w:val="20"/>
          <w:szCs w:val="20"/>
        </w:rPr>
        <w:t>을 때 실제 등급상승</w:t>
      </w:r>
      <w:r>
        <w:rPr>
          <w:rFonts w:asciiTheme="minorEastAsia" w:eastAsiaTheme="minorEastAsia" w:hAnsiTheme="minorEastAsia" w:cstheme="majorHAnsi" w:hint="eastAsia" w:ascii="NanumMyeongjo" w:hAnsi="NanumMyeongjo" w:eastAsia="NanumMyeongjo"/>
          <w:sz w:val="20"/>
          <w:szCs w:val="20"/>
        </w:rPr>
        <w:t>으로 이어지는지</w:t>
      </w:r>
      <w:r w:rsidRPr="005A6274">
        <w:rPr>
          <w:rFonts w:asciiTheme="minorEastAsia" w:eastAsiaTheme="minorEastAsia" w:hAnsiTheme="minorEastAsia" w:cstheme="majorHAnsi" w:hint="eastAsia" w:ascii="NanumMyeongjo" w:hAnsi="NanumMyeongjo" w:eastAsia="NanumMyeongjo"/>
          <w:sz w:val="20"/>
          <w:szCs w:val="20"/>
        </w:rPr>
        <w:t>는 별개의 질문이다</w:t>
      </w:r>
      <w:r w:rsidRPr="00C5784C">
        <w:rPr>
          <w:rFonts w:asciiTheme="minorEastAsia" w:eastAsiaTheme="minorEastAsia" w:hAnsiTheme="minorEastAsia" w:cstheme="majorHAnsi" w:hint="eastAsia" w:ascii="NanumMyeongjo" w:hAnsi="NanumMyeongjo" w:eastAsia="NanumMyeongjo"/>
          <w:sz w:val="20"/>
          <w:szCs w:val="20"/>
        </w:rPr>
        <w:t>. 경영진</w:t>
      </w:r>
      <w:r w:rsidR="00684377" w:rsidRPr="00C5784C">
        <w:rPr>
          <w:rFonts w:asciiTheme="minorEastAsia" w:eastAsiaTheme="minorEastAsia" w:hAnsiTheme="minorEastAsia" w:cstheme="majorHAnsi" w:hint="eastAsia" w:ascii="NanumMyeongjo" w:hAnsi="NanumMyeongjo" w:eastAsia="NanumMyeongjo"/>
          <w:sz w:val="20"/>
          <w:szCs w:val="20"/>
        </w:rPr>
        <w:t xml:space="preserve"> 성향 등</w:t>
      </w:r>
      <w:r w:rsidR="00C40DEF" w:rsidRPr="00C5784C">
        <w:rPr>
          <w:rFonts w:asciiTheme="minorEastAsia" w:eastAsiaTheme="minorEastAsia" w:hAnsiTheme="minorEastAsia" w:cstheme="majorHAnsi" w:hint="eastAsia" w:ascii="NanumMyeongjo" w:hAnsi="NanumMyeongjo" w:eastAsia="NanumMyeongjo"/>
          <w:sz w:val="20"/>
          <w:szCs w:val="20"/>
        </w:rPr>
        <w:t xml:space="preserve"> 외생적인 요인</w:t>
      </w:r>
      <w:r w:rsidRPr="00C5784C">
        <w:rPr>
          <w:rFonts w:asciiTheme="minorEastAsia" w:eastAsiaTheme="minorEastAsia" w:hAnsiTheme="minorEastAsia" w:cstheme="majorHAnsi" w:hint="eastAsia" w:ascii="NanumMyeongjo" w:hAnsi="NanumMyeongjo" w:eastAsia="NanumMyeongjo"/>
          <w:sz w:val="20"/>
          <w:szCs w:val="20"/>
        </w:rPr>
        <w:t>은 본 연구의 실험에 포함되지 않는다.</w:t>
      </w:r>
    </w:p>
    <w:p w14:paraId="7DA1E700" w14:textId="77777777" w:rsidR="005A6274" w:rsidRPr="00C5784C" w:rsidRDefault="005A6274" w:rsidP="005A6274">
      <w:pPr>
        <w:rPr>
          <w:rFonts w:asciiTheme="minorEastAsia" w:eastAsiaTheme="minorEastAsia" w:hAnsiTheme="minorEastAsia" w:cstheme="majorHAnsi"/>
          <w:sz w:val="20"/>
          <w:szCs w:val="20"/>
        </w:rPr>
      </w:pPr>
      <w:r w:rsidRPr="00C5784C">
        <w:rPr>
          <w:rFonts w:asciiTheme="minorEastAsia" w:eastAsiaTheme="minorEastAsia" w:hAnsiTheme="minorEastAsia" w:ascii="NanumMyeongjo" w:hAnsi="NanumMyeongjo" w:eastAsia="NanumMyeongjo"/>
          <w:sz w:val="20"/>
          <w:szCs w:val="20"/>
        </w:rPr>
        <w:t>따라서 본 연구의 검증 대상은 “LLM의 권고가 실제 신용등급을 개선하는가”가 아니라, “실제 신용등급과의 제한적 정렬성이 확인된 평가기반에서 측정할 때, 서로 다른 LLM 권고와 비교정책의 상대적 가치는 어떠한가”이다. 정책을 비교하기에 앞서 평가기반의 타당성부터 검증하는 검증 우선(validation-first) 접근이 본 연구의 방법론적 출발점이다.</w:t>
      </w:r>
    </w:p>
    <w:p>
      <w:pPr>
        <w:widowControl/>
      </w:pPr>
      <w:r>
        <w:t>평가기반 내부의 타당성도 한 번의 검증으로 끝나지 않는다. 실제 재무자료에서 Oracle이 등급의 순서를 일정 부분 반영한다는 증거와, Simulator가 새로운 관리행동을 정확히 전파한다는 증거는 별개이다. 행동의 정의가 바뀌면 회계항등식이 유지되는지만이 아니라 차환의 원금중립성, 부채상환의 유동성 제약, 성장투자의 유예와 자산매각의 구분을 다시 점검해야 한다. 본 논문은 개발 단계의 검증 수치를 최신 V4.3 행동계약에 대한 전면 재검증 결과로 자동 승계하지 않는다.</w:t>
      </w:r>
    </w:p>
    <w:p>
      <w:pPr>
        <w:widowControl/>
      </w:pPr>
      <w:r>
        <w:t>또한 같은 기업의 무행동 점수를 빼는 것만으로 모든 Simulator 편향이 제거되지는 않는다. 두 경로에 공통인 수준오차는 상쇄될 수 있지만, 특정 행동에만 발생하는 자금조달·영업·회계 전파오차는 차이 안에 남는다. 따라서 정책가치의 차이는 공통 가정 아래의 상대적 비교로 해석하며, 실제 기업의 신용등급 상승이나 금전적 편익으로 직접 환산하지 않는다.</w:t>
      </w:r>
    </w:p>
    <w:p>
      <w:bookmarkStart w:id="6" w:name="head_6"/>
      <w:pPr>
        <w:pStyle w:val="2"/>
        <w:widowControl/>
      </w:pPr>
      <w:r>
        <w:t>1.3 연구의 목적과 연구질문</w:t>
      </w:r>
      <w:bookmarkEnd w:id="6"/>
    </w:p>
    <w:p>
      <w:pPr>
        <w:widowControl/>
      </w:pPr>
      <w:r>
        <w:t>연구의 목적은 세 가지이다. 첫째, 정책비교에 사용한 평가기반의 사용범위와 검증상의 한계를 구분한다. 둘째, 재현 가능한 학습정책 참조를 고정하고 LLM 정책을 동일한 기업·행동 의미론·평가경로에서 비교한다. 셋째, 출력공간, 행동예산, 진단 지시, 자기 재검토, 참조의 기업별 배정, 추론 설정과 실행규칙이 관측된 정책가치를 어떻게 바꾸는지 분해한다. 기존 연구질문 RQ1–RQ5의 번호와 문제의식은 유지하되, 최종 실험이 실제로 식별하는 비교범위를 명시한다.</w:t>
      </w:r>
    </w:p>
    <w:p>
      <w:bookmarkStart w:id="7" w:name="cap_1"/>
      <w:pPr>
        <w:pStyle w:val="af"/>
        <w:widowControl/>
      </w:pPr>
      <w:r>
        <w:t>표 1-1. 연구질문과 최종 실험의 대응</w:t>
      </w:r>
      <w:bookmarkEnd w:id="7"/>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1247"/>
        <w:gridCol w:w="4082"/>
        <w:gridCol w:w="2608"/>
      </w:tblGrid>
      <w:tr>
        <w:trPr>
          <w:cantSplit/>
          <w:tblHeader/>
        </w:trPr>
        <w:tc>
          <w:tcPr>
            <w:tcW w:type="dxa" w:w="1247"/>
            <w:vAlign w:val="center"/>
            <w:shd w:fill="F1F1F1"/>
            <w:tcMar>
              <w:top w:w="65" w:type="dxa"/>
              <w:left w:w="65" w:type="dxa"/>
              <w:bottom w:w="65" w:type="dxa"/>
              <w:right w:w="65" w:type="dxa"/>
            </w:tcMar>
          </w:tcPr>
          <w:p>
            <w:pPr>
              <w:pStyle w:val="TableText"/>
              <w:keepNext/>
              <w:widowControl/>
              <w:jc w:val="center"/>
            </w:pPr>
            <w:r>
              <w:rPr>
                <w:b/>
                <w:sz w:val="18"/>
              </w:rPr>
              <w:t>구분</w:t>
            </w:r>
          </w:p>
        </w:tc>
        <w:tc>
          <w:tcPr>
            <w:tcW w:type="dxa" w:w="4082"/>
            <w:vAlign w:val="center"/>
            <w:shd w:fill="F1F1F1"/>
            <w:tcMar>
              <w:top w:w="65" w:type="dxa"/>
              <w:left w:w="65" w:type="dxa"/>
              <w:bottom w:w="65" w:type="dxa"/>
              <w:right w:w="65" w:type="dxa"/>
            </w:tcMar>
          </w:tcPr>
          <w:p>
            <w:pPr>
              <w:pStyle w:val="TableText"/>
              <w:keepNext/>
              <w:widowControl/>
              <w:jc w:val="center"/>
            </w:pPr>
            <w:r>
              <w:rPr>
                <w:b/>
                <w:sz w:val="18"/>
              </w:rPr>
              <w:t>연구질문</w:t>
            </w:r>
          </w:p>
        </w:tc>
        <w:tc>
          <w:tcPr>
            <w:tcW w:type="dxa" w:w="2608"/>
            <w:vAlign w:val="center"/>
            <w:shd w:fill="F1F1F1"/>
            <w:tcMar>
              <w:top w:w="65" w:type="dxa"/>
              <w:left w:w="65" w:type="dxa"/>
              <w:bottom w:w="65" w:type="dxa"/>
              <w:right w:w="65" w:type="dxa"/>
            </w:tcMar>
          </w:tcPr>
          <w:p>
            <w:pPr>
              <w:pStyle w:val="TableText"/>
              <w:keepNext/>
              <w:widowControl/>
              <w:jc w:val="center"/>
            </w:pPr>
            <w:r>
              <w:rPr>
                <w:b/>
                <w:sz w:val="18"/>
              </w:rPr>
              <w:t>최종 분석범위</w:t>
            </w:r>
          </w:p>
        </w:tc>
      </w:tr>
      <w:tr>
        <w:trPr>
          <w:cantSplit/>
        </w:trPr>
        <w:tc>
          <w:tcPr>
            <w:tcW w:type="dxa" w:w="1247"/>
            <w:vAlign w:val="center"/>
            <w:tcMar>
              <w:top w:w="65" w:type="dxa"/>
              <w:left w:w="65" w:type="dxa"/>
              <w:bottom w:w="65" w:type="dxa"/>
              <w:right w:w="65" w:type="dxa"/>
            </w:tcMar>
          </w:tcPr>
          <w:p>
            <w:pPr>
              <w:pStyle w:val="TableText"/>
              <w:keepNext/>
              <w:widowControl/>
              <w:jc w:val="left"/>
            </w:pPr>
            <w:r>
              <w:rPr>
                <w:b w:val="0"/>
                <w:sz w:val="18"/>
              </w:rPr>
              <w:t>RQ1</w:t>
              <w:br/>
              <w:t>평가기반 타당성</w:t>
            </w:r>
          </w:p>
        </w:tc>
        <w:tc>
          <w:tcPr>
            <w:tcW w:type="dxa" w:w="4082"/>
            <w:vAlign w:val="center"/>
            <w:tcMar>
              <w:top w:w="65" w:type="dxa"/>
              <w:left w:w="65" w:type="dxa"/>
              <w:bottom w:w="65" w:type="dxa"/>
              <w:right w:w="65" w:type="dxa"/>
            </w:tcMar>
          </w:tcPr>
          <w:p>
            <w:pPr>
              <w:pStyle w:val="TableText"/>
              <w:keepNext/>
              <w:widowControl/>
              <w:jc w:val="left"/>
            </w:pPr>
            <w:r>
              <w:rPr>
                <w:b w:val="0"/>
                <w:sz w:val="18"/>
              </w:rPr>
              <w:t>실제 재무자료에서 Oracle의 신용평점이 실제 등급의 순서와 이동방향에 정렬되는가? Simulator는 정해진 행동을 회계적으로 일관되게 적용하는가?</w:t>
            </w:r>
          </w:p>
        </w:tc>
        <w:tc>
          <w:tcPr>
            <w:tcW w:type="dxa" w:w="2608"/>
            <w:vAlign w:val="center"/>
            <w:tcMar>
              <w:top w:w="65" w:type="dxa"/>
              <w:left w:w="65" w:type="dxa"/>
              <w:bottom w:w="65" w:type="dxa"/>
              <w:right w:w="65" w:type="dxa"/>
            </w:tcMar>
          </w:tcPr>
          <w:p>
            <w:pPr>
              <w:pStyle w:val="TableText"/>
              <w:keepNext/>
              <w:widowControl/>
              <w:jc w:val="left"/>
            </w:pPr>
            <w:r>
              <w:rPr>
                <w:b w:val="0"/>
                <w:sz w:val="18"/>
              </w:rPr>
              <w:t>개발 검증의 범위, V4.3 의미론 점검, 최신 9후보의 평가자 민감도</w:t>
            </w:r>
          </w:p>
        </w:tc>
      </w:tr>
      <w:tr>
        <w:trPr>
          <w:cantSplit/>
        </w:trPr>
        <w:tc>
          <w:tcPr>
            <w:tcW w:type="dxa" w:w="1247"/>
            <w:vAlign w:val="center"/>
            <w:tcMar>
              <w:top w:w="65" w:type="dxa"/>
              <w:left w:w="65" w:type="dxa"/>
              <w:bottom w:w="65" w:type="dxa"/>
              <w:right w:w="65" w:type="dxa"/>
            </w:tcMar>
          </w:tcPr>
          <w:p>
            <w:pPr>
              <w:pStyle w:val="TableText"/>
              <w:keepNext w:val="0"/>
              <w:widowControl/>
              <w:jc w:val="left"/>
            </w:pPr>
            <w:r>
              <w:rPr>
                <w:b w:val="0"/>
                <w:sz w:val="18"/>
              </w:rPr>
              <w:t>RQ2</w:t>
              <w:br/>
              <w:t>행동가치·상대순위</w:t>
            </w:r>
          </w:p>
        </w:tc>
        <w:tc>
          <w:tcPr>
            <w:tcW w:type="dxa" w:w="4082"/>
            <w:vAlign w:val="center"/>
            <w:tcMar>
              <w:top w:w="65" w:type="dxa"/>
              <w:left w:w="65" w:type="dxa"/>
              <w:bottom w:w="65" w:type="dxa"/>
              <w:right w:w="65" w:type="dxa"/>
            </w:tcMar>
          </w:tcPr>
          <w:p>
            <w:pPr>
              <w:pStyle w:val="TableText"/>
              <w:keepNext w:val="0"/>
              <w:widowControl/>
              <w:jc w:val="left"/>
            </w:pPr>
            <w:r>
              <w:rPr>
                <w:b w:val="0"/>
                <w:sz w:val="18"/>
              </w:rPr>
              <w:t>각 정책은 무행동·휴리스틱·고정행동·학습정책·후보공간 상한과 비교하여 어느 위치에 있는가?</w:t>
            </w:r>
          </w:p>
        </w:tc>
        <w:tc>
          <w:tcPr>
            <w:tcW w:type="dxa" w:w="2608"/>
            <w:vAlign w:val="center"/>
            <w:tcMar>
              <w:top w:w="65" w:type="dxa"/>
              <w:left w:w="65" w:type="dxa"/>
              <w:bottom w:w="65" w:type="dxa"/>
              <w:right w:w="65" w:type="dxa"/>
            </w:tcMar>
          </w:tcPr>
          <w:p>
            <w:pPr>
              <w:pStyle w:val="TableText"/>
              <w:keepNext w:val="0"/>
              <w:widowControl/>
              <w:jc w:val="left"/>
            </w:pPr>
            <w:r>
              <w:rPr>
                <w:b w:val="0"/>
                <w:sz w:val="18"/>
              </w:rPr>
              <w:t>A0, C1, C2, 고정 OE, C3-E 및 각 Oracle 내부의 후보 상한</w:t>
            </w:r>
          </w:p>
        </w:tc>
      </w:tr>
      <w:tr>
        <w:trPr>
          <w:cantSplit/>
        </w:trPr>
        <w:tc>
          <w:tcPr>
            <w:tcW w:type="dxa" w:w="1247"/>
            <w:vAlign w:val="center"/>
            <w:tcMar>
              <w:top w:w="65" w:type="dxa"/>
              <w:left w:w="65" w:type="dxa"/>
              <w:bottom w:w="65" w:type="dxa"/>
              <w:right w:w="65" w:type="dxa"/>
            </w:tcMar>
          </w:tcPr>
          <w:p>
            <w:pPr>
              <w:pStyle w:val="TableText"/>
              <w:keepNext w:val="0"/>
              <w:widowControl/>
              <w:jc w:val="left"/>
            </w:pPr>
            <w:r>
              <w:rPr>
                <w:b w:val="0"/>
                <w:sz w:val="18"/>
              </w:rPr>
              <w:t>RQ3</w:t>
              <w:br/>
              <w:t>추론·재검토·참조</w:t>
            </w:r>
          </w:p>
        </w:tc>
        <w:tc>
          <w:tcPr>
            <w:tcW w:type="dxa" w:w="4082"/>
            <w:vAlign w:val="center"/>
            <w:tcMar>
              <w:top w:w="65" w:type="dxa"/>
              <w:left w:w="65" w:type="dxa"/>
              <w:bottom w:w="65" w:type="dxa"/>
              <w:right w:w="65" w:type="dxa"/>
            </w:tcMar>
          </w:tcPr>
          <w:p>
            <w:pPr>
              <w:pStyle w:val="TableText"/>
              <w:keepNext w:val="0"/>
              <w:widowControl/>
              <w:jc w:val="left"/>
            </w:pPr>
            <w:r>
              <w:rPr>
                <w:b w:val="0"/>
                <w:sz w:val="18"/>
              </w:rPr>
              <w:t>진단 지시와 자기 재검토는 정책가치를 높이는가? 학습정책의 참조와 그 기업별 배정은 어떠한 차이를 만드는가?</w:t>
            </w:r>
          </w:p>
        </w:tc>
        <w:tc>
          <w:tcPr>
            <w:tcW w:type="dxa" w:w="2608"/>
            <w:vAlign w:val="center"/>
            <w:tcMar>
              <w:top w:w="65" w:type="dxa"/>
              <w:left w:w="65" w:type="dxa"/>
              <w:bottom w:w="65" w:type="dxa"/>
              <w:right w:w="65" w:type="dxa"/>
            </w:tcMar>
          </w:tcPr>
          <w:p>
            <w:pPr>
              <w:pStyle w:val="TableText"/>
              <w:keepNext w:val="0"/>
              <w:widowControl/>
              <w:jc w:val="left"/>
            </w:pPr>
            <w:r>
              <w:rPr>
                <w:b w:val="0"/>
                <w:sz w:val="18"/>
              </w:rPr>
              <w:t>C5−C4, C4R−C4, C6-E−C4R, C6-E−C6-EX; High는 별도 추가 분석</w:t>
            </w:r>
          </w:p>
        </w:tc>
      </w:tr>
      <w:tr>
        <w:trPr>
          <w:cantSplit/>
        </w:trPr>
        <w:tc>
          <w:tcPr>
            <w:tcW w:type="dxa" w:w="1247"/>
            <w:vAlign w:val="center"/>
            <w:tcMar>
              <w:top w:w="65" w:type="dxa"/>
              <w:left w:w="65" w:type="dxa"/>
              <w:bottom w:w="65" w:type="dxa"/>
              <w:right w:w="65" w:type="dxa"/>
            </w:tcMar>
          </w:tcPr>
          <w:p>
            <w:pPr>
              <w:pStyle w:val="TableText"/>
              <w:keepNext w:val="0"/>
              <w:widowControl/>
              <w:jc w:val="left"/>
            </w:pPr>
            <w:r>
              <w:rPr>
                <w:b w:val="0"/>
                <w:sz w:val="18"/>
              </w:rPr>
              <w:t>RQ4</w:t>
              <w:br/>
              <w:t>강건성·행동공간</w:t>
            </w:r>
          </w:p>
        </w:tc>
        <w:tc>
          <w:tcPr>
            <w:tcW w:type="dxa" w:w="4082"/>
            <w:vAlign w:val="center"/>
            <w:tcMar>
              <w:top w:w="65" w:type="dxa"/>
              <w:left w:w="65" w:type="dxa"/>
              <w:bottom w:w="65" w:type="dxa"/>
              <w:right w:w="65" w:type="dxa"/>
            </w:tcMar>
          </w:tcPr>
          <w:p>
            <w:pPr>
              <w:pStyle w:val="TableText"/>
              <w:keepNext w:val="0"/>
              <w:widowControl/>
              <w:jc w:val="left"/>
            </w:pPr>
            <w:r>
              <w:rPr>
                <w:b w:val="0"/>
                <w:sz w:val="18"/>
              </w:rPr>
              <w:t>정책효과는 평가모형과 행동예산에 따라 유지되는가? 후보선택과 자유작성의 결과는 다른가?</w:t>
            </w:r>
          </w:p>
        </w:tc>
        <w:tc>
          <w:tcPr>
            <w:tcW w:type="dxa" w:w="2608"/>
            <w:vAlign w:val="center"/>
            <w:tcMar>
              <w:top w:w="65" w:type="dxa"/>
              <w:left w:w="65" w:type="dxa"/>
              <w:bottom w:w="65" w:type="dxa"/>
              <w:right w:w="65" w:type="dxa"/>
            </w:tcMar>
          </w:tcPr>
          <w:p>
            <w:pPr>
              <w:pStyle w:val="TableText"/>
              <w:keepNext w:val="0"/>
              <w:widowControl/>
              <w:jc w:val="left"/>
            </w:pPr>
            <w:r>
              <w:rPr>
                <w:b w:val="0"/>
                <w:sz w:val="18"/>
              </w:rPr>
              <w:t>Oracle-α/β/γ, B1/BINF, candidate9와 free8의 공통 B1 조건</w:t>
            </w:r>
          </w:p>
        </w:tc>
      </w:tr>
      <w:tr>
        <w:trPr>
          <w:cantSplit/>
        </w:trPr>
        <w:tc>
          <w:tcPr>
            <w:tcW w:type="dxa" w:w="1247"/>
            <w:vAlign w:val="center"/>
            <w:tcMar>
              <w:top w:w="65" w:type="dxa"/>
              <w:left w:w="65" w:type="dxa"/>
              <w:bottom w:w="65" w:type="dxa"/>
              <w:right w:w="65" w:type="dxa"/>
            </w:tcMar>
          </w:tcPr>
          <w:p>
            <w:pPr>
              <w:pStyle w:val="TableText"/>
              <w:keepNext w:val="0"/>
              <w:widowControl/>
              <w:jc w:val="left"/>
            </w:pPr>
            <w:r>
              <w:rPr>
                <w:b w:val="0"/>
                <w:sz w:val="18"/>
              </w:rPr>
              <w:t>RQ5</w:t>
              <w:br/>
              <w:t>정보조건</w:t>
            </w:r>
          </w:p>
        </w:tc>
        <w:tc>
          <w:tcPr>
            <w:tcW w:type="dxa" w:w="4082"/>
            <w:vAlign w:val="center"/>
            <w:tcMar>
              <w:top w:w="65" w:type="dxa"/>
              <w:left w:w="65" w:type="dxa"/>
              <w:bottom w:w="65" w:type="dxa"/>
              <w:right w:w="65" w:type="dxa"/>
            </w:tcMar>
          </w:tcPr>
          <w:p>
            <w:pPr>
              <w:pStyle w:val="TableText"/>
              <w:keepNext w:val="0"/>
              <w:widowControl/>
              <w:jc w:val="left"/>
            </w:pPr>
            <w:r>
              <w:rPr>
                <w:b w:val="0"/>
                <w:sz w:val="18"/>
              </w:rPr>
              <w:t>제공하는 기업정보의 범위가 넓어지면 행동과 정책가치가 달라지는가?</w:t>
            </w:r>
          </w:p>
        </w:tc>
        <w:tc>
          <w:tcPr>
            <w:tcW w:type="dxa" w:w="2608"/>
            <w:vAlign w:val="center"/>
            <w:tcMar>
              <w:top w:w="65" w:type="dxa"/>
              <w:left w:w="65" w:type="dxa"/>
              <w:bottom w:w="65" w:type="dxa"/>
              <w:right w:w="65" w:type="dxa"/>
            </w:tcMar>
          </w:tcPr>
          <w:p>
            <w:pPr>
              <w:pStyle w:val="TableText"/>
              <w:keepNext w:val="0"/>
              <w:widowControl/>
              <w:jc w:val="left"/>
            </w:pPr>
            <w:r>
              <w:rPr>
                <w:b w:val="0"/>
                <w:sz w:val="18"/>
              </w:rPr>
              <w:t>C4/free8/B1의 IC-a→IC-b→IC-c; 기업명 회상 프로브는 미실행</w:t>
            </w:r>
          </w:p>
        </w:tc>
      </w:tr>
    </w:tbl>
    <w:p>
      <w:pPr>
        <w:pStyle w:val="SourceNote"/>
        <w:widowControl/>
      </w:pPr>
      <w:r>
        <w:t>주: C6-EX는 균등 무작위 후보를 새로 뽑는 조건이 아니라, C3-E의 참조행동 분포를 유지하면서 기업 간 배정을 바꾼 조건이다. 모든 분석의 단위는 575개 기업이다.</w:t>
      </w:r>
    </w:p>
    <w:p>
      <w:bookmarkStart w:id="8" w:name="head_7"/>
      <w:pPr>
        <w:pStyle w:val="2"/>
        <w:widowControl/>
      </w:pPr>
      <w:r>
        <w:t>1.4 연구의 전체적 접근</w:t>
      </w:r>
      <w:bookmarkEnd w:id="8"/>
    </w:p>
    <w:p w14:paraId="5A20862A" w14:textId="77777777" w:rsidR="005A6274" w:rsidRPr="005A6274" w:rsidRDefault="005A6274" w:rsidP="00CA1CEF">
      <w:pPr>
        <w:rPr>
          <w:rFonts w:asciiTheme="minorEastAsia" w:eastAsiaTheme="minorEastAsia" w:hAnsiTheme="minorEastAsia" w:cstheme="majorHAnsi"/>
          <w:sz w:val="20"/>
          <w:szCs w:val="20"/>
        </w:rPr>
      </w:pPr>
      <w:r w:rsidRPr="005A6274">
        <w:rPr>
          <w:rFonts w:asciiTheme="minorEastAsia" w:eastAsiaTheme="minorEastAsia" w:hAnsiTheme="minorEastAsia" w:cstheme="majorHAnsi" w:hint="eastAsia" w:ascii="NanumMyeongjo" w:hAnsi="NanumMyeongjo" w:eastAsia="NanumMyeongjo"/>
          <w:sz w:val="20"/>
          <w:szCs w:val="20"/>
        </w:rPr>
        <w:t xml:space="preserve">본 연구의 평가는 다음 경로로 이루어진다. LLM 또는 </w:t>
      </w:r>
      <w:r w:rsidR="00401BDF">
        <w:rPr>
          <w:rFonts w:asciiTheme="minorEastAsia" w:eastAsiaTheme="minorEastAsia" w:hAnsiTheme="minorEastAsia" w:cstheme="majorHAnsi" w:hint="eastAsia" w:ascii="NanumMyeongjo" w:hAnsi="NanumMyeongjo" w:eastAsia="NanumMyeongjo"/>
          <w:sz w:val="20"/>
          <w:szCs w:val="20"/>
        </w:rPr>
        <w:t>참조</w:t>
      </w:r>
      <w:r w:rsidRPr="005A6274">
        <w:rPr>
          <w:rFonts w:asciiTheme="minorEastAsia" w:eastAsiaTheme="minorEastAsia" w:hAnsiTheme="minorEastAsia" w:cstheme="majorHAnsi" w:hint="eastAsia" w:ascii="NanumMyeongjo" w:hAnsi="NanumMyeongjo" w:eastAsia="NanumMyeongjo"/>
          <w:sz w:val="20"/>
          <w:szCs w:val="20"/>
        </w:rPr>
        <w:t xml:space="preserve">정책이 기업의 현재 재무상태를 </w:t>
      </w:r>
      <w:proofErr w:type="spellStart"/>
      <w:r w:rsidRPr="005A6274">
        <w:rPr>
          <w:rFonts w:asciiTheme="minorEastAsia" w:eastAsiaTheme="minorEastAsia" w:hAnsiTheme="minorEastAsia" w:cstheme="majorHAnsi" w:hint="eastAsia" w:ascii="NanumMyeongjo" w:hAnsi="NanumMyeongjo" w:eastAsia="NanumMyeongjo"/>
          <w:sz w:val="20"/>
          <w:szCs w:val="20"/>
        </w:rPr>
        <w:t>입력받아</w:t>
      </w:r>
      <w:proofErr w:type="spellEnd"/>
      <w:r w:rsidRPr="005A6274">
        <w:rPr>
          <w:rFonts w:asciiTheme="minorEastAsia" w:eastAsiaTheme="minorEastAsia" w:hAnsiTheme="minorEastAsia" w:cstheme="majorHAnsi" w:hint="eastAsia" w:ascii="NanumMyeongjo" w:hAnsi="NanumMyeongjo" w:eastAsia="NanumMyeongjo"/>
          <w:sz w:val="20"/>
          <w:szCs w:val="20"/>
        </w:rPr>
        <w:t xml:space="preserve"> 재무행동을 제안하면, Simulator가 </w:t>
      </w:r>
      <w:proofErr w:type="spellStart"/>
      <w:r w:rsidRPr="005A6274">
        <w:rPr>
          <w:rFonts w:asciiTheme="minorEastAsia" w:eastAsiaTheme="minorEastAsia" w:hAnsiTheme="minorEastAsia" w:cstheme="majorHAnsi" w:hint="eastAsia" w:ascii="NanumMyeongjo" w:hAnsi="NanumMyeongjo" w:eastAsia="NanumMyeongjo"/>
          <w:sz w:val="20"/>
          <w:szCs w:val="20"/>
        </w:rPr>
        <w:t>회계항등식을</w:t>
      </w:r>
      <w:proofErr w:type="spellEnd"/>
      <w:r w:rsidRPr="005A6274">
        <w:rPr>
          <w:rFonts w:asciiTheme="minorEastAsia" w:eastAsiaTheme="minorEastAsia" w:hAnsiTheme="minorEastAsia" w:cstheme="majorHAnsi" w:hint="eastAsia" w:ascii="NanumMyeongjo" w:hAnsi="NanumMyeongjo" w:eastAsia="NanumMyeongjo"/>
          <w:sz w:val="20"/>
          <w:szCs w:val="20"/>
        </w:rPr>
        <w:t xml:space="preserve"> 준수하며 그 행동을 </w:t>
      </w:r>
      <w:r w:rsidR="00E2732C">
        <w:rPr>
          <w:rFonts w:asciiTheme="minorEastAsia" w:eastAsiaTheme="minorEastAsia" w:hAnsiTheme="minorEastAsia" w:cstheme="majorHAnsi" w:hint="eastAsia" w:ascii="NanumMyeongjo" w:hAnsi="NanumMyeongjo" w:eastAsia="NanumMyeongjo"/>
          <w:sz w:val="20"/>
          <w:szCs w:val="20"/>
        </w:rPr>
        <w:t>최근 시점의 재무</w:t>
      </w:r>
      <w:r w:rsidR="00401BDF">
        <w:rPr>
          <w:rFonts w:asciiTheme="minorEastAsia" w:eastAsiaTheme="minorEastAsia" w:hAnsiTheme="minorEastAsia" w:cstheme="majorHAnsi" w:hint="eastAsia" w:ascii="NanumMyeongjo" w:hAnsi="NanumMyeongjo" w:eastAsia="NanumMyeongjo"/>
          <w:sz w:val="20"/>
          <w:szCs w:val="20"/>
        </w:rPr>
        <w:t>상태</w:t>
      </w:r>
      <w:r w:rsidRPr="005A6274">
        <w:rPr>
          <w:rFonts w:asciiTheme="minorEastAsia" w:eastAsiaTheme="minorEastAsia" w:hAnsiTheme="minorEastAsia" w:cstheme="majorHAnsi" w:hint="eastAsia" w:ascii="NanumMyeongjo" w:hAnsi="NanumMyeongjo" w:eastAsia="NanumMyeongjo"/>
          <w:sz w:val="20"/>
          <w:szCs w:val="20"/>
        </w:rPr>
        <w:t>에 적용하</w:t>
      </w:r>
      <w:r w:rsidR="00E2732C">
        <w:rPr>
          <w:rFonts w:asciiTheme="minorEastAsia" w:eastAsiaTheme="minorEastAsia" w:hAnsiTheme="minorEastAsia" w:cstheme="majorHAnsi" w:hint="eastAsia" w:ascii="NanumMyeongjo" w:hAnsi="NanumMyeongjo" w:eastAsia="NanumMyeongjo"/>
          <w:sz w:val="20"/>
          <w:szCs w:val="20"/>
        </w:rPr>
        <w:t>였을 때</w:t>
      </w:r>
      <w:r w:rsidRPr="005A6274">
        <w:rPr>
          <w:rFonts w:asciiTheme="minorEastAsia" w:eastAsiaTheme="minorEastAsia" w:hAnsiTheme="minorEastAsia" w:cstheme="majorHAnsi" w:hint="eastAsia" w:ascii="NanumMyeongjo" w:hAnsi="NanumMyeongjo" w:eastAsia="NanumMyeongjo"/>
          <w:sz w:val="20"/>
          <w:szCs w:val="20"/>
        </w:rPr>
        <w:t xml:space="preserve"> 1년 후의 반사실적 재무상태를 산출한다. Oracle은 산출된 반사실적 재무상태를 신용평점으로 변환한다. </w:t>
      </w:r>
      <w:r w:rsidR="00E2732C">
        <w:rPr>
          <w:rFonts w:asciiTheme="minorEastAsia" w:eastAsiaTheme="minorEastAsia" w:hAnsiTheme="minorEastAsia" w:cstheme="majorHAnsi" w:hint="eastAsia" w:ascii="NanumMyeongjo" w:hAnsi="NanumMyeongjo" w:eastAsia="NanumMyeongjo"/>
          <w:sz w:val="20"/>
          <w:szCs w:val="20"/>
        </w:rPr>
        <w:t xml:space="preserve">재무행동의 </w:t>
      </w:r>
      <w:r w:rsidRPr="005A6274">
        <w:rPr>
          <w:rFonts w:asciiTheme="minorEastAsia" w:eastAsiaTheme="minorEastAsia" w:hAnsiTheme="minorEastAsia" w:cstheme="majorHAnsi" w:hint="eastAsia" w:ascii="NanumMyeongjo" w:hAnsi="NanumMyeongjo" w:eastAsia="NanumMyeongjo"/>
          <w:sz w:val="20"/>
          <w:szCs w:val="20"/>
        </w:rPr>
        <w:t>가치는 아무 행동도 하지 않은 상태(no-op)의 평점과의 차이로 측정한다.</w:t>
      </w:r>
    </w:p>
    <w:p>
      <w:pPr>
        <w:widowControl/>
      </w:pPr>
      <w:r>
        <w:t>학습 참조정책은 Candidate-IQL actor 28개를 결합한 C3-E로 고정하였다. 네 configuration 각각에서 일곱 seed의 행동확률을 평균하고, 네 평균을 동일한 25% 비중으로 결합한다. 동결 이후 기업별 행동은 이 확률벡터의 최댓값으로 정하며 Oracle 점수나 critic Q값으로 다시 순위를 정하지 않는다. 다만 최종 configuration과 encoder를 정하는 과정에는 2024년 평가가 활용되었으므로, 학습목표의 분리와 선택과정의 독립성을 구별한다.</w:t>
      </w:r>
    </w:p>
    <w:p>
      <w:pPr>
        <w:widowControl/>
      </w:pPr>
      <w:r>
        <w:t>LLM은 9개 표준후보 중 하나를 고르거나, 8차원의 관리행동을 자유롭게 작성한다. B1은 정규화된 총 행동강도를 1 이하로 제한하고 BINF는 그 총합 상한만 제거한다. 두 조건 모두 축별 허용범위와 DL–RF 상호배타 조건은 유지된다. 따라서 BINF를 아무 제약도 없는 조건이라고 부르지 않는다.</w:t>
      </w:r>
    </w:p>
    <w:p>
      <w:pPr>
        <w:widowControl/>
      </w:pPr>
      <w:r>
        <w:t>Baseline은 실행 전에 동결한 기본 생성 설정이고, High는 그 결과를 확인한 뒤 추가한 추론설정 민감도 실행이다. Repaired는 추가 생성이 아니라 보존된 원응답에 결정론적 변환을 적용한 별도 실행정책이다. 이러한 구분에 따라 본문은 Baseline Strict의 Run1을 먼저 보고하고, 이후 High와 Repaired에서 결과의 해석이 어떻게 달라지는지 분석한다.</w:t>
      </w:r>
    </w:p>
    <w:p>
      <w:bookmarkStart w:id="9" w:name="cap_2"/>
      <w:pPr>
        <w:pStyle w:val="af"/>
        <w:widowControl/>
      </w:pPr>
      <w:r>
        <w:t>표 1-2. 평가경로와 보존하는 정보</w:t>
      </w:r>
      <w:bookmarkEnd w:id="9"/>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1247"/>
        <w:gridCol w:w="3515"/>
        <w:gridCol w:w="3175"/>
      </w:tblGrid>
      <w:tr>
        <w:trPr>
          <w:cantSplit/>
          <w:tblHeader/>
        </w:trPr>
        <w:tc>
          <w:tcPr>
            <w:tcW w:type="dxa" w:w="1247"/>
            <w:vAlign w:val="center"/>
            <w:shd w:fill="F1F1F1"/>
            <w:tcMar>
              <w:top w:w="65" w:type="dxa"/>
              <w:left w:w="65" w:type="dxa"/>
              <w:bottom w:w="65" w:type="dxa"/>
              <w:right w:w="65" w:type="dxa"/>
            </w:tcMar>
          </w:tcPr>
          <w:p>
            <w:pPr>
              <w:pStyle w:val="TableText"/>
              <w:keepNext/>
              <w:widowControl/>
              <w:jc w:val="center"/>
            </w:pPr>
            <w:r>
              <w:rPr>
                <w:b/>
                <w:sz w:val="18"/>
              </w:rPr>
              <w:t>단계</w:t>
            </w:r>
          </w:p>
        </w:tc>
        <w:tc>
          <w:tcPr>
            <w:tcW w:type="dxa" w:w="3515"/>
            <w:vAlign w:val="center"/>
            <w:shd w:fill="F1F1F1"/>
            <w:tcMar>
              <w:top w:w="65" w:type="dxa"/>
              <w:left w:w="65" w:type="dxa"/>
              <w:bottom w:w="65" w:type="dxa"/>
              <w:right w:w="65" w:type="dxa"/>
            </w:tcMar>
          </w:tcPr>
          <w:p>
            <w:pPr>
              <w:pStyle w:val="TableText"/>
              <w:keepNext/>
              <w:widowControl/>
              <w:jc w:val="center"/>
            </w:pPr>
            <w:r>
              <w:rPr>
                <w:b/>
                <w:sz w:val="18"/>
              </w:rPr>
              <w:t>입력과 처리</w:t>
            </w:r>
          </w:p>
        </w:tc>
        <w:tc>
          <w:tcPr>
            <w:tcW w:type="dxa" w:w="3175"/>
            <w:vAlign w:val="center"/>
            <w:shd w:fill="F1F1F1"/>
            <w:tcMar>
              <w:top w:w="65" w:type="dxa"/>
              <w:left w:w="65" w:type="dxa"/>
              <w:bottom w:w="65" w:type="dxa"/>
              <w:right w:w="65" w:type="dxa"/>
            </w:tcMar>
          </w:tcPr>
          <w:p>
            <w:pPr>
              <w:pStyle w:val="TableText"/>
              <w:keepNext/>
              <w:widowControl/>
              <w:jc w:val="center"/>
            </w:pPr>
            <w:r>
              <w:rPr>
                <w:b/>
                <w:sz w:val="18"/>
              </w:rPr>
              <w:t>분리하여 보존할 대상</w:t>
            </w:r>
          </w:p>
        </w:tc>
      </w:tr>
      <w:tr>
        <w:trPr>
          <w:cantSplit/>
        </w:trPr>
        <w:tc>
          <w:tcPr>
            <w:tcW w:type="dxa" w:w="1247"/>
            <w:vAlign w:val="center"/>
            <w:tcMar>
              <w:top w:w="65" w:type="dxa"/>
              <w:left w:w="65" w:type="dxa"/>
              <w:bottom w:w="65" w:type="dxa"/>
              <w:right w:w="65" w:type="dxa"/>
            </w:tcMar>
          </w:tcPr>
          <w:p>
            <w:pPr>
              <w:pStyle w:val="TableText"/>
              <w:keepNext/>
              <w:widowControl/>
              <w:jc w:val="left"/>
            </w:pPr>
            <w:r>
              <w:rPr>
                <w:b w:val="0"/>
                <w:sz w:val="18"/>
              </w:rPr>
              <w:t>생성</w:t>
            </w:r>
          </w:p>
        </w:tc>
        <w:tc>
          <w:tcPr>
            <w:tcW w:type="dxa" w:w="3515"/>
            <w:vAlign w:val="center"/>
            <w:tcMar>
              <w:top w:w="65" w:type="dxa"/>
              <w:left w:w="65" w:type="dxa"/>
              <w:bottom w:w="65" w:type="dxa"/>
              <w:right w:w="65" w:type="dxa"/>
            </w:tcMar>
          </w:tcPr>
          <w:p>
            <w:pPr>
              <w:pStyle w:val="TableText"/>
              <w:keepNext/>
              <w:widowControl/>
              <w:jc w:val="left"/>
            </w:pPr>
            <w:r>
              <w:rPr>
                <w:b w:val="0"/>
                <w:sz w:val="18"/>
              </w:rPr>
              <w:t>기업정보·행동계약·프롬프트·추론 설정을 입력하여 원응답 생성</w:t>
            </w:r>
          </w:p>
        </w:tc>
        <w:tc>
          <w:tcPr>
            <w:tcW w:type="dxa" w:w="3175"/>
            <w:vAlign w:val="center"/>
            <w:tcMar>
              <w:top w:w="65" w:type="dxa"/>
              <w:left w:w="65" w:type="dxa"/>
              <w:bottom w:w="65" w:type="dxa"/>
              <w:right w:w="65" w:type="dxa"/>
            </w:tcMar>
          </w:tcPr>
          <w:p>
            <w:pPr>
              <w:pStyle w:val="TableText"/>
              <w:keepNext/>
              <w:widowControl/>
              <w:jc w:val="left"/>
            </w:pPr>
            <w:r>
              <w:rPr>
                <w:b w:val="0"/>
                <w:sz w:val="18"/>
              </w:rPr>
              <w:t>모델 식별자, request ID, 부모 초안, 원응답</w:t>
            </w:r>
          </w:p>
        </w:tc>
      </w:tr>
      <w:tr>
        <w:trPr>
          <w:cantSplit/>
        </w:trPr>
        <w:tc>
          <w:tcPr>
            <w:tcW w:type="dxa" w:w="1247"/>
            <w:vAlign w:val="center"/>
            <w:tcMar>
              <w:top w:w="65" w:type="dxa"/>
              <w:left w:w="65" w:type="dxa"/>
              <w:bottom w:w="65" w:type="dxa"/>
              <w:right w:w="65" w:type="dxa"/>
            </w:tcMar>
          </w:tcPr>
          <w:p>
            <w:pPr>
              <w:pStyle w:val="TableText"/>
              <w:keepNext w:val="0"/>
              <w:widowControl/>
              <w:jc w:val="left"/>
            </w:pPr>
            <w:r>
              <w:rPr>
                <w:b w:val="0"/>
                <w:sz w:val="18"/>
              </w:rPr>
              <w:t>검증·실행</w:t>
            </w:r>
          </w:p>
        </w:tc>
        <w:tc>
          <w:tcPr>
            <w:tcW w:type="dxa" w:w="3515"/>
            <w:vAlign w:val="center"/>
            <w:tcMar>
              <w:top w:w="65" w:type="dxa"/>
              <w:left w:w="65" w:type="dxa"/>
              <w:bottom w:w="65" w:type="dxa"/>
              <w:right w:w="65" w:type="dxa"/>
            </w:tcMar>
          </w:tcPr>
          <w:p>
            <w:pPr>
              <w:pStyle w:val="TableText"/>
              <w:keepNext w:val="0"/>
              <w:widowControl/>
              <w:jc w:val="left"/>
            </w:pPr>
            <w:r>
              <w:rPr>
                <w:b w:val="0"/>
                <w:sz w:val="18"/>
              </w:rPr>
              <w:t>행동 파싱 및 계약 검사; Strict 또는 Repaired 규칙 적용</w:t>
            </w:r>
          </w:p>
        </w:tc>
        <w:tc>
          <w:tcPr>
            <w:tcW w:type="dxa" w:w="3175"/>
            <w:vAlign w:val="center"/>
            <w:tcMar>
              <w:top w:w="65" w:type="dxa"/>
              <w:left w:w="65" w:type="dxa"/>
              <w:bottom w:w="65" w:type="dxa"/>
              <w:right w:w="65" w:type="dxa"/>
            </w:tcMar>
          </w:tcPr>
          <w:p>
            <w:pPr>
              <w:pStyle w:val="TableText"/>
              <w:keepNext w:val="0"/>
              <w:widowControl/>
              <w:jc w:val="left"/>
            </w:pPr>
            <w:r>
              <w:rPr>
                <w:b w:val="0"/>
                <w:sz w:val="18"/>
              </w:rPr>
              <w:t>proposed, accepted, ITT, 오류와 변환내역</w:t>
            </w:r>
          </w:p>
        </w:tc>
      </w:tr>
      <w:tr>
        <w:trPr>
          <w:cantSplit/>
        </w:trPr>
        <w:tc>
          <w:tcPr>
            <w:tcW w:type="dxa" w:w="1247"/>
            <w:vAlign w:val="center"/>
            <w:tcMar>
              <w:top w:w="65" w:type="dxa"/>
              <w:left w:w="65" w:type="dxa"/>
              <w:bottom w:w="65" w:type="dxa"/>
              <w:right w:w="65" w:type="dxa"/>
            </w:tcMar>
          </w:tcPr>
          <w:p>
            <w:pPr>
              <w:pStyle w:val="TableText"/>
              <w:keepNext w:val="0"/>
              <w:widowControl/>
              <w:jc w:val="left"/>
            </w:pPr>
            <w:r>
              <w:rPr>
                <w:b w:val="0"/>
                <w:sz w:val="18"/>
              </w:rPr>
              <w:t>재무 전파</w:t>
            </w:r>
          </w:p>
        </w:tc>
        <w:tc>
          <w:tcPr>
            <w:tcW w:type="dxa" w:w="3515"/>
            <w:vAlign w:val="center"/>
            <w:tcMar>
              <w:top w:w="65" w:type="dxa"/>
              <w:left w:w="65" w:type="dxa"/>
              <w:bottom w:w="65" w:type="dxa"/>
              <w:right w:w="65" w:type="dxa"/>
            </w:tcMar>
          </w:tcPr>
          <w:p>
            <w:pPr>
              <w:pStyle w:val="TableText"/>
              <w:keepNext w:val="0"/>
              <w:widowControl/>
              <w:jc w:val="left"/>
            </w:pPr>
            <w:r>
              <w:rPr>
                <w:b w:val="0"/>
                <w:sz w:val="18"/>
              </w:rPr>
              <w:t>동일 기업의 정책행동과 A0를 같은 Simulator에 적용</w:t>
            </w:r>
          </w:p>
        </w:tc>
        <w:tc>
          <w:tcPr>
            <w:tcW w:type="dxa" w:w="3175"/>
            <w:vAlign w:val="center"/>
            <w:tcMar>
              <w:top w:w="65" w:type="dxa"/>
              <w:left w:w="65" w:type="dxa"/>
              <w:bottom w:w="65" w:type="dxa"/>
              <w:right w:w="65" w:type="dxa"/>
            </w:tcMar>
          </w:tcPr>
          <w:p>
            <w:pPr>
              <w:pStyle w:val="TableText"/>
              <w:keepNext w:val="0"/>
              <w:widowControl/>
              <w:jc w:val="left"/>
            </w:pPr>
            <w:r>
              <w:rPr>
                <w:b w:val="0"/>
                <w:sz w:val="18"/>
              </w:rPr>
              <w:t>실현 행동, 재무상태, 유동성·cash-plug 관련 가정</w:t>
            </w:r>
          </w:p>
        </w:tc>
      </w:tr>
      <w:tr>
        <w:trPr>
          <w:cantSplit/>
        </w:trPr>
        <w:tc>
          <w:tcPr>
            <w:tcW w:type="dxa" w:w="1247"/>
            <w:vAlign w:val="center"/>
            <w:tcMar>
              <w:top w:w="65" w:type="dxa"/>
              <w:left w:w="65" w:type="dxa"/>
              <w:bottom w:w="65" w:type="dxa"/>
              <w:right w:w="65" w:type="dxa"/>
            </w:tcMar>
          </w:tcPr>
          <w:p>
            <w:pPr>
              <w:pStyle w:val="TableText"/>
              <w:keepNext w:val="0"/>
              <w:widowControl/>
              <w:jc w:val="left"/>
            </w:pPr>
            <w:r>
              <w:rPr>
                <w:b w:val="0"/>
                <w:sz w:val="18"/>
              </w:rPr>
              <w:t>평가</w:t>
            </w:r>
          </w:p>
        </w:tc>
        <w:tc>
          <w:tcPr>
            <w:tcW w:type="dxa" w:w="3515"/>
            <w:vAlign w:val="center"/>
            <w:tcMar>
              <w:top w:w="65" w:type="dxa"/>
              <w:left w:w="65" w:type="dxa"/>
              <w:bottom w:w="65" w:type="dxa"/>
              <w:right w:w="65" w:type="dxa"/>
            </w:tcMar>
          </w:tcPr>
          <w:p>
            <w:pPr>
              <w:pStyle w:val="TableText"/>
              <w:keepNext w:val="0"/>
              <w:widowControl/>
              <w:jc w:val="left"/>
            </w:pPr>
            <w:r>
              <w:rPr>
                <w:b w:val="0"/>
                <w:sz w:val="18"/>
              </w:rPr>
              <w:t>각 Oracle 내부에서 정책행동과 A0의 차이 계산</w:t>
            </w:r>
          </w:p>
        </w:tc>
        <w:tc>
          <w:tcPr>
            <w:tcW w:type="dxa" w:w="3175"/>
            <w:vAlign w:val="center"/>
            <w:tcMar>
              <w:top w:w="65" w:type="dxa"/>
              <w:left w:w="65" w:type="dxa"/>
              <w:bottom w:w="65" w:type="dxa"/>
              <w:right w:w="65" w:type="dxa"/>
            </w:tcMar>
          </w:tcPr>
          <w:p>
            <w:pPr>
              <w:pStyle w:val="TableText"/>
              <w:keepNext w:val="0"/>
              <w:widowControl/>
              <w:jc w:val="left"/>
            </w:pPr>
            <w:r>
              <w:rPr>
                <w:b w:val="0"/>
                <w:sz w:val="18"/>
              </w:rPr>
              <w:t>절대 신용평점과 A0 대비 정책가치</w:t>
            </w:r>
          </w:p>
        </w:tc>
      </w:tr>
      <w:tr>
        <w:trPr>
          <w:cantSplit/>
        </w:trPr>
        <w:tc>
          <w:tcPr>
            <w:tcW w:type="dxa" w:w="1247"/>
            <w:vAlign w:val="center"/>
            <w:tcMar>
              <w:top w:w="65" w:type="dxa"/>
              <w:left w:w="65" w:type="dxa"/>
              <w:bottom w:w="65" w:type="dxa"/>
              <w:right w:w="65" w:type="dxa"/>
            </w:tcMar>
          </w:tcPr>
          <w:p>
            <w:pPr>
              <w:pStyle w:val="TableText"/>
              <w:keepNext w:val="0"/>
              <w:widowControl/>
              <w:jc w:val="left"/>
            </w:pPr>
            <w:r>
              <w:rPr>
                <w:b w:val="0"/>
                <w:sz w:val="18"/>
              </w:rPr>
              <w:t>비교</w:t>
            </w:r>
          </w:p>
        </w:tc>
        <w:tc>
          <w:tcPr>
            <w:tcW w:type="dxa" w:w="3515"/>
            <w:vAlign w:val="center"/>
            <w:tcMar>
              <w:top w:w="65" w:type="dxa"/>
              <w:left w:w="65" w:type="dxa"/>
              <w:bottom w:w="65" w:type="dxa"/>
              <w:right w:w="65" w:type="dxa"/>
            </w:tcMar>
          </w:tcPr>
          <w:p>
            <w:pPr>
              <w:pStyle w:val="TableText"/>
              <w:keepNext w:val="0"/>
              <w:widowControl/>
              <w:jc w:val="left"/>
            </w:pPr>
            <w:r>
              <w:rPr>
                <w:b w:val="0"/>
                <w:sz w:val="18"/>
              </w:rPr>
              <w:t>동일 기업의 조건 간 차이를 집계; Run1/Run2 분리</w:t>
            </w:r>
          </w:p>
        </w:tc>
        <w:tc>
          <w:tcPr>
            <w:tcW w:type="dxa" w:w="3175"/>
            <w:vAlign w:val="center"/>
            <w:tcMar>
              <w:top w:w="65" w:type="dxa"/>
              <w:left w:w="65" w:type="dxa"/>
              <w:bottom w:w="65" w:type="dxa"/>
              <w:right w:w="65" w:type="dxa"/>
            </w:tcMar>
          </w:tcPr>
          <w:p>
            <w:pPr>
              <w:pStyle w:val="TableText"/>
              <w:keepNext w:val="0"/>
              <w:widowControl/>
              <w:jc w:val="left"/>
            </w:pPr>
            <w:r>
              <w:rPr>
                <w:b w:val="0"/>
                <w:sz w:val="18"/>
              </w:rPr>
              <w:t>ITT, strict 교집합 PP, 불확실성, 반복성</w:t>
            </w:r>
          </w:p>
        </w:tc>
      </w:tr>
    </w:tbl>
    <w:p>
      <w:pPr>
        <w:pStyle w:val="SourceNote"/>
        <w:widowControl/>
      </w:pPr>
    </w:p>
    <w:p>
      <w:bookmarkStart w:id="10" w:name="head_8"/>
      <w:pPr>
        <w:pStyle w:val="2"/>
        <w:widowControl/>
      </w:pPr>
      <w:r>
        <w:t>1.5 연구의 기여</w:t>
      </w:r>
      <w:bookmarkEnd w:id="10"/>
    </w:p>
    <w:p>
      <w:pPr>
        <w:widowControl/>
      </w:pPr>
      <w:r>
        <w:t>첫째, LLM 권고의 품질을 평가하기 전에 평가기반이 무엇을 검증했는지 구분하는 틀을 제시한다. Oracle의 등급 정렬, Simulator의 회계적 일관성, 행동별 평가 민감도와 현실의 실행효과를 동일시하지 않는다. 이를 통해 검증자료가 존재한다는 사실보다 그 자료가 현재의 주장에 적용되는 범위를 확인한다.</w:t>
      </w:r>
    </w:p>
    <w:p>
      <w:pPr>
        <w:widowControl/>
      </w:pPr>
      <w:r>
        <w:t>둘째, 동일한 C4 초안에서 출발한 자기 재검토·학습정책 참조·불일치 참조를 비교하고, B1과 BINF에서 같은 대비를 반복한다. 이 설계는 최종 수정효과를 재검토 조건의 차이와 추가 참조 조건의 차이로 나눈다. 참조가 있다는 사실, 참조의 내용, 참조와 기업의 연결을 구분하여 서술할 수 있다는 점이 중요하다.</w:t>
      </w:r>
    </w:p>
    <w:p>
      <w:pPr>
        <w:widowControl/>
      </w:pPr>
      <w:r>
        <w:t>셋째, 생성모델과 실행규칙의 결합이 관측된 정책가치에 영향을 준다는 것을 실제 원응답과 재평가 기록으로 확인한다. 특히 Strict와 Repaired의 차이를 모델의 본래 의도 복원으로 해석하지 않고, 서로 다른 실행정책의 차이로 취급한다. 높은 추론 설정에서 수용률이 개선되더라도 평균 정책가치와 개별 권고의 반복성은 다른 결과일 수 있음을 함께 제시한다.</w:t>
      </w:r>
    </w:p>
    <w:p>
      <w:pPr>
        <w:widowControl/>
      </w:pPr>
      <w:r>
        <w:t>이 연구는 실제 신용등급 개선을 입증하거나 특정 모델의 보편적 우월성을 주장하지 않는다. 연구의 기여는 제한된 평가환경에서의 비교를 더 명료하게 만들고, 같은 모델명 아래에서도 달라질 수 있는 생성·검증·실행 조건을 재현 가능한 평가단위로 제시하는 데 있다.</w:t>
      </w:r>
    </w:p>
    <w:p>
      <w:bookmarkStart w:id="11" w:name="head_9"/>
      <w:pPr>
        <w:pStyle w:val="2"/>
        <w:widowControl/>
      </w:pPr>
      <w:r>
        <w:t>1.6 논문의 구성</w:t>
      </w:r>
      <w:bookmarkEnd w:id="11"/>
    </w:p>
    <w:p>
      <w:pPr>
        <w:widowControl/>
      </w:pPr>
      <w:r>
        <w:t>제2장은 기업 신용위험 측정, 알고리즘적 권고, 오프라인 강화학습과 정책으로서의 LLM 문헌을 검토하고 연구질문에 대응하는 분석틀을 제시한다. 제3장은 V4.3 행동계약, 표본과 실행조건, 참조정책의 결합, 네 행동 계층, Strict·Repaired 및 PP, 통계적 비교를 정의한다.</w:t>
      </w:r>
    </w:p>
    <w:p>
      <w:pPr>
        <w:widowControl/>
      </w:pPr>
      <w:r>
        <w:t>제4장은 평가기반 개발검증과 최신 의미론 점검의 범위를 구분하고, 9개 후보행동의 평가결과와 C3-E의 역할을 살펴본다. 제5장은 Baseline Run1의 실행완결성, 수용률, 정책가치, 네 핵심 대비, 행동공간과 정보조건을 제시한다. 제6장은 High와 Repaired, 추론설정과 조건효과의 상호작용, 부모 분기규칙에 대한 민감도, 반복성과 API 비용을 다룬다. 제7장은 연구질문을 회수하고 실무적 함의와 한계를 정리한다. 부록은 현재 행동명세, 전체 수치표, 추적정보와 프롬프트를 제공하고 구형 실험의 지위를 별도로 기록한다.</w:t>
      </w:r>
    </w:p>
    <w:p>
      <w:bookmarkStart w:id="12" w:name="head_10"/>
      <w:pPr>
        <w:pStyle w:val="1"/>
        <w:widowControl/>
      </w:pPr>
      <w:r>
        <w:t>제2장 이론적 배경과 분석틀</w:t>
      </w:r>
      <w:bookmarkEnd w:id="12"/>
    </w:p>
    <w:p w14:paraId="01207A75" w14:textId="77777777" w:rsidR="00F56EBF" w:rsidRDefault="00F56EBF" w:rsidP="00F56EBF">
      <w:pPr>
        <w:rPr>
          <w:rFonts w:asciiTheme="minorEastAsia" w:eastAsiaTheme="minorEastAsia" w:hAnsiTheme="minorEastAsia"/>
          <w:sz w:val="20"/>
          <w:szCs w:val="20"/>
        </w:rPr>
      </w:pPr>
      <w:r w:rsidRPr="00A25CD7">
        <w:rPr>
          <w:rFonts w:asciiTheme="minorEastAsia" w:eastAsiaTheme="minorEastAsia" w:hAnsiTheme="minorEastAsia" w:ascii="NanumMyeongjo" w:hAnsi="NanumMyeongjo" w:eastAsia="NanumMyeongjo"/>
          <w:sz w:val="20"/>
          <w:szCs w:val="20"/>
        </w:rPr>
        <w:t xml:space="preserve">본 장은 본 연구가 </w:t>
      </w:r>
      <w:r>
        <w:rPr>
          <w:rFonts w:asciiTheme="minorEastAsia" w:eastAsiaTheme="minorEastAsia" w:hAnsiTheme="minorEastAsia" w:hint="eastAsia" w:ascii="NanumMyeongjo" w:hAnsi="NanumMyeongjo" w:eastAsia="NanumMyeongjo"/>
          <w:sz w:val="20"/>
          <w:szCs w:val="20"/>
        </w:rPr>
        <w:t>참고하</w:t>
      </w:r>
      <w:r w:rsidRPr="00A25CD7">
        <w:rPr>
          <w:rFonts w:asciiTheme="minorEastAsia" w:eastAsiaTheme="minorEastAsia" w:hAnsiTheme="minorEastAsia" w:ascii="NanumMyeongjo" w:hAnsi="NanumMyeongjo" w:eastAsia="NanumMyeongjo"/>
          <w:sz w:val="20"/>
          <w:szCs w:val="20"/>
        </w:rPr>
        <w:t xml:space="preserve">는 </w:t>
      </w:r>
      <w:r>
        <w:rPr>
          <w:rFonts w:asciiTheme="minorEastAsia" w:eastAsiaTheme="minorEastAsia" w:hAnsiTheme="minorEastAsia" w:hint="eastAsia" w:ascii="NanumMyeongjo" w:hAnsi="NanumMyeongjo" w:eastAsia="NanumMyeongjo"/>
          <w:sz w:val="20"/>
          <w:szCs w:val="20"/>
        </w:rPr>
        <w:t>기존 연구인</w:t>
      </w:r>
      <w:r w:rsidRPr="00A25CD7">
        <w:rPr>
          <w:rFonts w:asciiTheme="minorEastAsia" w:eastAsiaTheme="minorEastAsia" w:hAnsiTheme="minorEastAsia" w:ascii="NanumMyeongjo" w:hAnsi="NanumMyeongjo" w:eastAsia="NanumMyeongjo"/>
          <w:sz w:val="20"/>
          <w:szCs w:val="20"/>
        </w:rPr>
        <w:t xml:space="preserve"> 기업 신용위험의 계량화, 알고리즘적 권고(algorithmic recourse), 오프라인 강화학습, 그리고 </w:t>
      </w:r>
      <w:proofErr w:type="spellStart"/>
      <w:r w:rsidRPr="00A25CD7">
        <w:rPr>
          <w:rFonts w:asciiTheme="minorEastAsia" w:eastAsiaTheme="minorEastAsia" w:hAnsiTheme="minorEastAsia" w:ascii="NanumMyeongjo" w:hAnsi="NanumMyeongjo" w:eastAsia="NanumMyeongjo"/>
          <w:sz w:val="20"/>
          <w:szCs w:val="20"/>
        </w:rPr>
        <w:t>정책으로서의</w:t>
      </w:r>
      <w:proofErr w:type="spellEnd"/>
      <w:r w:rsidRPr="00A25CD7">
        <w:rPr>
          <w:rFonts w:asciiTheme="minorEastAsia" w:eastAsiaTheme="minorEastAsia" w:hAnsiTheme="minorEastAsia" w:ascii="NanumMyeongjo" w:hAnsi="NanumMyeongjo" w:eastAsia="NanumMyeongjo"/>
          <w:sz w:val="20"/>
          <w:szCs w:val="20"/>
        </w:rPr>
        <w:t xml:space="preserve"> LLM을 차례로 검토한다. 각 절은 해당 </w:t>
      </w:r>
      <w:r>
        <w:rPr>
          <w:rFonts w:asciiTheme="minorEastAsia" w:eastAsiaTheme="minorEastAsia" w:hAnsiTheme="minorEastAsia" w:hint="eastAsia" w:ascii="NanumMyeongjo" w:hAnsi="NanumMyeongjo" w:eastAsia="NanumMyeongjo"/>
          <w:sz w:val="20"/>
          <w:szCs w:val="20"/>
        </w:rPr>
        <w:t>연구가</w:t>
      </w:r>
      <w:r w:rsidRPr="00A25CD7">
        <w:rPr>
          <w:rFonts w:asciiTheme="minorEastAsia" w:eastAsiaTheme="minorEastAsia" w:hAnsiTheme="minorEastAsia" w:ascii="NanumMyeongjo" w:hAnsi="NanumMyeongjo" w:eastAsia="NanumMyeongjo"/>
          <w:sz w:val="20"/>
          <w:szCs w:val="20"/>
        </w:rPr>
        <w:t xml:space="preserve"> 무엇을 해결하였고 무엇을 미해결로 남겼는지 확인한 뒤, 미해결 지점이 본 연구의 어떤 설계요소로 이어지는지를 </w:t>
      </w:r>
      <w:r>
        <w:rPr>
          <w:rFonts w:asciiTheme="minorEastAsia" w:eastAsiaTheme="minorEastAsia" w:hAnsiTheme="minorEastAsia" w:hint="eastAsia" w:ascii="NanumMyeongjo" w:hAnsi="NanumMyeongjo" w:eastAsia="NanumMyeongjo"/>
          <w:sz w:val="20"/>
          <w:szCs w:val="20"/>
        </w:rPr>
        <w:t>서술</w:t>
      </w:r>
      <w:r w:rsidRPr="00A25CD7">
        <w:rPr>
          <w:rFonts w:asciiTheme="minorEastAsia" w:eastAsiaTheme="minorEastAsia" w:hAnsiTheme="minorEastAsia" w:ascii="NanumMyeongjo" w:hAnsi="NanumMyeongjo" w:eastAsia="NanumMyeongjo"/>
          <w:sz w:val="20"/>
          <w:szCs w:val="20"/>
        </w:rPr>
        <w:t xml:space="preserve">한다. </w:t>
      </w:r>
    </w:p>
    <w:p w14:paraId="560694CC" w14:textId="77777777" w:rsidR="00F56EBF" w:rsidRDefault="00F56EBF" w:rsidP="00F56EBF">
      <w:pPr>
        <w:rPr>
          <w:rFonts w:asciiTheme="minorEastAsia" w:eastAsiaTheme="minorEastAsia" w:hAnsiTheme="minorEastAsia"/>
          <w:sz w:val="20"/>
          <w:szCs w:val="20"/>
        </w:rPr>
      </w:pPr>
      <w:r w:rsidRPr="00A25CD7">
        <w:rPr>
          <w:rFonts w:asciiTheme="minorEastAsia" w:eastAsiaTheme="minorEastAsia" w:hAnsiTheme="minorEastAsia" w:ascii="NanumMyeongjo" w:hAnsi="NanumMyeongjo" w:eastAsia="NanumMyeongjo"/>
          <w:sz w:val="20"/>
          <w:szCs w:val="20"/>
        </w:rPr>
        <w:t xml:space="preserve">이어 제2.5절에서 본 연구의 평가단위인 정책 </w:t>
      </w:r>
      <w:proofErr w:type="spellStart"/>
      <w:r w:rsidRPr="00A25CD7">
        <w:rPr>
          <w:rFonts w:asciiTheme="minorEastAsia" w:eastAsiaTheme="minorEastAsia" w:hAnsiTheme="minorEastAsia" w:ascii="NanumMyeongjo" w:hAnsi="NanumMyeongjo" w:eastAsia="NanumMyeongjo"/>
          <w:sz w:val="20"/>
          <w:szCs w:val="20"/>
        </w:rPr>
        <w:t>하네스와</w:t>
      </w:r>
      <w:proofErr w:type="spellEnd"/>
      <w:r w:rsidRPr="00A25CD7">
        <w:rPr>
          <w:rFonts w:asciiTheme="minorEastAsia" w:eastAsiaTheme="minorEastAsia" w:hAnsiTheme="minorEastAsia" w:ascii="NanumMyeongjo" w:hAnsi="NanumMyeongjo" w:eastAsia="NanumMyeongjo"/>
          <w:sz w:val="20"/>
          <w:szCs w:val="20"/>
        </w:rPr>
        <w:t xml:space="preserve"> 그 이론적 근거인 측정 타당성 </w:t>
      </w:r>
      <w:r>
        <w:rPr>
          <w:rFonts w:asciiTheme="minorEastAsia" w:eastAsiaTheme="minorEastAsia" w:hAnsiTheme="minorEastAsia" w:hint="eastAsia" w:ascii="NanumMyeongjo" w:hAnsi="NanumMyeongjo" w:eastAsia="NanumMyeongjo"/>
          <w:sz w:val="20"/>
          <w:szCs w:val="20"/>
        </w:rPr>
        <w:t>연구를</w:t>
      </w:r>
      <w:r w:rsidRPr="00A25CD7">
        <w:rPr>
          <w:rFonts w:asciiTheme="minorEastAsia" w:eastAsiaTheme="minorEastAsia" w:hAnsiTheme="minorEastAsia" w:ascii="NanumMyeongjo" w:hAnsi="NanumMyeongjo" w:eastAsia="NanumMyeongjo"/>
          <w:sz w:val="20"/>
          <w:szCs w:val="20"/>
        </w:rPr>
        <w:t xml:space="preserve"> 정리하고, 제2.6절에서 이 평가단위를 검증 없이 다룰 때 발생하는 세 가지 귀속 문제</w:t>
      </w:r>
      <w:r>
        <w:rPr>
          <w:rFonts w:asciiTheme="minorEastAsia" w:eastAsiaTheme="minorEastAsia" w:hAnsiTheme="minorEastAsia" w:hint="eastAsia" w:ascii="NanumMyeongjo" w:hAnsi="NanumMyeongjo" w:eastAsia="NanumMyeongjo"/>
          <w:sz w:val="20"/>
          <w:szCs w:val="20"/>
        </w:rPr>
        <w:t>를</w:t>
      </w:r>
      <w:r w:rsidRPr="00A25CD7">
        <w:rPr>
          <w:rFonts w:asciiTheme="minorEastAsia" w:eastAsiaTheme="minorEastAsia" w:hAnsiTheme="minorEastAsia" w:ascii="NanumMyeongjo" w:hAnsi="NanumMyeongjo" w:eastAsia="NanumMyeongjo"/>
          <w:sz w:val="20"/>
          <w:szCs w:val="20"/>
        </w:rPr>
        <w:t xml:space="preserve"> </w:t>
      </w:r>
      <w:r>
        <w:rPr>
          <w:rFonts w:asciiTheme="minorEastAsia" w:eastAsiaTheme="minorEastAsia" w:hAnsiTheme="minorEastAsia" w:hint="eastAsia" w:ascii="NanumMyeongjo" w:hAnsi="NanumMyeongjo" w:eastAsia="NanumMyeongjo"/>
          <w:sz w:val="20"/>
          <w:szCs w:val="20"/>
        </w:rPr>
        <w:t>정의</w:t>
      </w:r>
      <w:r w:rsidRPr="00A25CD7">
        <w:rPr>
          <w:rFonts w:asciiTheme="minorEastAsia" w:eastAsiaTheme="minorEastAsia" w:hAnsiTheme="minorEastAsia" w:ascii="NanumMyeongjo" w:hAnsi="NanumMyeongjo" w:eastAsia="NanumMyeongjo"/>
          <w:sz w:val="20"/>
          <w:szCs w:val="20"/>
        </w:rPr>
        <w:t>한다. 제2.7절은 선행연구의 공백을 종합하며, 제2.8절은 제1장의 연구질문 RQ1–RQ5에 대응하는 가설 H1–H5를 도출한다.</w:t>
      </w:r>
    </w:p>
    <w:p>
      <w:bookmarkStart w:id="13" w:name="head_11"/>
      <w:pPr>
        <w:pStyle w:val="2"/>
        <w:widowControl/>
      </w:pPr>
      <w:r>
        <w:t>2.1 기업 신용위험 측정과 신용평가</w:t>
      </w:r>
      <w:bookmarkEnd w:id="13"/>
    </w:p>
    <w:p>
      <w:bookmarkStart w:id="14" w:name="head_12"/>
      <w:pPr>
        <w:pStyle w:val="3"/>
        <w:widowControl/>
      </w:pPr>
      <w:r>
        <w:t>2.1.1 예측 문제로서의 신용위험: 회계·구조·기계학습 모형</w:t>
      </w:r>
      <w:bookmarkEnd w:id="14"/>
    </w:p>
    <w:p w14:paraId="06F00D78" w14:textId="77777777" w:rsidR="00F56EBF" w:rsidRDefault="00F56EBF" w:rsidP="00F56EBF">
      <w:pPr>
        <w:rPr>
          <w:rFonts w:asciiTheme="minorEastAsia" w:eastAsiaTheme="minorEastAsia" w:hAnsiTheme="minorEastAsia"/>
          <w:sz w:val="20"/>
          <w:szCs w:val="20"/>
        </w:rPr>
      </w:pPr>
      <w:r w:rsidRPr="00A25CD7">
        <w:rPr>
          <w:rFonts w:asciiTheme="minorEastAsia" w:eastAsiaTheme="minorEastAsia" w:hAnsiTheme="minorEastAsia" w:ascii="NanumMyeongjo" w:hAnsi="NanumMyeongjo" w:eastAsia="NanumMyeongjo"/>
          <w:sz w:val="20"/>
          <w:szCs w:val="20"/>
        </w:rPr>
        <w:t>기업 신용위험의 계량화는 세</w:t>
      </w:r>
      <w:r>
        <w:rPr>
          <w:rFonts w:asciiTheme="minorEastAsia" w:eastAsiaTheme="minorEastAsia" w:hAnsiTheme="minorEastAsia" w:hint="eastAsia" w:ascii="NanumMyeongjo" w:hAnsi="NanumMyeongjo" w:eastAsia="NanumMyeongjo"/>
          <w:sz w:val="20"/>
          <w:szCs w:val="20"/>
        </w:rPr>
        <w:t xml:space="preserve"> 가지</w:t>
      </w:r>
      <w:r w:rsidRPr="00A25CD7">
        <w:rPr>
          <w:rFonts w:asciiTheme="minorEastAsia" w:eastAsiaTheme="minorEastAsia" w:hAnsiTheme="minorEastAsia" w:ascii="NanumMyeongjo" w:hAnsi="NanumMyeongjo" w:eastAsia="NanumMyeongjo"/>
          <w:sz w:val="20"/>
          <w:szCs w:val="20"/>
        </w:rPr>
        <w:t xml:space="preserve"> </w:t>
      </w:r>
      <w:r>
        <w:rPr>
          <w:rFonts w:asciiTheme="minorEastAsia" w:eastAsiaTheme="minorEastAsia" w:hAnsiTheme="minorEastAsia" w:hint="eastAsia" w:ascii="NanumMyeongjo" w:hAnsi="NanumMyeongjo" w:eastAsia="NanumMyeongjo"/>
          <w:sz w:val="20"/>
          <w:szCs w:val="20"/>
        </w:rPr>
        <w:t>흐름으</w:t>
      </w:r>
      <w:r w:rsidRPr="00A25CD7">
        <w:rPr>
          <w:rFonts w:asciiTheme="minorEastAsia" w:eastAsiaTheme="minorEastAsia" w:hAnsiTheme="minorEastAsia" w:ascii="NanumMyeongjo" w:hAnsi="NanumMyeongjo" w:eastAsia="NanumMyeongjo"/>
          <w:sz w:val="20"/>
          <w:szCs w:val="20"/>
        </w:rPr>
        <w:t xml:space="preserve">로 발전해 왔다. 첫 번째는 회계정보 기반 </w:t>
      </w:r>
      <w:r>
        <w:rPr>
          <w:rFonts w:asciiTheme="minorEastAsia" w:eastAsiaTheme="minorEastAsia" w:hAnsiTheme="minorEastAsia" w:hint="eastAsia" w:ascii="NanumMyeongjo" w:hAnsi="NanumMyeongjo" w:eastAsia="NanumMyeongjo"/>
          <w:sz w:val="20"/>
          <w:szCs w:val="20"/>
        </w:rPr>
        <w:t>평가</w:t>
      </w:r>
      <w:r w:rsidRPr="00A25CD7">
        <w:rPr>
          <w:rFonts w:asciiTheme="minorEastAsia" w:eastAsiaTheme="minorEastAsia" w:hAnsiTheme="minorEastAsia" w:ascii="NanumMyeongjo" w:hAnsi="NanumMyeongjo" w:eastAsia="NanumMyeongjo"/>
          <w:sz w:val="20"/>
          <w:szCs w:val="20"/>
        </w:rPr>
        <w:t xml:space="preserve">이다. Beaver(1966)는 개별 재무비율이 부도기업과 건전기업을 수년 전부터 구분할 수 있음을 보였고, Altman(1968)은 다섯 개 재무비율의 판별함수(Z-score)로 이를 </w:t>
      </w:r>
      <w:proofErr w:type="spellStart"/>
      <w:r w:rsidRPr="00A25CD7">
        <w:rPr>
          <w:rFonts w:asciiTheme="minorEastAsia" w:eastAsiaTheme="minorEastAsia" w:hAnsiTheme="minorEastAsia" w:ascii="NanumMyeongjo" w:hAnsi="NanumMyeongjo" w:eastAsia="NanumMyeongjo"/>
          <w:sz w:val="20"/>
          <w:szCs w:val="20"/>
        </w:rPr>
        <w:t>다변량</w:t>
      </w:r>
      <w:proofErr w:type="spellEnd"/>
      <w:r w:rsidRPr="00A25CD7">
        <w:rPr>
          <w:rFonts w:asciiTheme="minorEastAsia" w:eastAsiaTheme="minorEastAsia" w:hAnsiTheme="minorEastAsia" w:ascii="NanumMyeongjo" w:hAnsi="NanumMyeongjo" w:eastAsia="NanumMyeongjo"/>
          <w:sz w:val="20"/>
          <w:szCs w:val="20"/>
        </w:rPr>
        <w:t xml:space="preserve"> 문제로 확장하였다. Ohlson(1980)은 판별분석의 분포 가정 문제를 지적하며 로지스틱 회귀로 부도확률을 직접 추정하는 틀을 제시하였고, 이 확률적 접근은 이후 순서형 모형을 통한 등급 예측으로 이어졌다. </w:t>
      </w:r>
    </w:p>
    <w:p w14:paraId="424171E3" w14:textId="77777777" w:rsidR="00F56EBF" w:rsidRDefault="00F56EBF" w:rsidP="00F56EBF">
      <w:pPr>
        <w:rPr>
          <w:rFonts w:asciiTheme="minorEastAsia" w:eastAsiaTheme="minorEastAsia" w:hAnsiTheme="minorEastAsia"/>
          <w:sz w:val="20"/>
          <w:szCs w:val="20"/>
        </w:rPr>
      </w:pPr>
      <w:r w:rsidRPr="00A25CD7">
        <w:rPr>
          <w:rFonts w:asciiTheme="minorEastAsia" w:eastAsiaTheme="minorEastAsia" w:hAnsiTheme="minorEastAsia" w:ascii="NanumMyeongjo" w:hAnsi="NanumMyeongjo" w:eastAsia="NanumMyeongjo"/>
          <w:sz w:val="20"/>
          <w:szCs w:val="20"/>
        </w:rPr>
        <w:t>두 번째는 시장정보 기반 구조모형이다. Merton(1974)은 기업의 자기자본을 기업가치에 대한 콜옵션으로 보아 부도를 기업가치가 부채가치를 하회하는 사건으로 정</w:t>
      </w:r>
      <w:r>
        <w:rPr>
          <w:rFonts w:asciiTheme="minorEastAsia" w:eastAsiaTheme="minorEastAsia" w:hAnsiTheme="minorEastAsia" w:hint="eastAsia" w:ascii="NanumMyeongjo" w:hAnsi="NanumMyeongjo" w:eastAsia="NanumMyeongjo"/>
          <w:sz w:val="20"/>
          <w:szCs w:val="20"/>
        </w:rPr>
        <w:t>의</w:t>
      </w:r>
      <w:r w:rsidRPr="00A25CD7">
        <w:rPr>
          <w:rFonts w:asciiTheme="minorEastAsia" w:eastAsiaTheme="minorEastAsia" w:hAnsiTheme="minorEastAsia" w:ascii="NanumMyeongjo" w:hAnsi="NanumMyeongjo" w:eastAsia="NanumMyeongjo"/>
          <w:sz w:val="20"/>
          <w:szCs w:val="20"/>
        </w:rPr>
        <w:t>하였고, 이 구조에서 도출되는 부도거리(distance-to-default)는 KMV 모형을 통해 실무 부도예측의 표준 지표로 정착하였다(Kealhofer, 2003). Jarrow와 Turnbull(1995)의 축약형 모형은 부도를 외생적 강도과정으로 다루어 시장가격</w:t>
      </w:r>
      <w:r>
        <w:rPr>
          <w:rFonts w:asciiTheme="minorEastAsia" w:eastAsiaTheme="minorEastAsia" w:hAnsiTheme="minorEastAsia" w:hint="eastAsia" w:ascii="NanumMyeongjo" w:hAnsi="NanumMyeongjo" w:eastAsia="NanumMyeongjo"/>
          <w:sz w:val="20"/>
          <w:szCs w:val="20"/>
        </w:rPr>
        <w:t>에서</w:t>
      </w:r>
      <w:r w:rsidRPr="00A25CD7">
        <w:rPr>
          <w:rFonts w:asciiTheme="minorEastAsia" w:eastAsiaTheme="minorEastAsia" w:hAnsiTheme="minorEastAsia" w:ascii="NanumMyeongjo" w:hAnsi="NanumMyeongjo" w:eastAsia="NanumMyeongjo"/>
          <w:sz w:val="20"/>
          <w:szCs w:val="20"/>
        </w:rPr>
        <w:t xml:space="preserve"> 위험을 역산하는 보완적 경로를 </w:t>
      </w:r>
      <w:r>
        <w:rPr>
          <w:rFonts w:asciiTheme="minorEastAsia" w:eastAsiaTheme="minorEastAsia" w:hAnsiTheme="minorEastAsia" w:hint="eastAsia" w:ascii="NanumMyeongjo" w:hAnsi="NanumMyeongjo" w:eastAsia="NanumMyeongjo"/>
          <w:sz w:val="20"/>
          <w:szCs w:val="20"/>
        </w:rPr>
        <w:t>마련하였</w:t>
      </w:r>
      <w:r w:rsidRPr="00A25CD7">
        <w:rPr>
          <w:rFonts w:asciiTheme="minorEastAsia" w:eastAsiaTheme="minorEastAsia" w:hAnsiTheme="minorEastAsia" w:ascii="NanumMyeongjo" w:hAnsi="NanumMyeongjo" w:eastAsia="NanumMyeongjo"/>
          <w:sz w:val="20"/>
          <w:szCs w:val="20"/>
        </w:rPr>
        <w:t xml:space="preserve">다. </w:t>
      </w:r>
    </w:p>
    <w:p w14:paraId="63BADB44" w14:textId="77777777" w:rsidR="00F56EBF" w:rsidRPr="00A25CD7" w:rsidRDefault="00F56EBF" w:rsidP="00F56EBF">
      <w:pPr>
        <w:rPr>
          <w:rFonts w:asciiTheme="minorEastAsia" w:eastAsiaTheme="minorEastAsia" w:hAnsiTheme="minorEastAsia"/>
          <w:sz w:val="20"/>
          <w:szCs w:val="20"/>
        </w:rPr>
      </w:pPr>
      <w:r w:rsidRPr="00A25CD7">
        <w:rPr>
          <w:rFonts w:asciiTheme="minorEastAsia" w:eastAsiaTheme="minorEastAsia" w:hAnsiTheme="minorEastAsia" w:ascii="NanumMyeongjo" w:hAnsi="NanumMyeongjo" w:eastAsia="NanumMyeongjo"/>
          <w:sz w:val="20"/>
          <w:szCs w:val="20"/>
        </w:rPr>
        <w:t xml:space="preserve">세 번째는 기계학습 </w:t>
      </w:r>
      <w:r>
        <w:rPr>
          <w:rFonts w:asciiTheme="minorEastAsia" w:eastAsiaTheme="minorEastAsia" w:hAnsiTheme="minorEastAsia" w:hint="eastAsia" w:ascii="NanumMyeongjo" w:hAnsi="NanumMyeongjo" w:eastAsia="NanumMyeongjo"/>
          <w:sz w:val="20"/>
          <w:szCs w:val="20"/>
        </w:rPr>
        <w:t>방법으</w:t>
      </w:r>
      <w:r w:rsidRPr="00A25CD7">
        <w:rPr>
          <w:rFonts w:asciiTheme="minorEastAsia" w:eastAsiaTheme="minorEastAsia" w:hAnsiTheme="minorEastAsia" w:ascii="NanumMyeongjo" w:hAnsi="NanumMyeongjo" w:eastAsia="NanumMyeongjo"/>
          <w:sz w:val="20"/>
          <w:szCs w:val="20"/>
        </w:rPr>
        <w:t>로, 트리 앙상블과 신경망이 비선형성과 상호작용을 포착하여 예측 정확도를 추가로 끌어올렸다.</w:t>
      </w:r>
    </w:p>
    <w:p w14:paraId="127ABCB0" w14:textId="77777777" w:rsidR="00F56EBF" w:rsidRPr="00A25CD7" w:rsidRDefault="00F56EBF" w:rsidP="00F56EBF">
      <w:pPr>
        <w:rPr>
          <w:rFonts w:asciiTheme="minorEastAsia" w:eastAsiaTheme="minorEastAsia" w:hAnsiTheme="minorEastAsia"/>
          <w:sz w:val="20"/>
          <w:szCs w:val="20"/>
        </w:rPr>
      </w:pPr>
      <w:r w:rsidRPr="00A25CD7">
        <w:rPr>
          <w:rFonts w:asciiTheme="minorEastAsia" w:eastAsiaTheme="minorEastAsia" w:hAnsiTheme="minorEastAsia" w:ascii="NanumMyeongjo" w:hAnsi="NanumMyeongjo" w:eastAsia="NanumMyeongjo"/>
          <w:sz w:val="20"/>
          <w:szCs w:val="20"/>
        </w:rPr>
        <w:t xml:space="preserve">이 세 </w:t>
      </w:r>
      <w:r>
        <w:rPr>
          <w:rFonts w:asciiTheme="minorEastAsia" w:eastAsiaTheme="minorEastAsia" w:hAnsiTheme="minorEastAsia" w:hint="eastAsia" w:ascii="NanumMyeongjo" w:hAnsi="NanumMyeongjo" w:eastAsia="NanumMyeongjo"/>
          <w:sz w:val="20"/>
          <w:szCs w:val="20"/>
        </w:rPr>
        <w:t>가지 흐름은</w:t>
      </w:r>
      <w:r w:rsidRPr="00A25CD7">
        <w:rPr>
          <w:rFonts w:asciiTheme="minorEastAsia" w:eastAsiaTheme="minorEastAsia" w:hAnsiTheme="minorEastAsia" w:ascii="NanumMyeongjo" w:hAnsi="NanumMyeongjo" w:eastAsia="NanumMyeongjo"/>
          <w:sz w:val="20"/>
          <w:szCs w:val="20"/>
        </w:rPr>
        <w:t xml:space="preserve"> 공통적으로 하나의 질문, 즉 "이 기업의 신용상태는 얼마나 위험한가"라는 측정·예측 문제를 다룬다. 본 연구는 </w:t>
      </w:r>
      <w:r>
        <w:rPr>
          <w:rFonts w:asciiTheme="minorEastAsia" w:eastAsiaTheme="minorEastAsia" w:hAnsiTheme="minorEastAsia" w:hint="eastAsia" w:ascii="NanumMyeongjo" w:hAnsi="NanumMyeongjo" w:eastAsia="NanumMyeongjo"/>
          <w:sz w:val="20"/>
          <w:szCs w:val="20"/>
        </w:rPr>
        <w:t>기존 연구들을 반영하여,</w:t>
      </w:r>
      <w:r w:rsidRPr="00A25CD7">
        <w:rPr>
          <w:rFonts w:asciiTheme="minorEastAsia" w:eastAsiaTheme="minorEastAsia" w:hAnsiTheme="minorEastAsia" w:ascii="NanumMyeongjo" w:hAnsi="NanumMyeongjo" w:eastAsia="NanumMyeongjo"/>
          <w:sz w:val="20"/>
          <w:szCs w:val="20"/>
        </w:rPr>
        <w:t xml:space="preserve"> 세</w:t>
      </w:r>
      <w:r>
        <w:rPr>
          <w:rFonts w:asciiTheme="minorEastAsia" w:eastAsiaTheme="minorEastAsia" w:hAnsiTheme="minorEastAsia" w:hint="eastAsia" w:ascii="NanumMyeongjo" w:hAnsi="NanumMyeongjo" w:eastAsia="NanumMyeongjo"/>
          <w:sz w:val="20"/>
          <w:szCs w:val="20"/>
        </w:rPr>
        <w:t xml:space="preserve"> 가지</w:t>
      </w:r>
      <w:r w:rsidRPr="00A25CD7">
        <w:rPr>
          <w:rFonts w:asciiTheme="minorEastAsia" w:eastAsiaTheme="minorEastAsia" w:hAnsiTheme="minorEastAsia" w:ascii="NanumMyeongjo" w:hAnsi="NanumMyeongjo" w:eastAsia="NanumMyeongjo"/>
          <w:sz w:val="20"/>
          <w:szCs w:val="20"/>
        </w:rPr>
        <w:t xml:space="preserve"> Oracle</w:t>
      </w:r>
      <w:r>
        <w:rPr>
          <w:rFonts w:asciiTheme="minorEastAsia" w:eastAsiaTheme="minorEastAsia" w:hAnsiTheme="minorEastAsia" w:hint="eastAsia" w:ascii="NanumMyeongjo" w:hAnsi="NanumMyeongjo" w:eastAsia="NanumMyeongjo"/>
          <w:sz w:val="20"/>
          <w:szCs w:val="20"/>
        </w:rPr>
        <w:t>을 구성할 때</w:t>
      </w:r>
      <w:r w:rsidRPr="00A25CD7">
        <w:rPr>
          <w:rFonts w:asciiTheme="minorEastAsia" w:eastAsiaTheme="minorEastAsia" w:hAnsiTheme="minorEastAsia" w:ascii="NanumMyeongjo" w:hAnsi="NanumMyeongjo" w:eastAsia="NanumMyeongjo"/>
          <w:sz w:val="20"/>
          <w:szCs w:val="20"/>
        </w:rPr>
        <w:t xml:space="preserve"> </w:t>
      </w:r>
      <w:r>
        <w:rPr>
          <w:rFonts w:asciiTheme="minorEastAsia" w:eastAsiaTheme="minorEastAsia" w:hAnsiTheme="minorEastAsia" w:hint="eastAsia" w:ascii="NanumMyeongjo" w:hAnsi="NanumMyeongjo" w:eastAsia="NanumMyeongjo"/>
          <w:sz w:val="20"/>
          <w:szCs w:val="20"/>
        </w:rPr>
        <w:t>각 흐름별</w:t>
      </w:r>
      <w:r w:rsidRPr="00A25CD7">
        <w:rPr>
          <w:rFonts w:asciiTheme="minorEastAsia" w:eastAsiaTheme="minorEastAsia" w:hAnsiTheme="minorEastAsia" w:ascii="NanumMyeongjo" w:hAnsi="NanumMyeongjo" w:eastAsia="NanumMyeongjo"/>
          <w:sz w:val="20"/>
          <w:szCs w:val="20"/>
        </w:rPr>
        <w:t xml:space="preserve"> 대표 구</w:t>
      </w:r>
      <w:r>
        <w:rPr>
          <w:rFonts w:asciiTheme="minorEastAsia" w:eastAsiaTheme="minorEastAsia" w:hAnsiTheme="minorEastAsia" w:hint="eastAsia" w:ascii="NanumMyeongjo" w:hAnsi="NanumMyeongjo" w:eastAsia="NanumMyeongjo"/>
          <w:sz w:val="20"/>
          <w:szCs w:val="20"/>
        </w:rPr>
        <w:t xml:space="preserve">조 - </w:t>
      </w:r>
      <w:r w:rsidRPr="00A25CD7">
        <w:rPr>
          <w:rFonts w:asciiTheme="minorEastAsia" w:eastAsiaTheme="minorEastAsia" w:hAnsiTheme="minorEastAsia" w:ascii="NanumMyeongjo" w:hAnsi="NanumMyeongjo" w:eastAsia="NanumMyeongjo"/>
          <w:sz w:val="20"/>
          <w:szCs w:val="20"/>
        </w:rPr>
        <w:t>스코어카드</w:t>
      </w:r>
      <w:r>
        <w:rPr>
          <w:rFonts w:asciiTheme="minorEastAsia" w:eastAsiaTheme="minorEastAsia" w:hAnsiTheme="minorEastAsia" w:hint="eastAsia" w:ascii="NanumMyeongjo" w:hAnsi="NanumMyeongjo" w:eastAsia="NanumMyeongjo"/>
          <w:sz w:val="20"/>
          <w:szCs w:val="20"/>
        </w:rPr>
        <w:t xml:space="preserve"> 신용평가모형</w:t>
      </w:r>
      <w:r w:rsidRPr="00A25CD7">
        <w:rPr>
          <w:rFonts w:asciiTheme="minorEastAsia" w:eastAsiaTheme="minorEastAsia" w:hAnsiTheme="minorEastAsia" w:ascii="NanumMyeongjo" w:hAnsi="NanumMyeongjo" w:eastAsia="NanumMyeongjo"/>
          <w:sz w:val="20"/>
          <w:szCs w:val="20"/>
        </w:rPr>
        <w:t>(회계</w:t>
      </w:r>
      <w:r>
        <w:rPr>
          <w:rFonts w:asciiTheme="minorEastAsia" w:eastAsiaTheme="minorEastAsia" w:hAnsiTheme="minorEastAsia" w:hint="eastAsia" w:ascii="NanumMyeongjo" w:hAnsi="NanumMyeongjo" w:eastAsia="NanumMyeongjo"/>
          <w:sz w:val="20"/>
          <w:szCs w:val="20"/>
        </w:rPr>
        <w:t>정보</w:t>
      </w:r>
      <w:r w:rsidRPr="00A25CD7">
        <w:rPr>
          <w:rFonts w:asciiTheme="minorEastAsia" w:eastAsiaTheme="minorEastAsia" w:hAnsiTheme="minorEastAsia" w:ascii="NanumMyeongjo" w:hAnsi="NanumMyeongjo" w:eastAsia="NanumMyeongjo"/>
          <w:sz w:val="20"/>
          <w:szCs w:val="20"/>
        </w:rPr>
        <w:t xml:space="preserve"> </w:t>
      </w:r>
      <w:r>
        <w:rPr>
          <w:rFonts w:asciiTheme="minorEastAsia" w:eastAsiaTheme="minorEastAsia" w:hAnsiTheme="minorEastAsia" w:hint="eastAsia" w:ascii="NanumMyeongjo" w:hAnsi="NanumMyeongjo" w:eastAsia="NanumMyeongjo"/>
          <w:sz w:val="20"/>
          <w:szCs w:val="20"/>
        </w:rPr>
        <w:t>기반</w:t>
      </w:r>
      <w:r w:rsidRPr="00A25CD7">
        <w:rPr>
          <w:rFonts w:asciiTheme="minorEastAsia" w:eastAsiaTheme="minorEastAsia" w:hAnsiTheme="minorEastAsia" w:ascii="NanumMyeongjo" w:hAnsi="NanumMyeongjo" w:eastAsia="NanumMyeongjo"/>
          <w:sz w:val="20"/>
          <w:szCs w:val="20"/>
        </w:rPr>
        <w:t xml:space="preserve"> 표준), 순서형 </w:t>
      </w:r>
      <w:proofErr w:type="spellStart"/>
      <w:r w:rsidRPr="00A25CD7">
        <w:rPr>
          <w:rFonts w:asciiTheme="minorEastAsia" w:eastAsiaTheme="minorEastAsia" w:hAnsiTheme="minorEastAsia" w:ascii="NanumMyeongjo" w:hAnsi="NanumMyeongjo" w:eastAsia="NanumMyeongjo"/>
          <w:sz w:val="20"/>
          <w:szCs w:val="20"/>
        </w:rPr>
        <w:t>로짓</w:t>
      </w:r>
      <w:proofErr w:type="spellEnd"/>
      <w:r w:rsidRPr="00A25CD7">
        <w:rPr>
          <w:rFonts w:asciiTheme="minorEastAsia" w:eastAsiaTheme="minorEastAsia" w:hAnsiTheme="minorEastAsia" w:ascii="NanumMyeongjo" w:hAnsi="NanumMyeongjo" w:eastAsia="NanumMyeongjo"/>
          <w:sz w:val="20"/>
          <w:szCs w:val="20"/>
        </w:rPr>
        <w:t>(확률적 등급모형), 트리 앙상블(기계학습)</w:t>
      </w:r>
      <w:r>
        <w:rPr>
          <w:rFonts w:asciiTheme="minorEastAsia" w:eastAsiaTheme="minorEastAsia" w:hAnsiTheme="minorEastAsia" w:hint="eastAsia" w:ascii="NanumMyeongjo" w:hAnsi="NanumMyeongjo" w:eastAsia="NanumMyeongjo"/>
          <w:sz w:val="20"/>
          <w:szCs w:val="20"/>
        </w:rPr>
        <w:t xml:space="preserve"> </w:t>
      </w:r>
      <w:proofErr w:type="gramStart"/>
      <w:r>
        <w:rPr>
          <w:rFonts w:asciiTheme="minorEastAsia" w:eastAsiaTheme="minorEastAsia" w:hAnsiTheme="minorEastAsia" w:hint="eastAsia" w:ascii="NanumMyeongjo" w:hAnsi="NanumMyeongjo" w:eastAsia="NanumMyeongjo"/>
          <w:sz w:val="20"/>
          <w:szCs w:val="20"/>
        </w:rPr>
        <w:t xml:space="preserve">- </w:t>
      </w:r>
      <w:r w:rsidRPr="00A25CD7">
        <w:rPr>
          <w:rFonts w:asciiTheme="minorEastAsia" w:eastAsiaTheme="minorEastAsia" w:hAnsiTheme="minorEastAsia" w:ascii="NanumMyeongjo" w:hAnsi="NanumMyeongjo" w:eastAsia="NanumMyeongjo"/>
          <w:sz w:val="20"/>
          <w:szCs w:val="20"/>
        </w:rPr>
        <w:t>를</w:t>
      </w:r>
      <w:proofErr w:type="gramEnd"/>
      <w:r w:rsidRPr="00A25CD7">
        <w:rPr>
          <w:rFonts w:asciiTheme="minorEastAsia" w:eastAsiaTheme="minorEastAsia" w:hAnsiTheme="minorEastAsia" w:ascii="NanumMyeongjo" w:hAnsi="NanumMyeongjo" w:eastAsia="NanumMyeongjo"/>
          <w:sz w:val="20"/>
          <w:szCs w:val="20"/>
        </w:rPr>
        <w:t xml:space="preserve"> 그대로 </w:t>
      </w:r>
      <w:r>
        <w:rPr>
          <w:rFonts w:asciiTheme="minorEastAsia" w:eastAsiaTheme="minorEastAsia" w:hAnsiTheme="minorEastAsia" w:hint="eastAsia" w:ascii="NanumMyeongjo" w:hAnsi="NanumMyeongjo" w:eastAsia="NanumMyeongjo"/>
          <w:sz w:val="20"/>
          <w:szCs w:val="20"/>
        </w:rPr>
        <w:t>차용하며</w:t>
      </w:r>
      <w:r w:rsidRPr="00A25CD7">
        <w:rPr>
          <w:rFonts w:asciiTheme="minorEastAsia" w:eastAsiaTheme="minorEastAsia" w:hAnsiTheme="minorEastAsia" w:ascii="NanumMyeongjo" w:hAnsi="NanumMyeongjo" w:eastAsia="NanumMyeongjo"/>
          <w:sz w:val="20"/>
          <w:szCs w:val="20"/>
        </w:rPr>
        <w:t xml:space="preserve">, Candidate-IQL의 보조보상에는 Merton </w:t>
      </w:r>
      <w:r>
        <w:rPr>
          <w:rFonts w:asciiTheme="minorEastAsia" w:eastAsiaTheme="minorEastAsia" w:hAnsiTheme="minorEastAsia" w:hint="eastAsia" w:ascii="NanumMyeongjo" w:hAnsi="NanumMyeongjo" w:eastAsia="NanumMyeongjo"/>
          <w:sz w:val="20"/>
          <w:szCs w:val="20"/>
        </w:rPr>
        <w:t>모형에 따른</w:t>
      </w:r>
      <w:r w:rsidRPr="00A25CD7">
        <w:rPr>
          <w:rFonts w:asciiTheme="minorEastAsia" w:eastAsiaTheme="minorEastAsia" w:hAnsiTheme="minorEastAsia" w:ascii="NanumMyeongjo" w:hAnsi="NanumMyeongjo" w:eastAsia="NanumMyeongjo"/>
          <w:sz w:val="20"/>
          <w:szCs w:val="20"/>
        </w:rPr>
        <w:t xml:space="preserve"> 부도거리 근사가 포함된다. </w:t>
      </w:r>
    </w:p>
    <w:p>
      <w:bookmarkStart w:id="15" w:name="head_13"/>
      <w:pPr>
        <w:pStyle w:val="3"/>
        <w:widowControl/>
      </w:pPr>
      <w:r>
        <w:t>2.1.2 검증가능성과 사용범위</w:t>
      </w:r>
      <w:bookmarkEnd w:id="15"/>
    </w:p>
    <w:p>
      <w:pPr>
        <w:widowControl/>
      </w:pPr>
      <w:r>
        <w:t>신용위험 예측의 개선과 기업이 실행할 행동의 제안은 서로 다른 문제이다. 예측모형은 자료에서 위험의 차이를 구분하는 것을 목표로 하지만, 권고는 어떤 변화를 실행하고 그 변화가 다른 재무항목에 미치는 영향을 함께 다루어야 한다. 따라서 예측 정확도가 높다는 사실만으로 처방의 타당성이 확보되는 것은 아니다.</w:t>
      </w:r>
    </w:p>
    <w:p w14:paraId="16E6C26A" w14:textId="77777777" w:rsidR="00F56EBF" w:rsidRDefault="00F56EBF" w:rsidP="00F56EBF">
      <w:pPr>
        <w:rPr>
          <w:rFonts w:asciiTheme="minorEastAsia" w:eastAsiaTheme="minorEastAsia" w:hAnsiTheme="minorEastAsia"/>
          <w:sz w:val="20"/>
          <w:szCs w:val="20"/>
        </w:rPr>
      </w:pPr>
      <w:r>
        <w:rPr>
          <w:rFonts w:asciiTheme="minorEastAsia" w:eastAsiaTheme="minorEastAsia" w:hAnsiTheme="minorEastAsia" w:hint="eastAsia" w:ascii="NanumMyeongjo" w:hAnsi="NanumMyeongjo" w:eastAsia="NanumMyeongjo"/>
          <w:sz w:val="20"/>
          <w:szCs w:val="20"/>
        </w:rPr>
        <w:t xml:space="preserve">금융 업무에서 모형을 사용할 때 예측 정확도가 유일한 설계기준은 아니며, </w:t>
      </w:r>
      <w:r w:rsidRPr="00DD1DB2">
        <w:rPr>
          <w:rFonts w:asciiTheme="minorEastAsia" w:eastAsiaTheme="minorEastAsia" w:hAnsiTheme="minorEastAsia" w:hint="eastAsia" w:ascii="NanumMyeongjo" w:hAnsi="NanumMyeongjo" w:eastAsia="NanumMyeongjo"/>
          <w:sz w:val="20"/>
          <w:szCs w:val="20"/>
        </w:rPr>
        <w:t>특히 Basel Framework의 내부등급법(IRB) 최소요건은 내부등급법의 승인</w:t>
      </w:r>
      <w:r>
        <w:rPr>
          <w:rFonts w:asciiTheme="minorEastAsia" w:eastAsiaTheme="minorEastAsia" w:hAnsiTheme="minorEastAsia" w:hint="eastAsia" w:ascii="NanumMyeongjo" w:hAnsi="NanumMyeongjo" w:eastAsia="NanumMyeongjo"/>
          <w:sz w:val="20"/>
          <w:szCs w:val="20"/>
        </w:rPr>
        <w:t xml:space="preserve">, </w:t>
      </w:r>
      <w:r w:rsidRPr="00DD1DB2">
        <w:rPr>
          <w:rFonts w:asciiTheme="minorEastAsia" w:eastAsiaTheme="minorEastAsia" w:hAnsiTheme="minorEastAsia" w:hint="eastAsia" w:ascii="NanumMyeongjo" w:hAnsi="NanumMyeongjo" w:eastAsia="NanumMyeongjo"/>
          <w:sz w:val="20"/>
          <w:szCs w:val="20"/>
        </w:rPr>
        <w:t>검증</w:t>
      </w:r>
      <w:r>
        <w:rPr>
          <w:rFonts w:asciiTheme="minorEastAsia" w:eastAsiaTheme="minorEastAsia" w:hAnsiTheme="minorEastAsia" w:hint="eastAsia" w:ascii="NanumMyeongjo" w:hAnsi="NanumMyeongjo" w:eastAsia="NanumMyeongjo"/>
          <w:sz w:val="20"/>
          <w:szCs w:val="20"/>
        </w:rPr>
        <w:t xml:space="preserve">, </w:t>
      </w:r>
      <w:r w:rsidRPr="00DD1DB2">
        <w:rPr>
          <w:rFonts w:asciiTheme="minorEastAsia" w:eastAsiaTheme="minorEastAsia" w:hAnsiTheme="minorEastAsia" w:hint="eastAsia" w:ascii="NanumMyeongjo" w:hAnsi="NanumMyeongjo" w:eastAsia="NanumMyeongjo"/>
          <w:sz w:val="20"/>
          <w:szCs w:val="20"/>
        </w:rPr>
        <w:t>문서화</w:t>
      </w:r>
      <w:r>
        <w:rPr>
          <w:rFonts w:asciiTheme="minorEastAsia" w:eastAsiaTheme="minorEastAsia" w:hAnsiTheme="minorEastAsia" w:hint="eastAsia" w:ascii="NanumMyeongjo" w:hAnsi="NanumMyeongjo" w:eastAsia="NanumMyeongjo"/>
          <w:sz w:val="20"/>
          <w:szCs w:val="20"/>
        </w:rPr>
        <w:t>,</w:t>
      </w:r>
      <w:r w:rsidRPr="00DD1DB2">
        <w:rPr>
          <w:rFonts w:asciiTheme="minorEastAsia" w:eastAsiaTheme="minorEastAsia" w:hAnsiTheme="minorEastAsia" w:hint="eastAsia" w:ascii="NanumMyeongjo" w:hAnsi="NanumMyeongjo" w:eastAsia="NanumMyeongjo"/>
          <w:sz w:val="20"/>
          <w:szCs w:val="20"/>
        </w:rPr>
        <w:t xml:space="preserve"> 지속적 사용 가능성을 요구하므로(Basel Committee on Banking Supervision, 2022), 정확도가 높다는 사실만으로는 모형의 도입이 정당화되지 않는다.</w:t>
      </w:r>
    </w:p>
    <w:p w14:paraId="4C70C1CF" w14:textId="77777777" w:rsidR="00F56EBF" w:rsidRPr="008D50F6" w:rsidRDefault="00F56EBF" w:rsidP="00F56EBF">
      <w:pPr>
        <w:rPr>
          <w:rFonts w:asciiTheme="minorEastAsia" w:eastAsiaTheme="minorEastAsia" w:hAnsiTheme="minorEastAsia"/>
          <w:sz w:val="20"/>
          <w:szCs w:val="20"/>
        </w:rPr>
      </w:pPr>
      <w:r w:rsidRPr="008D50F6">
        <w:rPr>
          <w:rFonts w:asciiTheme="minorEastAsia" w:eastAsiaTheme="minorEastAsia" w:hAnsiTheme="minorEastAsia" w:ascii="NanumMyeongjo" w:hAnsi="NanumMyeongjo" w:eastAsia="NanumMyeongjo"/>
          <w:sz w:val="20"/>
          <w:szCs w:val="20"/>
        </w:rPr>
        <w:t xml:space="preserve">본 연구는 이러한 규제적 요구를 두 가지 방식으로 반영한다. 하나는 주 평가도구인 Oracle-α를 금융 실무에서 널리 쓰이는 스코어카드 구조로 구성하는 것이고, 다른 하나는 LLM 등 정책의 성과를 비교하기 전에 평가도구가 개발기간외 데이터(OOT)에서도 실제 신용등급과 정렬되는지를 먼저 검증하는 것이다. </w:t>
      </w:r>
    </w:p>
    <w:p>
      <w:pPr>
        <w:widowControl/>
      </w:pPr>
      <w:r>
        <w:t>본 논문에서 규제환경은 연구의 동기를 제공한다. 제시한 실험이 감독상 모형승인 요건 전체를 충족한다는 의미로 사용하지 않는다. 회계항등식과 출력형식 검증은 승인에 필요한 여러 검토 중 일부이며, 실제 고객·기업에 적용할 경우에는 별도의 실행가능성 및 책임구조 검토가 필요하다.</w:t>
      </w:r>
    </w:p>
    <w:p>
      <w:bookmarkStart w:id="16" w:name="head_14"/>
      <w:pPr>
        <w:pStyle w:val="3"/>
        <w:widowControl/>
      </w:pPr>
      <w:r>
        <w:t>2.1.3 LLM과 신용위험: 진단에서 처방으로</w:t>
      </w:r>
      <w:bookmarkEnd w:id="16"/>
    </w:p>
    <w:p>
      <w:pPr>
        <w:widowControl/>
      </w:pPr>
      <w:r>
        <w:t>최근에는 LLM을 신용평가 영역에 적용하려는 연구가 빠르게 축적되고 있다. Golec과 Alabduljalil(2026)의 체계적 문헌검토는 이 흐름을 해석가능성 중심으로 분류하면서, 대다수 연구가 여전히 분류·예측 과제(부도 예측, 등급 분류, 텍스트 기반 위험신호 추출)에 LLM을 투입하고 있음을 보였다. 반면 재무정보를 해석하고 위험요인을 자연어로 설명할 수 있다는 LLM의 특성은 구체적인 개선행동을 제안하는 처방의 가능성을 시사한다. 본 연구는 이러한 예측·진단의 활용과 구분하여, 처방으로 생성된 재무행동을 어떤 실행규칙과 평가기반 아래에서 비교할지를 연구문제로 삼는다.</w:t>
      </w:r>
    </w:p>
    <w:p>
      <w:bookmarkStart w:id="17" w:name="head_15"/>
      <w:pPr>
        <w:pStyle w:val="2"/>
        <w:widowControl/>
      </w:pPr>
      <w:r>
        <w:t>2.2 알고리즘적 권고와 반사실적 설명</w:t>
      </w:r>
      <w:bookmarkEnd w:id="17"/>
    </w:p>
    <w:p>
      <w:bookmarkStart w:id="18" w:name="head_16"/>
      <w:pPr>
        <w:pStyle w:val="3"/>
        <w:widowControl/>
      </w:pPr>
      <w:r>
        <w:t>2.2.1 반사실적 설명에서 실행가능한 권고로</w:t>
      </w:r>
      <w:bookmarkEnd w:id="18"/>
    </w:p>
    <w:p w14:paraId="6190DF3D" w14:textId="77777777" w:rsidR="00F56EBF" w:rsidRPr="008719F6" w:rsidRDefault="00F56EBF" w:rsidP="00F56EBF">
      <w:pPr>
        <w:rPr>
          <w:rFonts w:asciiTheme="minorEastAsia" w:eastAsiaTheme="minorEastAsia" w:hAnsiTheme="minorEastAsia"/>
          <w:sz w:val="20"/>
          <w:szCs w:val="20"/>
        </w:rPr>
      </w:pPr>
      <w:r w:rsidRPr="008719F6">
        <w:rPr>
          <w:rFonts w:asciiTheme="minorEastAsia" w:eastAsiaTheme="minorEastAsia" w:hAnsiTheme="minorEastAsia" w:ascii="NanumMyeongjo" w:hAnsi="NanumMyeongjo" w:eastAsia="NanumMyeongjo"/>
          <w:sz w:val="20"/>
          <w:szCs w:val="20"/>
        </w:rPr>
        <w:t>기계학습의 설명가능성 연구에서 반사실적 설명(counterfactual explanation)은 "입력이 어떻게 달라져야 결과물이 바뀌었을 것인가"를 제시하는 접근</w:t>
      </w:r>
      <w:r w:rsidR="00C209B3">
        <w:rPr>
          <w:rFonts w:asciiTheme="minorEastAsia" w:eastAsiaTheme="minorEastAsia" w:hAnsiTheme="minorEastAsia" w:hint="eastAsia" w:ascii="NanumMyeongjo" w:hAnsi="NanumMyeongjo" w:eastAsia="NanumMyeongjo"/>
          <w:sz w:val="20"/>
          <w:szCs w:val="20"/>
        </w:rPr>
        <w:t>이</w:t>
      </w:r>
      <w:r w:rsidRPr="008719F6">
        <w:rPr>
          <w:rFonts w:asciiTheme="minorEastAsia" w:eastAsiaTheme="minorEastAsia" w:hAnsiTheme="minorEastAsia" w:ascii="NanumMyeongjo" w:hAnsi="NanumMyeongjo" w:eastAsia="NanumMyeongjo"/>
          <w:sz w:val="20"/>
          <w:szCs w:val="20"/>
        </w:rPr>
        <w:t>다. (Wachter et al., 2017). Karimi et al.(2020</w:t>
      </w:r>
      <w:proofErr w:type="gramStart"/>
      <w:r w:rsidRPr="008719F6">
        <w:rPr>
          <w:rFonts w:asciiTheme="minorEastAsia" w:eastAsiaTheme="minorEastAsia" w:hAnsiTheme="minorEastAsia" w:ascii="NanumMyeongjo" w:hAnsi="NanumMyeongjo" w:eastAsia="NanumMyeongjo"/>
          <w:sz w:val="20"/>
          <w:szCs w:val="20"/>
        </w:rPr>
        <w:t>a)은</w:t>
      </w:r>
      <w:proofErr w:type="gramEnd"/>
      <w:r w:rsidRPr="008719F6">
        <w:rPr>
          <w:rFonts w:asciiTheme="minorEastAsia" w:eastAsiaTheme="minorEastAsia" w:hAnsiTheme="minorEastAsia" w:ascii="NanumMyeongjo" w:hAnsi="NanumMyeongjo" w:eastAsia="NanumMyeongjo"/>
          <w:sz w:val="20"/>
          <w:szCs w:val="20"/>
        </w:rPr>
        <w:t xml:space="preserve"> 모델에 종속되지 않는 반사실적 설명의 생성문제를 다루었고, Ustun </w:t>
      </w:r>
      <w:proofErr w:type="gramStart"/>
      <w:r w:rsidRPr="008719F6">
        <w:rPr>
          <w:rFonts w:asciiTheme="minorEastAsia" w:eastAsiaTheme="minorEastAsia" w:hAnsiTheme="minorEastAsia" w:ascii="NanumMyeongjo" w:hAnsi="NanumMyeongjo" w:eastAsia="NanumMyeongjo"/>
          <w:sz w:val="20"/>
          <w:szCs w:val="20"/>
        </w:rPr>
        <w:t>등(2019)은</w:t>
      </w:r>
      <w:proofErr w:type="gramEnd"/>
      <w:r w:rsidRPr="008719F6">
        <w:rPr>
          <w:rFonts w:asciiTheme="minorEastAsia" w:eastAsiaTheme="minorEastAsia" w:hAnsiTheme="minorEastAsia" w:ascii="NanumMyeongjo" w:hAnsi="NanumMyeongjo" w:eastAsia="NanumMyeongjo"/>
          <w:sz w:val="20"/>
          <w:szCs w:val="20"/>
        </w:rPr>
        <w:t xml:space="preserve"> 이를 실행가능성(actionability)의 문제로 전환하였다. 결과를 뒤집는 입력 변화가 존재한다는 </w:t>
      </w:r>
      <w:r w:rsidR="008719F6">
        <w:rPr>
          <w:rFonts w:asciiTheme="minorEastAsia" w:eastAsiaTheme="minorEastAsia" w:hAnsiTheme="minorEastAsia" w:hint="eastAsia" w:ascii="NanumMyeongjo" w:hAnsi="NanumMyeongjo" w:eastAsia="NanumMyeongjo"/>
          <w:sz w:val="20"/>
          <w:szCs w:val="20"/>
        </w:rPr>
        <w:t>것</w:t>
      </w:r>
      <w:r w:rsidRPr="008719F6">
        <w:rPr>
          <w:rFonts w:asciiTheme="minorEastAsia" w:eastAsiaTheme="minorEastAsia" w:hAnsiTheme="minorEastAsia" w:ascii="NanumMyeongjo" w:hAnsi="NanumMyeongjo" w:eastAsia="NanumMyeongjo"/>
          <w:sz w:val="20"/>
          <w:szCs w:val="20"/>
        </w:rPr>
        <w:t>과</w:t>
      </w:r>
      <w:r w:rsidR="00C209B3">
        <w:rPr>
          <w:rFonts w:asciiTheme="minorEastAsia" w:eastAsiaTheme="minorEastAsia" w:hAnsiTheme="minorEastAsia" w:hint="eastAsia" w:ascii="NanumMyeongjo" w:hAnsi="NanumMyeongjo" w:eastAsia="NanumMyeongjo"/>
          <w:sz w:val="20"/>
          <w:szCs w:val="20"/>
        </w:rPr>
        <w:t xml:space="preserve">, </w:t>
      </w:r>
      <w:r w:rsidRPr="008719F6">
        <w:rPr>
          <w:rFonts w:asciiTheme="minorEastAsia" w:eastAsiaTheme="minorEastAsia" w:hAnsiTheme="minorEastAsia" w:ascii="NanumMyeongjo" w:hAnsi="NanumMyeongjo" w:eastAsia="NanumMyeongjo"/>
          <w:sz w:val="20"/>
          <w:szCs w:val="20"/>
        </w:rPr>
        <w:t>그 변화</w:t>
      </w:r>
      <w:r w:rsidR="00C209B3">
        <w:rPr>
          <w:rFonts w:asciiTheme="minorEastAsia" w:eastAsiaTheme="minorEastAsia" w:hAnsiTheme="minorEastAsia" w:hint="eastAsia" w:ascii="NanumMyeongjo" w:hAnsi="NanumMyeongjo" w:eastAsia="NanumMyeongjo"/>
          <w:sz w:val="20"/>
          <w:szCs w:val="20"/>
        </w:rPr>
        <w:t xml:space="preserve">의 </w:t>
      </w:r>
      <w:r w:rsidR="008719F6">
        <w:rPr>
          <w:rFonts w:asciiTheme="minorEastAsia" w:eastAsiaTheme="minorEastAsia" w:hAnsiTheme="minorEastAsia" w:hint="eastAsia" w:ascii="NanumMyeongjo" w:hAnsi="NanumMyeongjo" w:eastAsia="NanumMyeongjo"/>
          <w:sz w:val="20"/>
          <w:szCs w:val="20"/>
        </w:rPr>
        <w:t>구현</w:t>
      </w:r>
      <w:r w:rsidR="00C209B3">
        <w:rPr>
          <w:rFonts w:asciiTheme="minorEastAsia" w:eastAsiaTheme="minorEastAsia" w:hAnsiTheme="minorEastAsia" w:hint="eastAsia" w:ascii="NanumMyeongjo" w:hAnsi="NanumMyeongjo" w:eastAsia="NanumMyeongjo"/>
          <w:sz w:val="20"/>
          <w:szCs w:val="20"/>
        </w:rPr>
        <w:t xml:space="preserve"> 가능성은 </w:t>
      </w:r>
      <w:r w:rsidRPr="008719F6">
        <w:rPr>
          <w:rFonts w:asciiTheme="minorEastAsia" w:eastAsiaTheme="minorEastAsia" w:hAnsiTheme="minorEastAsia" w:ascii="NanumMyeongjo" w:hAnsi="NanumMyeongjo" w:eastAsia="NanumMyeongjo"/>
          <w:sz w:val="20"/>
          <w:szCs w:val="20"/>
        </w:rPr>
        <w:t>다르다는 것이다. 실행가능한 권고(actionable recourse)</w:t>
      </w:r>
      <w:r w:rsidR="008719F6">
        <w:rPr>
          <w:rFonts w:asciiTheme="minorEastAsia" w:eastAsiaTheme="minorEastAsia" w:hAnsiTheme="minorEastAsia" w:hint="eastAsia" w:ascii="NanumMyeongjo" w:hAnsi="NanumMyeongjo" w:eastAsia="NanumMyeongjo"/>
          <w:sz w:val="20"/>
          <w:szCs w:val="20"/>
        </w:rPr>
        <w:t>는</w:t>
      </w:r>
      <w:r w:rsidRPr="008719F6">
        <w:rPr>
          <w:rFonts w:asciiTheme="minorEastAsia" w:eastAsiaTheme="minorEastAsia" w:hAnsiTheme="minorEastAsia" w:ascii="NanumMyeongjo" w:hAnsi="NanumMyeongjo" w:eastAsia="NanumMyeongjo"/>
          <w:sz w:val="20"/>
          <w:szCs w:val="20"/>
        </w:rPr>
        <w:t xml:space="preserve"> 변경 가능한 특성의 구분, 변화의 방향 제약, 감당</w:t>
      </w:r>
      <w:r w:rsidR="00C209B3">
        <w:rPr>
          <w:rFonts w:asciiTheme="minorEastAsia" w:eastAsiaTheme="minorEastAsia" w:hAnsiTheme="minorEastAsia" w:hint="eastAsia" w:ascii="NanumMyeongjo" w:hAnsi="NanumMyeongjo" w:eastAsia="NanumMyeongjo"/>
          <w:sz w:val="20"/>
          <w:szCs w:val="20"/>
        </w:rPr>
        <w:t xml:space="preserve"> 가능한</w:t>
      </w:r>
      <w:r w:rsidRPr="008719F6">
        <w:rPr>
          <w:rFonts w:asciiTheme="minorEastAsia" w:eastAsiaTheme="minorEastAsia" w:hAnsiTheme="minorEastAsia" w:ascii="NanumMyeongjo" w:hAnsi="NanumMyeongjo" w:eastAsia="NanumMyeongjo"/>
          <w:sz w:val="20"/>
          <w:szCs w:val="20"/>
        </w:rPr>
        <w:t xml:space="preserve"> 변화량의 상한을 문제의 표준 구성요소로 확립하였다.</w:t>
      </w:r>
    </w:p>
    <w:p w14:paraId="0DD10BDE" w14:textId="77777777" w:rsidR="00F56EBF" w:rsidRPr="00A25CD7" w:rsidRDefault="00F56EBF" w:rsidP="00F56EBF">
      <w:pPr>
        <w:rPr>
          <w:rFonts w:asciiTheme="minorEastAsia" w:eastAsiaTheme="minorEastAsia" w:hAnsiTheme="minorEastAsia"/>
          <w:sz w:val="20"/>
          <w:szCs w:val="20"/>
        </w:rPr>
      </w:pPr>
      <w:r w:rsidRPr="008719F6">
        <w:rPr>
          <w:rFonts w:asciiTheme="minorEastAsia" w:eastAsiaTheme="minorEastAsia" w:hAnsiTheme="minorEastAsia" w:ascii="NanumMyeongjo" w:hAnsi="NanumMyeongjo" w:eastAsia="NanumMyeongjo"/>
          <w:sz w:val="20"/>
          <w:szCs w:val="20"/>
        </w:rPr>
        <w:t>Karimi 등(2021)은 이 흐름을</w:t>
      </w:r>
      <w:r w:rsidRPr="00A25CD7">
        <w:rPr>
          <w:rFonts w:asciiTheme="minorEastAsia" w:eastAsiaTheme="minorEastAsia" w:hAnsiTheme="minorEastAsia" w:ascii="NanumMyeongjo" w:hAnsi="NanumMyeongjo" w:eastAsia="NanumMyeongjo"/>
          <w:sz w:val="20"/>
          <w:szCs w:val="20"/>
        </w:rPr>
        <w:t xml:space="preserve"> 개입(intervention)의 관점에서 재</w:t>
      </w:r>
      <w:r>
        <w:rPr>
          <w:rFonts w:asciiTheme="minorEastAsia" w:eastAsiaTheme="minorEastAsia" w:hAnsiTheme="minorEastAsia" w:hint="eastAsia" w:ascii="NanumMyeongjo" w:hAnsi="NanumMyeongjo" w:eastAsia="NanumMyeongjo"/>
          <w:sz w:val="20"/>
          <w:szCs w:val="20"/>
        </w:rPr>
        <w:t>정의</w:t>
      </w:r>
      <w:r w:rsidRPr="00A25CD7">
        <w:rPr>
          <w:rFonts w:asciiTheme="minorEastAsia" w:eastAsiaTheme="minorEastAsia" w:hAnsiTheme="minorEastAsia" w:ascii="NanumMyeongjo" w:hAnsi="NanumMyeongjo" w:eastAsia="NanumMyeongjo"/>
          <w:sz w:val="20"/>
          <w:szCs w:val="20"/>
        </w:rPr>
        <w:t xml:space="preserve">하였다. 특성들 사이에 인과구조가 존재한다면, 한 특성의 변경은 다른 특성으로 전파되므로 권고는 </w:t>
      </w:r>
      <w:proofErr w:type="spellStart"/>
      <w:r w:rsidRPr="00A25CD7">
        <w:rPr>
          <w:rFonts w:asciiTheme="minorEastAsia" w:eastAsiaTheme="minorEastAsia" w:hAnsiTheme="minorEastAsia" w:ascii="NanumMyeongjo" w:hAnsi="NanumMyeongjo" w:eastAsia="NanumMyeongjo"/>
          <w:sz w:val="20"/>
          <w:szCs w:val="20"/>
        </w:rPr>
        <w:t>특성값의</w:t>
      </w:r>
      <w:proofErr w:type="spellEnd"/>
      <w:r w:rsidRPr="00A25CD7">
        <w:rPr>
          <w:rFonts w:asciiTheme="minorEastAsia" w:eastAsiaTheme="minorEastAsia" w:hAnsiTheme="minorEastAsia" w:ascii="NanumMyeongjo" w:hAnsi="NanumMyeongjo" w:eastAsia="NanumMyeongjo"/>
          <w:sz w:val="20"/>
          <w:szCs w:val="20"/>
        </w:rPr>
        <w:t xml:space="preserve"> 나열이 아니라 인과모형 위의 개입 집합으로 정의되어야 한다는 것이다(Pearl, 2009). 인과지식이 불완전한 현실에서는 권고의 성공이 확률적일 수밖에 없다는 점(Karimi et al., 2020b), 권고 실행 자체에 잡음이 개입하는 순차적 환경의 문제(Xuan et al., 2025), 그리고 권고가 유발할 수 있는 위험을 정책 차원에서 관리해야 한다는 문제(Wu et al., 2024)가 후속 연구에서 다루어졌다.</w:t>
      </w:r>
    </w:p>
    <w:p>
      <w:pPr>
        <w:widowControl/>
      </w:pPr>
      <w:r>
        <w:t>이 논의는 본 연구의 행동표현과 Simulator 설계로 이어진다. 단순히 부채비율이 낮아졌다는 목표를 제시하는 대신, 상환·차환·성장 CAPEX 유예와 같이 재무제표에 적용할 수 있는 관리행동을 먼저 정한다. 같은 비율 개선이라도 자산 증가에 의한 변화와 차입금 상환에 의한 변화는 필요한 현금과 위험이 다르기 때문이다.</w:t>
      </w:r>
    </w:p>
    <w:p>
      <w:pPr>
        <w:widowControl/>
      </w:pPr>
      <w:r>
        <w:t>V4.3의 행동크기는 각 관리행동을 고정된 기준척도로 나눈 정규화 강도의 합이다. 이 값은 서로 다른 단위의 항목을 연구용 예산으로 비교하기 위한 정의이지, 모든 행동을 같은 원화 비용으로 만들었다는 뜻이 아니다. 회계적 실행가능성과 경제적 실행가능성도 구분한다. Simulator가 균형 재무제표를 만들 수 있어도 차환시장 접근, 고객과의 결제협상, 비용절감의 조직적 실행을 보장하지는 않는다.</w:t>
      </w:r>
    </w:p>
    <w:p>
      <w:bookmarkStart w:id="19" w:name="head_17"/>
      <w:pPr>
        <w:pStyle w:val="3"/>
        <w:widowControl/>
      </w:pPr>
      <w:r>
        <w:t>2.2.2 기업 신용 영역의 recourse와 본 연구의 위치</w:t>
      </w:r>
      <w:bookmarkEnd w:id="19"/>
    </w:p>
    <w:p w14:paraId="1543AE01" w14:textId="77777777" w:rsidR="00F56EBF" w:rsidRPr="00A25CD7" w:rsidRDefault="00F56EBF" w:rsidP="0079678B">
      <w:pPr>
        <w:rPr>
          <w:rFonts w:asciiTheme="minorEastAsia" w:eastAsiaTheme="minorEastAsia" w:hAnsiTheme="minorEastAsia"/>
          <w:sz w:val="20"/>
          <w:szCs w:val="20"/>
        </w:rPr>
      </w:pPr>
      <w:r>
        <w:rPr>
          <w:rFonts w:asciiTheme="minorEastAsia" w:eastAsiaTheme="minorEastAsia" w:hAnsiTheme="minorEastAsia" w:hint="eastAsia" w:ascii="NanumMyeongjo" w:hAnsi="NanumMyeongjo" w:eastAsia="NanumMyeongjo"/>
          <w:sz w:val="20"/>
          <w:szCs w:val="20"/>
        </w:rPr>
        <w:t>R</w:t>
      </w:r>
      <w:r w:rsidRPr="00A25CD7">
        <w:rPr>
          <w:rFonts w:asciiTheme="minorEastAsia" w:eastAsiaTheme="minorEastAsia" w:hAnsiTheme="minorEastAsia" w:ascii="NanumMyeongjo" w:hAnsi="NanumMyeongjo" w:eastAsia="NanumMyeongjo"/>
          <w:sz w:val="20"/>
          <w:szCs w:val="20"/>
        </w:rPr>
        <w:t>ecourse 문헌</w:t>
      </w:r>
      <w:r>
        <w:rPr>
          <w:rFonts w:asciiTheme="minorEastAsia" w:eastAsiaTheme="minorEastAsia" w:hAnsiTheme="minorEastAsia" w:hint="eastAsia" w:ascii="NanumMyeongjo" w:hAnsi="NanumMyeongjo" w:eastAsia="NanumMyeongjo"/>
          <w:sz w:val="20"/>
          <w:szCs w:val="20"/>
        </w:rPr>
        <w:t xml:space="preserve">은 일반적으로 </w:t>
      </w:r>
      <w:r w:rsidRPr="00A25CD7">
        <w:rPr>
          <w:rFonts w:asciiTheme="minorEastAsia" w:eastAsiaTheme="minorEastAsia" w:hAnsiTheme="minorEastAsia" w:ascii="NanumMyeongjo" w:hAnsi="NanumMyeongjo" w:eastAsia="NanumMyeongjo"/>
          <w:sz w:val="20"/>
          <w:szCs w:val="20"/>
        </w:rPr>
        <w:t>단일 시점의 개인</w:t>
      </w:r>
      <w:r>
        <w:rPr>
          <w:rFonts w:asciiTheme="minorEastAsia" w:eastAsiaTheme="minorEastAsia" w:hAnsiTheme="minorEastAsia" w:hint="eastAsia" w:ascii="NanumMyeongjo" w:hAnsi="NanumMyeongjo" w:eastAsia="NanumMyeongjo"/>
          <w:sz w:val="20"/>
          <w:szCs w:val="20"/>
        </w:rPr>
        <w:t xml:space="preserve"> 신용상태에 대한</w:t>
      </w:r>
      <w:r w:rsidRPr="00A25CD7">
        <w:rPr>
          <w:rFonts w:asciiTheme="minorEastAsia" w:eastAsiaTheme="minorEastAsia" w:hAnsiTheme="minorEastAsia" w:ascii="NanumMyeongjo" w:hAnsi="NanumMyeongjo" w:eastAsia="NanumMyeongjo"/>
          <w:sz w:val="20"/>
          <w:szCs w:val="20"/>
        </w:rPr>
        <w:t xml:space="preserve"> </w:t>
      </w:r>
      <w:r>
        <w:rPr>
          <w:rFonts w:asciiTheme="minorEastAsia" w:eastAsiaTheme="minorEastAsia" w:hAnsiTheme="minorEastAsia" w:hint="eastAsia" w:ascii="NanumMyeongjo" w:hAnsi="NanumMyeongjo" w:eastAsia="NanumMyeongjo"/>
          <w:sz w:val="20"/>
          <w:szCs w:val="20"/>
        </w:rPr>
        <w:t>평가결과를</w:t>
      </w:r>
      <w:r w:rsidRPr="00A25CD7">
        <w:rPr>
          <w:rFonts w:asciiTheme="minorEastAsia" w:eastAsiaTheme="minorEastAsia" w:hAnsiTheme="minorEastAsia" w:ascii="NanumMyeongjo" w:hAnsi="NanumMyeongjo" w:eastAsia="NanumMyeongjo"/>
          <w:sz w:val="20"/>
          <w:szCs w:val="20"/>
        </w:rPr>
        <w:t xml:space="preserve"> 대상으로 발전하였다. 기업 신용등급으로 대상을 옮긴 연구는 </w:t>
      </w:r>
      <w:proofErr w:type="spellStart"/>
      <w:r w:rsidRPr="00A25CD7">
        <w:rPr>
          <w:rFonts w:asciiTheme="minorEastAsia" w:eastAsiaTheme="minorEastAsia" w:hAnsiTheme="minorEastAsia" w:ascii="NanumMyeongjo" w:hAnsi="NanumMyeongjo" w:eastAsia="NanumMyeongjo"/>
          <w:sz w:val="20"/>
          <w:szCs w:val="20"/>
        </w:rPr>
        <w:t>최근에야</w:t>
      </w:r>
      <w:proofErr w:type="spellEnd"/>
      <w:r w:rsidRPr="00A25CD7">
        <w:rPr>
          <w:rFonts w:asciiTheme="minorEastAsia" w:eastAsiaTheme="minorEastAsia" w:hAnsiTheme="minorEastAsia" w:ascii="NanumMyeongjo" w:hAnsi="NanumMyeongjo" w:eastAsia="NanumMyeongjo"/>
          <w:sz w:val="20"/>
          <w:szCs w:val="20"/>
        </w:rPr>
        <w:t xml:space="preserve"> 나타난다. Wang, D. </w:t>
      </w:r>
      <w:proofErr w:type="gramStart"/>
      <w:r w:rsidRPr="00A25CD7">
        <w:rPr>
          <w:rFonts w:asciiTheme="minorEastAsia" w:eastAsiaTheme="minorEastAsia" w:hAnsiTheme="minorEastAsia" w:ascii="NanumMyeongjo" w:hAnsi="NanumMyeongjo" w:eastAsia="NanumMyeongjo"/>
          <w:sz w:val="20"/>
          <w:szCs w:val="20"/>
        </w:rPr>
        <w:t>등(2023)은</w:t>
      </w:r>
      <w:proofErr w:type="gramEnd"/>
      <w:r w:rsidRPr="00A25CD7">
        <w:rPr>
          <w:rFonts w:asciiTheme="minorEastAsia" w:eastAsiaTheme="minorEastAsia" w:hAnsiTheme="minorEastAsia" w:ascii="NanumMyeongjo" w:hAnsi="NanumMyeongjo" w:eastAsia="NanumMyeongjo"/>
          <w:sz w:val="20"/>
          <w:szCs w:val="20"/>
        </w:rPr>
        <w:t xml:space="preserve"> 기업 신용등급 모형에 대해 희소성 제약 하의 최적 반사실적 설명을 탐색하는 알고리즘을 제안하여, "가장 적은 수의 재무비율 변경으로 등급을 바꾸는 조합"을 찾는 문제를 다루었다. Lashkevich와 Zelenkov(2026)는 부실기업을 대상으로 회계적 일관성을 유지하는 실행가능한 권고를 생성하는 의사결정지원 프레임워크를 제안하</w:t>
      </w:r>
      <w:r>
        <w:rPr>
          <w:rFonts w:asciiTheme="minorEastAsia" w:eastAsiaTheme="minorEastAsia" w:hAnsiTheme="minorEastAsia" w:hint="eastAsia" w:ascii="NanumMyeongjo" w:hAnsi="NanumMyeongjo" w:eastAsia="NanumMyeongjo"/>
          <w:sz w:val="20"/>
          <w:szCs w:val="20"/>
        </w:rPr>
        <w:t>였으며, 이는</w:t>
      </w:r>
      <w:r w:rsidRPr="00A25CD7">
        <w:rPr>
          <w:rFonts w:asciiTheme="minorEastAsia" w:eastAsiaTheme="minorEastAsia" w:hAnsiTheme="minorEastAsia" w:ascii="NanumMyeongjo" w:hAnsi="NanumMyeongjo" w:eastAsia="NanumMyeongjo"/>
          <w:sz w:val="20"/>
          <w:szCs w:val="20"/>
        </w:rPr>
        <w:t xml:space="preserve"> 본 연구</w:t>
      </w:r>
      <w:r>
        <w:rPr>
          <w:rFonts w:asciiTheme="minorEastAsia" w:eastAsiaTheme="minorEastAsia" w:hAnsiTheme="minorEastAsia" w:hint="eastAsia" w:ascii="NanumMyeongjo" w:hAnsi="NanumMyeongjo" w:eastAsia="NanumMyeongjo"/>
          <w:sz w:val="20"/>
          <w:szCs w:val="20"/>
        </w:rPr>
        <w:t>의</w:t>
      </w:r>
      <w:r w:rsidRPr="00A25CD7">
        <w:rPr>
          <w:rFonts w:asciiTheme="minorEastAsia" w:eastAsiaTheme="minorEastAsia" w:hAnsiTheme="minorEastAsia" w:ascii="NanumMyeongjo" w:hAnsi="NanumMyeongjo" w:eastAsia="NanumMyeongjo"/>
          <w:sz w:val="20"/>
          <w:szCs w:val="20"/>
        </w:rPr>
        <w:t xml:space="preserve"> 문제의식을 상당 부분 공유한다. Dong 등(2026)은 표 형식 데이터에서 </w:t>
      </w:r>
      <w:proofErr w:type="spellStart"/>
      <w:r w:rsidRPr="00A25CD7">
        <w:rPr>
          <w:rFonts w:asciiTheme="minorEastAsia" w:eastAsiaTheme="minorEastAsia" w:hAnsiTheme="minorEastAsia" w:ascii="NanumMyeongjo" w:hAnsi="NanumMyeongjo" w:eastAsia="NanumMyeongjo"/>
          <w:sz w:val="20"/>
          <w:szCs w:val="20"/>
        </w:rPr>
        <w:t>문맥내학습</w:t>
      </w:r>
      <w:proofErr w:type="spellEnd"/>
      <w:r w:rsidRPr="00A25CD7">
        <w:rPr>
          <w:rFonts w:asciiTheme="minorEastAsia" w:eastAsiaTheme="minorEastAsia" w:hAnsiTheme="minorEastAsia" w:ascii="NanumMyeongjo" w:hAnsi="NanumMyeongjo" w:eastAsia="NanumMyeongjo"/>
          <w:sz w:val="20"/>
          <w:szCs w:val="20"/>
        </w:rPr>
        <w:t>(in-context learning)으로 recourse를 생성하는 접근을 제안하여, LLM을 권고 생성기로 쓰는 경로를 열었다.</w:t>
      </w:r>
    </w:p>
    <w:p>
      <w:pPr>
        <w:widowControl/>
      </w:pPr>
      <w:r>
        <w:t>직접적인 반사실적 설명에서는 예측모형의 결과를 바꾸는 입력을 찾는 것이 성공의 정의가 될 수 있다. 그러나 기업 권고에서는 입력 변화가 회계적으로 연결되는 과정과 평가모형의 사용범위를 함께 살펴야 한다. 본 연구는 권고 생성과 평가를 구분하고, 학습된 참조정책을 LLM의 외부 입력으로 활용하되 이를 정답정책으로 두지 않는다.</w:t>
      </w:r>
    </w:p>
    <w:p>
      <w:pPr>
        <w:widowControl/>
      </w:pPr>
      <w:r>
        <w:t>이때 분리의 정도를 과장하지 않는 것이 중요하다. 개별 actor의 학습에 Oracle 점수를 직접 넣지 않았다는 사실과, 연구자가 Oracle 평가를 보며 configuration이나 앙상블을 선택하지 않았다는 주장은 다르다. 본 연구의 최종 참조정책은 전자의 분리를 갖지만 후자의 완전한 독립성을 갖지는 않는다. 따라서 제한된 개발·평가 표면에서 얻은 참조정책을 사용한 비교라고 명시한다.</w:t>
      </w:r>
    </w:p>
    <w:p>
      <w:pPr>
        <w:widowControl/>
      </w:pPr>
      <w:r>
        <w:t>또한 본 연구는 산출물 하나뿐 아니라 생성조건과 실행규칙의 조합을 비교한다. 입력정보, 후보선택과 자유작성, 행동예산, 추가 추론, 재검토와 참조배정, 파싱 실패의 처리방식은 모두 서로 다른 권고분포를 만들 수 있다. 이러한 조건의 차이가 최종 평가에 어느 단계에서 반영되는지를 구분하는 것이 본 연구의 분석단위이다.</w:t>
      </w:r>
    </w:p>
    <w:p>
      <w:bookmarkStart w:id="20" w:name="head_18"/>
      <w:pPr>
        <w:pStyle w:val="3"/>
        <w:widowControl/>
      </w:pPr>
      <w:r>
        <w:t>2.2.3 개인 recourse와 기업 recourse의 구조적 차이</w:t>
      </w:r>
      <w:bookmarkEnd w:id="20"/>
    </w:p>
    <w:p w14:paraId="1CF28E1D" w14:textId="77777777" w:rsidR="00F56EBF" w:rsidRDefault="00F56EBF" w:rsidP="0079678B">
      <w:pPr>
        <w:rPr>
          <w:rFonts w:asciiTheme="minorEastAsia" w:eastAsiaTheme="minorEastAsia" w:hAnsiTheme="minorEastAsia"/>
          <w:sz w:val="20"/>
          <w:szCs w:val="20"/>
        </w:rPr>
      </w:pPr>
      <w:r w:rsidRPr="00A25CD7">
        <w:rPr>
          <w:rFonts w:asciiTheme="minorEastAsia" w:eastAsiaTheme="minorEastAsia" w:hAnsiTheme="minorEastAsia" w:ascii="NanumMyeongjo" w:hAnsi="NanumMyeongjo" w:eastAsia="NanumMyeongjo"/>
          <w:sz w:val="20"/>
          <w:szCs w:val="20"/>
        </w:rPr>
        <w:t>대상을 개인에서 기업으로 옮기는 것은 단순한 응용 확장이 아니다. 세 가지 차이가 문제의 구조를 바꾼다. 첫째, 행동의 차원성과 결합성이다. 기업의 재무행동은 부채, 투자, 운전자본, 비용, 자본에 걸친 다차원 벡터이며, 여러 재무항목을 함께 바꾸는 조합 자체가 전략(부채 축소, 차환, 유동성 확충 등)을 구성한다. 둘째, 회계적 전파이다. 부채 상환은 현금을 줄이고 자산 매각은 수익 기반을 줄이는 것처럼, 한 재무항목의 변화</w:t>
      </w:r>
      <w:r w:rsidR="00253F5F">
        <w:rPr>
          <w:rFonts w:asciiTheme="minorEastAsia" w:eastAsiaTheme="minorEastAsia" w:hAnsiTheme="minorEastAsia" w:hint="eastAsia" w:ascii="NanumMyeongjo" w:hAnsi="NanumMyeongjo" w:eastAsia="NanumMyeongjo"/>
          <w:sz w:val="20"/>
          <w:szCs w:val="20"/>
        </w:rPr>
        <w:t>는</w:t>
      </w:r>
      <w:r w:rsidRPr="00A25CD7">
        <w:rPr>
          <w:rFonts w:asciiTheme="minorEastAsia" w:eastAsiaTheme="minorEastAsia" w:hAnsiTheme="minorEastAsia" w:ascii="NanumMyeongjo" w:hAnsi="NanumMyeongjo" w:eastAsia="NanumMyeongjo"/>
          <w:sz w:val="20"/>
          <w:szCs w:val="20"/>
        </w:rPr>
        <w:t xml:space="preserve"> </w:t>
      </w:r>
      <w:proofErr w:type="spellStart"/>
      <w:r w:rsidRPr="00A25CD7">
        <w:rPr>
          <w:rFonts w:asciiTheme="minorEastAsia" w:eastAsiaTheme="minorEastAsia" w:hAnsiTheme="minorEastAsia" w:ascii="NanumMyeongjo" w:hAnsi="NanumMyeongjo" w:eastAsia="NanumMyeongjo"/>
          <w:sz w:val="20"/>
          <w:szCs w:val="20"/>
        </w:rPr>
        <w:t>회계항등식을</w:t>
      </w:r>
      <w:proofErr w:type="spellEnd"/>
      <w:r w:rsidRPr="00A25CD7">
        <w:rPr>
          <w:rFonts w:asciiTheme="minorEastAsia" w:eastAsiaTheme="minorEastAsia" w:hAnsiTheme="minorEastAsia" w:ascii="NanumMyeongjo" w:hAnsi="NanumMyeongjo" w:eastAsia="NanumMyeongjo"/>
          <w:sz w:val="20"/>
          <w:szCs w:val="20"/>
        </w:rPr>
        <w:t xml:space="preserve"> 통해 다른 항목으로 필연적으로 전파된다. 셋째, 시차이다. 행동과 등급 반영 사이에는</w:t>
      </w:r>
      <w:r>
        <w:rPr>
          <w:rFonts w:asciiTheme="minorEastAsia" w:eastAsiaTheme="minorEastAsia" w:hAnsiTheme="minorEastAsia" w:hint="eastAsia" w:ascii="NanumMyeongjo" w:hAnsi="NanumMyeongjo" w:eastAsia="NanumMyeongjo"/>
          <w:sz w:val="20"/>
          <w:szCs w:val="20"/>
        </w:rPr>
        <w:t xml:space="preserve"> 회계</w:t>
      </w:r>
      <w:r w:rsidRPr="00A25CD7">
        <w:rPr>
          <w:rFonts w:asciiTheme="minorEastAsia" w:eastAsiaTheme="minorEastAsia" w:hAnsiTheme="minorEastAsia" w:ascii="NanumMyeongjo" w:hAnsi="NanumMyeongjo" w:eastAsia="NanumMyeongjo"/>
          <w:sz w:val="20"/>
          <w:szCs w:val="20"/>
        </w:rPr>
        <w:t xml:space="preserve">결산과 </w:t>
      </w:r>
      <w:r>
        <w:rPr>
          <w:rFonts w:asciiTheme="minorEastAsia" w:eastAsiaTheme="minorEastAsia" w:hAnsiTheme="minorEastAsia" w:hint="eastAsia" w:ascii="NanumMyeongjo" w:hAnsi="NanumMyeongjo" w:eastAsia="NanumMyeongjo"/>
          <w:sz w:val="20"/>
          <w:szCs w:val="20"/>
        </w:rPr>
        <w:t>정기신용</w:t>
      </w:r>
      <w:r w:rsidRPr="00A25CD7">
        <w:rPr>
          <w:rFonts w:asciiTheme="minorEastAsia" w:eastAsiaTheme="minorEastAsia" w:hAnsiTheme="minorEastAsia" w:ascii="NanumMyeongjo" w:hAnsi="NanumMyeongjo" w:eastAsia="NanumMyeongjo"/>
          <w:sz w:val="20"/>
          <w:szCs w:val="20"/>
        </w:rPr>
        <w:t xml:space="preserve">평가의 주기가 </w:t>
      </w:r>
      <w:r>
        <w:rPr>
          <w:rFonts w:asciiTheme="minorEastAsia" w:eastAsiaTheme="minorEastAsia" w:hAnsiTheme="minorEastAsia" w:hint="eastAsia" w:ascii="NanumMyeongjo" w:hAnsi="NanumMyeongjo" w:eastAsia="NanumMyeongjo"/>
          <w:sz w:val="20"/>
          <w:szCs w:val="20"/>
        </w:rPr>
        <w:t>있으</w:t>
      </w:r>
      <w:r w:rsidRPr="00A25CD7">
        <w:rPr>
          <w:rFonts w:asciiTheme="minorEastAsia" w:eastAsiaTheme="minorEastAsia" w:hAnsiTheme="minorEastAsia" w:ascii="NanumMyeongjo" w:hAnsi="NanumMyeongjo" w:eastAsia="NanumMyeongjo"/>
          <w:sz w:val="20"/>
          <w:szCs w:val="20"/>
        </w:rPr>
        <w:t>므로, 권고의 평가는 단일 시점의 특성 변경이 아니라 1년 후</w:t>
      </w:r>
      <w:r>
        <w:rPr>
          <w:rFonts w:asciiTheme="minorEastAsia" w:eastAsiaTheme="minorEastAsia" w:hAnsiTheme="minorEastAsia" w:hint="eastAsia" w:ascii="NanumMyeongjo" w:hAnsi="NanumMyeongjo" w:eastAsia="NanumMyeongjo"/>
          <w:sz w:val="20"/>
          <w:szCs w:val="20"/>
        </w:rPr>
        <w:t>의</w:t>
      </w:r>
      <w:r w:rsidRPr="00A25CD7">
        <w:rPr>
          <w:rFonts w:asciiTheme="minorEastAsia" w:eastAsiaTheme="minorEastAsia" w:hAnsiTheme="minorEastAsia" w:ascii="NanumMyeongjo" w:hAnsi="NanumMyeongjo" w:eastAsia="NanumMyeongjo"/>
          <w:sz w:val="20"/>
          <w:szCs w:val="20"/>
        </w:rPr>
        <w:t xml:space="preserve"> 반사실</w:t>
      </w:r>
      <w:r>
        <w:rPr>
          <w:rFonts w:asciiTheme="minorEastAsia" w:eastAsiaTheme="minorEastAsia" w:hAnsiTheme="minorEastAsia" w:hint="eastAsia" w:ascii="NanumMyeongjo" w:hAnsi="NanumMyeongjo" w:eastAsia="NanumMyeongjo"/>
          <w:sz w:val="20"/>
          <w:szCs w:val="20"/>
        </w:rPr>
        <w:t>적 재무</w:t>
      </w:r>
      <w:r w:rsidRPr="00A25CD7">
        <w:rPr>
          <w:rFonts w:asciiTheme="minorEastAsia" w:eastAsiaTheme="minorEastAsia" w:hAnsiTheme="minorEastAsia" w:ascii="NanumMyeongjo" w:hAnsi="NanumMyeongjo" w:eastAsia="NanumMyeongjo"/>
          <w:sz w:val="20"/>
          <w:szCs w:val="20"/>
        </w:rPr>
        <w:t>상태</w:t>
      </w:r>
      <w:r>
        <w:rPr>
          <w:rFonts w:asciiTheme="minorEastAsia" w:eastAsiaTheme="minorEastAsia" w:hAnsiTheme="minorEastAsia" w:hint="eastAsia" w:ascii="NanumMyeongjo" w:hAnsi="NanumMyeongjo" w:eastAsia="NanumMyeongjo"/>
          <w:sz w:val="20"/>
          <w:szCs w:val="20"/>
        </w:rPr>
        <w:t>에 대한</w:t>
      </w:r>
      <w:r w:rsidRPr="00A25CD7">
        <w:rPr>
          <w:rFonts w:asciiTheme="minorEastAsia" w:eastAsiaTheme="minorEastAsia" w:hAnsiTheme="minorEastAsia" w:ascii="NanumMyeongjo" w:hAnsi="NanumMyeongjo" w:eastAsia="NanumMyeongjo"/>
          <w:sz w:val="20"/>
          <w:szCs w:val="20"/>
        </w:rPr>
        <w:t xml:space="preserve"> 평가여야 한다. </w:t>
      </w:r>
    </w:p>
    <w:p>
      <w:pPr>
        <w:widowControl/>
      </w:pPr>
      <w:r>
        <w:t>8차원 관리행동과 회계항등식을 보존하는 전파구조, 1년 후 반사실 상태에서의 정책가치 계산은 이러한 결합성과 시차를 반영한다. 다만 1년의 비교기간을 사용했다는 사실은 장기 성장·투자능력의 손실까지 모두 평가했다는 의미가 아니다. 성장투자를 늦추어 단기 유동성을 높이는 행동은 다기간 관점에서 다른 결과를 만들 수 있으므로, 분석기간과 가정을 함께 제시한다.</w:t>
      </w:r>
    </w:p>
    <w:p>
      <w:bookmarkStart w:id="21" w:name="head_19"/>
      <w:pPr>
        <w:pStyle w:val="2"/>
        <w:widowControl/>
      </w:pPr>
      <w:r>
        <w:t>2.3 순차적 의사결정과 오프라인 강화학습</w:t>
      </w:r>
      <w:bookmarkEnd w:id="21"/>
    </w:p>
    <w:p>
      <w:bookmarkStart w:id="22" w:name="head_20"/>
      <w:pPr>
        <w:pStyle w:val="3"/>
        <w:widowControl/>
      </w:pPr>
      <w:r>
        <w:t>2.3.1 오프라인 설정과 분포이동</w:t>
      </w:r>
      <w:bookmarkEnd w:id="22"/>
    </w:p>
    <w:p w14:paraId="04D0831A" w14:textId="77777777" w:rsidR="00F56EBF" w:rsidRDefault="00F56EBF" w:rsidP="0079678B">
      <w:pPr>
        <w:rPr>
          <w:rFonts w:asciiTheme="minorEastAsia" w:eastAsiaTheme="minorEastAsia" w:hAnsiTheme="minorEastAsia"/>
          <w:sz w:val="20"/>
          <w:szCs w:val="20"/>
        </w:rPr>
      </w:pPr>
      <w:r w:rsidRPr="00563B09">
        <w:rPr>
          <w:rFonts w:asciiTheme="minorEastAsia" w:eastAsiaTheme="minorEastAsia" w:hAnsiTheme="minorEastAsia" w:hint="eastAsia" w:ascii="NanumMyeongjo" w:hAnsi="NanumMyeongjo" w:eastAsia="NanumMyeongjo"/>
          <w:sz w:val="20"/>
          <w:szCs w:val="20"/>
        </w:rPr>
        <w:t>기업의 재무</w:t>
      </w:r>
      <w:r>
        <w:rPr>
          <w:rFonts w:asciiTheme="minorEastAsia" w:eastAsiaTheme="minorEastAsia" w:hAnsiTheme="minorEastAsia" w:hint="eastAsia" w:ascii="NanumMyeongjo" w:hAnsi="NanumMyeongjo" w:eastAsia="NanumMyeongjo"/>
          <w:sz w:val="20"/>
          <w:szCs w:val="20"/>
        </w:rPr>
        <w:t>행동</w:t>
      </w:r>
      <w:r w:rsidRPr="00563B09">
        <w:rPr>
          <w:rFonts w:asciiTheme="minorEastAsia" w:eastAsiaTheme="minorEastAsia" w:hAnsiTheme="minorEastAsia" w:hint="eastAsia" w:ascii="NanumMyeongjo" w:hAnsi="NanumMyeongjo" w:eastAsia="NanumMyeongjo"/>
          <w:sz w:val="20"/>
          <w:szCs w:val="20"/>
        </w:rPr>
        <w:t xml:space="preserve">은 매년 재무상태에서 </w:t>
      </w:r>
      <w:r>
        <w:rPr>
          <w:rFonts w:asciiTheme="minorEastAsia" w:eastAsiaTheme="minorEastAsia" w:hAnsiTheme="minorEastAsia" w:hint="eastAsia" w:ascii="NanumMyeongjo" w:hAnsi="NanumMyeongjo" w:eastAsia="NanumMyeongjo"/>
          <w:sz w:val="20"/>
          <w:szCs w:val="20"/>
        </w:rPr>
        <w:t>경영계획</w:t>
      </w:r>
      <w:r w:rsidRPr="00563B09">
        <w:rPr>
          <w:rFonts w:asciiTheme="minorEastAsia" w:eastAsiaTheme="minorEastAsia" w:hAnsiTheme="minorEastAsia" w:hint="eastAsia" w:ascii="NanumMyeongjo" w:hAnsi="NanumMyeongjo" w:eastAsia="NanumMyeongjo"/>
          <w:sz w:val="20"/>
          <w:szCs w:val="20"/>
        </w:rPr>
        <w:t xml:space="preserve">을 </w:t>
      </w:r>
      <w:r>
        <w:rPr>
          <w:rFonts w:asciiTheme="minorEastAsia" w:eastAsiaTheme="minorEastAsia" w:hAnsiTheme="minorEastAsia" w:hint="eastAsia" w:ascii="NanumMyeongjo" w:hAnsi="NanumMyeongjo" w:eastAsia="NanumMyeongjo"/>
          <w:sz w:val="20"/>
          <w:szCs w:val="20"/>
        </w:rPr>
        <w:t>이행</w:t>
      </w:r>
      <w:r w:rsidRPr="00563B09">
        <w:rPr>
          <w:rFonts w:asciiTheme="minorEastAsia" w:eastAsiaTheme="minorEastAsia" w:hAnsiTheme="minorEastAsia" w:hint="eastAsia" w:ascii="NanumMyeongjo" w:hAnsi="NanumMyeongjo" w:eastAsia="NanumMyeongjo"/>
          <w:sz w:val="20"/>
          <w:szCs w:val="20"/>
        </w:rPr>
        <w:t xml:space="preserve">하고 그 결과로 </w:t>
      </w:r>
      <w:r>
        <w:rPr>
          <w:rFonts w:asciiTheme="minorEastAsia" w:eastAsiaTheme="minorEastAsia" w:hAnsiTheme="minorEastAsia" w:hint="eastAsia" w:ascii="NanumMyeongjo" w:hAnsi="NanumMyeongjo" w:eastAsia="NanumMyeongjo"/>
          <w:sz w:val="20"/>
          <w:szCs w:val="20"/>
        </w:rPr>
        <w:t>회계연도 결산이 이루어져 다음 재무</w:t>
      </w:r>
      <w:r w:rsidRPr="00563B09">
        <w:rPr>
          <w:rFonts w:asciiTheme="minorEastAsia" w:eastAsiaTheme="minorEastAsia" w:hAnsiTheme="minorEastAsia" w:hint="eastAsia" w:ascii="NanumMyeongjo" w:hAnsi="NanumMyeongjo" w:eastAsia="NanumMyeongjo"/>
          <w:sz w:val="20"/>
          <w:szCs w:val="20"/>
        </w:rPr>
        <w:t>상태</w:t>
      </w:r>
      <w:r>
        <w:rPr>
          <w:rFonts w:asciiTheme="minorEastAsia" w:eastAsiaTheme="minorEastAsia" w:hAnsiTheme="minorEastAsia" w:hint="eastAsia" w:ascii="NanumMyeongjo" w:hAnsi="NanumMyeongjo" w:eastAsia="NanumMyeongjo"/>
          <w:sz w:val="20"/>
          <w:szCs w:val="20"/>
        </w:rPr>
        <w:t>로</w:t>
      </w:r>
      <w:r w:rsidRPr="00563B09">
        <w:rPr>
          <w:rFonts w:asciiTheme="minorEastAsia" w:eastAsiaTheme="minorEastAsia" w:hAnsiTheme="minorEastAsia" w:hint="eastAsia" w:ascii="NanumMyeongjo" w:hAnsi="NanumMyeongjo" w:eastAsia="NanumMyeongjo"/>
          <w:sz w:val="20"/>
          <w:szCs w:val="20"/>
        </w:rPr>
        <w:t xml:space="preserve"> 이동하는 순차적 과정이며, </w:t>
      </w:r>
      <w:proofErr w:type="spellStart"/>
      <w:r w:rsidRPr="00563B09">
        <w:rPr>
          <w:rFonts w:asciiTheme="minorEastAsia" w:eastAsiaTheme="minorEastAsia" w:hAnsiTheme="minorEastAsia" w:hint="eastAsia" w:ascii="NanumMyeongjo" w:hAnsi="NanumMyeongjo" w:eastAsia="NanumMyeongjo"/>
          <w:sz w:val="20"/>
          <w:szCs w:val="20"/>
        </w:rPr>
        <w:t>상태·행동·보상·전이로</w:t>
      </w:r>
      <w:proofErr w:type="spellEnd"/>
      <w:r w:rsidRPr="00563B09">
        <w:rPr>
          <w:rFonts w:asciiTheme="minorEastAsia" w:eastAsiaTheme="minorEastAsia" w:hAnsiTheme="minorEastAsia" w:hint="eastAsia" w:ascii="NanumMyeongjo" w:hAnsi="NanumMyeongjo" w:eastAsia="NanumMyeongjo"/>
          <w:sz w:val="20"/>
          <w:szCs w:val="20"/>
        </w:rPr>
        <w:t xml:space="preserve"> 구성되는 </w:t>
      </w:r>
      <w:proofErr w:type="spellStart"/>
      <w:r w:rsidRPr="00563B09">
        <w:rPr>
          <w:rFonts w:asciiTheme="minorEastAsia" w:eastAsiaTheme="minorEastAsia" w:hAnsiTheme="minorEastAsia" w:hint="eastAsia" w:ascii="NanumMyeongjo" w:hAnsi="NanumMyeongjo" w:eastAsia="NanumMyeongjo"/>
          <w:sz w:val="20"/>
          <w:szCs w:val="20"/>
        </w:rPr>
        <w:t>마르코프결정과정</w:t>
      </w:r>
      <w:proofErr w:type="spellEnd"/>
      <w:r w:rsidRPr="00563B09">
        <w:rPr>
          <w:rFonts w:asciiTheme="minorEastAsia" w:eastAsiaTheme="minorEastAsia" w:hAnsiTheme="minorEastAsia" w:hint="eastAsia" w:ascii="NanumMyeongjo" w:hAnsi="NanumMyeongjo" w:eastAsia="NanumMyeongjo"/>
          <w:sz w:val="20"/>
          <w:szCs w:val="20"/>
        </w:rPr>
        <w:t xml:space="preserve">(Markov Decision Process)으로 </w:t>
      </w:r>
      <w:proofErr w:type="spellStart"/>
      <w:r w:rsidRPr="00563B09">
        <w:rPr>
          <w:rFonts w:asciiTheme="minorEastAsia" w:eastAsiaTheme="minorEastAsia" w:hAnsiTheme="minorEastAsia" w:hint="eastAsia" w:ascii="NanumMyeongjo" w:hAnsi="NanumMyeongjo" w:eastAsia="NanumMyeongjo"/>
          <w:sz w:val="20"/>
          <w:szCs w:val="20"/>
        </w:rPr>
        <w:t>형식화할</w:t>
      </w:r>
      <w:proofErr w:type="spellEnd"/>
      <w:r w:rsidRPr="00563B09">
        <w:rPr>
          <w:rFonts w:asciiTheme="minorEastAsia" w:eastAsiaTheme="minorEastAsia" w:hAnsiTheme="minorEastAsia" w:hint="eastAsia" w:ascii="NanumMyeongjo" w:hAnsi="NanumMyeongjo" w:eastAsia="NanumMyeongjo"/>
          <w:sz w:val="20"/>
          <w:szCs w:val="20"/>
        </w:rPr>
        <w:t xml:space="preserve"> 수 있다.</w:t>
      </w:r>
      <w:r>
        <w:rPr>
          <w:rFonts w:asciiTheme="minorEastAsia" w:eastAsiaTheme="minorEastAsia" w:hAnsiTheme="minorEastAsia" w:hint="eastAsia" w:ascii="NanumMyeongjo" w:hAnsi="NanumMyeongjo" w:eastAsia="NanumMyeongjo"/>
          <w:sz w:val="20"/>
          <w:szCs w:val="20"/>
        </w:rPr>
        <w:t xml:space="preserve"> </w:t>
      </w:r>
      <w:r w:rsidRPr="00563B09">
        <w:rPr>
          <w:rFonts w:asciiTheme="minorEastAsia" w:eastAsiaTheme="minorEastAsia" w:hAnsiTheme="minorEastAsia" w:hint="eastAsia" w:ascii="NanumMyeongjo" w:hAnsi="NanumMyeongjo" w:eastAsia="NanumMyeongjo"/>
          <w:sz w:val="20"/>
          <w:szCs w:val="20"/>
        </w:rPr>
        <w:t>그러나 기업에 임의의 재무 의사결정을 시행하여 그 등급 변화를 관측할 수는 없으므로, 환경과 직접 상호작용한다는 강화학습의 표준 전제가 본 연구에는 성립하지 않는다.</w:t>
      </w:r>
    </w:p>
    <w:p w14:paraId="4E423D08" w14:textId="77777777" w:rsidR="00F56EBF" w:rsidRPr="00563B09" w:rsidRDefault="00F56EBF" w:rsidP="0079678B">
      <w:pPr>
        <w:rPr>
          <w:rFonts w:asciiTheme="minorEastAsia" w:eastAsiaTheme="minorEastAsia" w:hAnsiTheme="minorEastAsia"/>
          <w:sz w:val="20"/>
          <w:szCs w:val="20"/>
        </w:rPr>
      </w:pPr>
      <w:r>
        <w:rPr>
          <w:rFonts w:asciiTheme="minorEastAsia" w:eastAsiaTheme="minorEastAsia" w:hAnsiTheme="minorEastAsia" w:hint="eastAsia" w:ascii="NanumMyeongjo" w:hAnsi="NanumMyeongjo" w:eastAsia="NanumMyeongjo"/>
          <w:sz w:val="20"/>
          <w:szCs w:val="20"/>
        </w:rPr>
        <w:t xml:space="preserve">따라서 본 연구는 </w:t>
      </w:r>
      <w:r w:rsidRPr="00563B09">
        <w:rPr>
          <w:rFonts w:asciiTheme="minorEastAsia" w:eastAsiaTheme="minorEastAsia" w:hAnsiTheme="minorEastAsia" w:hint="eastAsia" w:ascii="NanumMyeongjo" w:hAnsi="NanumMyeongjo" w:eastAsia="NanumMyeongjo"/>
          <w:sz w:val="20"/>
          <w:szCs w:val="20"/>
        </w:rPr>
        <w:t>과거 데이터만으로 정책을 학습하는 오프라인 강화학습</w:t>
      </w:r>
      <w:r>
        <w:rPr>
          <w:rFonts w:asciiTheme="minorEastAsia" w:eastAsiaTheme="minorEastAsia" w:hAnsiTheme="minorEastAsia" w:hint="eastAsia" w:ascii="NanumMyeongjo" w:hAnsi="NanumMyeongjo" w:eastAsia="NanumMyeongjo"/>
          <w:sz w:val="20"/>
          <w:szCs w:val="20"/>
        </w:rPr>
        <w:t xml:space="preserve"> </w:t>
      </w:r>
      <w:r w:rsidRPr="00563B09">
        <w:rPr>
          <w:rFonts w:asciiTheme="minorEastAsia" w:eastAsiaTheme="minorEastAsia" w:hAnsiTheme="minorEastAsia" w:hint="eastAsia" w:ascii="NanumMyeongjo" w:hAnsi="NanumMyeongjo" w:eastAsia="NanumMyeongjo"/>
          <w:sz w:val="20"/>
          <w:szCs w:val="20"/>
        </w:rPr>
        <w:t>(Offline R</w:t>
      </w:r>
      <w:r>
        <w:rPr>
          <w:rFonts w:asciiTheme="minorEastAsia" w:eastAsiaTheme="minorEastAsia" w:hAnsiTheme="minorEastAsia" w:hint="eastAsia" w:ascii="NanumMyeongjo" w:hAnsi="NanumMyeongjo" w:eastAsia="NanumMyeongjo"/>
          <w:sz w:val="20"/>
          <w:szCs w:val="20"/>
        </w:rPr>
        <w:t xml:space="preserve">einforcement </w:t>
      </w:r>
      <w:r w:rsidRPr="00563B09">
        <w:rPr>
          <w:rFonts w:asciiTheme="minorEastAsia" w:eastAsiaTheme="minorEastAsia" w:hAnsiTheme="minorEastAsia" w:hint="eastAsia" w:ascii="NanumMyeongjo" w:hAnsi="NanumMyeongjo" w:eastAsia="NanumMyeongjo"/>
          <w:sz w:val="20"/>
          <w:szCs w:val="20"/>
        </w:rPr>
        <w:t>L</w:t>
      </w:r>
      <w:r>
        <w:rPr>
          <w:rFonts w:asciiTheme="minorEastAsia" w:eastAsiaTheme="minorEastAsia" w:hAnsiTheme="minorEastAsia" w:hint="eastAsia" w:ascii="NanumMyeongjo" w:hAnsi="NanumMyeongjo" w:eastAsia="NanumMyeongjo"/>
          <w:sz w:val="20"/>
          <w:szCs w:val="20"/>
        </w:rPr>
        <w:t xml:space="preserve">earning, </w:t>
      </w:r>
      <w:r w:rsidRPr="00563B09">
        <w:rPr>
          <w:rFonts w:asciiTheme="minorEastAsia" w:eastAsiaTheme="minorEastAsia" w:hAnsiTheme="minorEastAsia" w:hint="eastAsia" w:ascii="NanumMyeongjo" w:hAnsi="NanumMyeongjo" w:eastAsia="NanumMyeongjo"/>
          <w:sz w:val="20"/>
          <w:szCs w:val="20"/>
        </w:rPr>
        <w:t>Levine et al. 2020)</w:t>
      </w:r>
      <w:r>
        <w:rPr>
          <w:rFonts w:asciiTheme="minorEastAsia" w:eastAsiaTheme="minorEastAsia" w:hAnsiTheme="minorEastAsia" w:hint="eastAsia" w:ascii="NanumMyeongjo" w:hAnsi="NanumMyeongjo" w:eastAsia="NanumMyeongjo"/>
          <w:sz w:val="20"/>
          <w:szCs w:val="20"/>
        </w:rPr>
        <w:t>을 채택하였다</w:t>
      </w:r>
      <w:r w:rsidRPr="00563B09">
        <w:rPr>
          <w:rFonts w:asciiTheme="minorEastAsia" w:eastAsiaTheme="minorEastAsia" w:hAnsiTheme="minorEastAsia" w:hint="eastAsia" w:ascii="NanumMyeongjo" w:hAnsi="NanumMyeongjo" w:eastAsia="NanumMyeongjo"/>
          <w:sz w:val="20"/>
          <w:szCs w:val="20"/>
        </w:rPr>
        <w:t>.</w:t>
      </w:r>
      <w:r>
        <w:rPr>
          <w:rFonts w:asciiTheme="minorEastAsia" w:eastAsiaTheme="minorEastAsia" w:hAnsiTheme="minorEastAsia" w:hint="eastAsia" w:ascii="NanumMyeongjo" w:hAnsi="NanumMyeongjo" w:eastAsia="NanumMyeongjo"/>
          <w:sz w:val="20"/>
          <w:szCs w:val="20"/>
        </w:rPr>
        <w:t xml:space="preserve"> </w:t>
      </w:r>
      <w:r w:rsidRPr="00563B09">
        <w:rPr>
          <w:rFonts w:asciiTheme="minorEastAsia" w:eastAsiaTheme="minorEastAsia" w:hAnsiTheme="minorEastAsia" w:hint="eastAsia" w:ascii="NanumMyeongjo" w:hAnsi="NanumMyeongjo" w:eastAsia="NanumMyeongjo"/>
          <w:sz w:val="20"/>
          <w:szCs w:val="20"/>
        </w:rPr>
        <w:t>오프라인 강화학습의 핵심 난점은 분포 이동(distribution shift)이다. 학습된 정책이 데이터에 거의 없던 행동을 시도할 때, 가치함수가 그 행동을 학습한 적이 없어 임의로 높은 값을 부여하고, 그 결과 정책이 잘못된 방향으로 향하는 문제이다.</w:t>
      </w:r>
    </w:p>
    <w:p w14:paraId="5E2C4BC6" w14:textId="77777777" w:rsidR="0079678B" w:rsidRDefault="00F56EBF" w:rsidP="0079678B">
      <w:pPr>
        <w:rPr>
          <w:rFonts w:asciiTheme="minorEastAsia" w:eastAsiaTheme="minorEastAsia" w:hAnsiTheme="minorEastAsia"/>
          <w:sz w:val="20"/>
          <w:szCs w:val="20"/>
        </w:rPr>
      </w:pPr>
      <w:r w:rsidRPr="00563B09">
        <w:rPr>
          <w:rFonts w:asciiTheme="minorEastAsia" w:eastAsiaTheme="minorEastAsia" w:hAnsiTheme="minorEastAsia" w:hint="eastAsia" w:ascii="NanumMyeongjo" w:hAnsi="NanumMyeongjo" w:eastAsia="NanumMyeongjo"/>
          <w:sz w:val="20"/>
          <w:szCs w:val="20"/>
        </w:rPr>
        <w:t>이에 대한 대응은 두 갈래로 나뉜다. 첫째는 보수적 방안으로, 학습 정책을 데이터의 행동 분포 가까이로 제약하거나(Fujimoto et al. 2019의 BCQ, Kumar et al. 2019의 BEAR), 분포 밖 행동의 Q값에 페널티를 부과하여 가치를 보수적으로 추정한다(Kumar et al. 2020의 CQL).</w:t>
      </w:r>
    </w:p>
    <w:p w14:paraId="6463CC09" w14:textId="77777777" w:rsidR="00F56EBF" w:rsidRDefault="00F56EBF" w:rsidP="0079678B">
      <w:pPr>
        <w:rPr>
          <w:rFonts w:asciiTheme="minorEastAsia" w:eastAsiaTheme="minorEastAsia" w:hAnsiTheme="minorEastAsia"/>
          <w:sz w:val="20"/>
          <w:szCs w:val="20"/>
        </w:rPr>
      </w:pPr>
      <w:r w:rsidRPr="00563B09">
        <w:rPr>
          <w:rFonts w:asciiTheme="minorEastAsia" w:eastAsiaTheme="minorEastAsia" w:hAnsiTheme="minorEastAsia" w:hint="eastAsia" w:ascii="NanumMyeongjo" w:hAnsi="NanumMyeongjo" w:eastAsia="NanumMyeongjo"/>
          <w:sz w:val="20"/>
          <w:szCs w:val="20"/>
        </w:rPr>
        <w:t xml:space="preserve">둘째는 데이터 증강으로, 전이모형(dynamics model)을 학습하여 합성된 경험을 생성하되 부정확한 영역으로 벗어나는 것을 억제하거나(Yu et al. 2020의 MOPO, Kidambi et al. 2020의 </w:t>
      </w:r>
      <w:proofErr w:type="spellStart"/>
      <w:r w:rsidRPr="00563B09">
        <w:rPr>
          <w:rFonts w:asciiTheme="minorEastAsia" w:eastAsiaTheme="minorEastAsia" w:hAnsiTheme="minorEastAsia" w:hint="eastAsia" w:ascii="NanumMyeongjo" w:hAnsi="NanumMyeongjo" w:eastAsia="NanumMyeongjo"/>
          <w:sz w:val="20"/>
          <w:szCs w:val="20"/>
        </w:rPr>
        <w:t>MOReL</w:t>
      </w:r>
      <w:proofErr w:type="spellEnd"/>
      <w:r w:rsidRPr="00563B09">
        <w:rPr>
          <w:rFonts w:asciiTheme="minorEastAsia" w:eastAsiaTheme="minorEastAsia" w:hAnsiTheme="minorEastAsia" w:hint="eastAsia" w:ascii="NanumMyeongjo" w:hAnsi="NanumMyeongjo" w:eastAsia="NanumMyeongjo"/>
          <w:sz w:val="20"/>
          <w:szCs w:val="20"/>
        </w:rPr>
        <w:t xml:space="preserve">, Yu et al. 2021의 COMBO), </w:t>
      </w:r>
      <w:proofErr w:type="spellStart"/>
      <w:r w:rsidRPr="00563B09">
        <w:rPr>
          <w:rFonts w:asciiTheme="minorEastAsia" w:eastAsiaTheme="minorEastAsia" w:hAnsiTheme="minorEastAsia" w:hint="eastAsia" w:ascii="NanumMyeongjo" w:hAnsi="NanumMyeongjo" w:eastAsia="NanumMyeongjo"/>
          <w:sz w:val="20"/>
          <w:szCs w:val="20"/>
        </w:rPr>
        <w:t>Pitis</w:t>
      </w:r>
      <w:proofErr w:type="spellEnd"/>
      <w:r w:rsidRPr="00563B09">
        <w:rPr>
          <w:rFonts w:asciiTheme="minorEastAsia" w:eastAsiaTheme="minorEastAsia" w:hAnsiTheme="minorEastAsia" w:hint="eastAsia" w:ascii="NanumMyeongjo" w:hAnsi="NanumMyeongjo" w:eastAsia="NanumMyeongjo"/>
          <w:sz w:val="20"/>
          <w:szCs w:val="20"/>
        </w:rPr>
        <w:t xml:space="preserve"> et al.(2020)의 </w:t>
      </w:r>
      <w:proofErr w:type="spellStart"/>
      <w:r w:rsidRPr="00563B09">
        <w:rPr>
          <w:rFonts w:asciiTheme="minorEastAsia" w:eastAsiaTheme="minorEastAsia" w:hAnsiTheme="minorEastAsia" w:hint="eastAsia" w:ascii="NanumMyeongjo" w:hAnsi="NanumMyeongjo" w:eastAsia="NanumMyeongjo"/>
          <w:sz w:val="20"/>
          <w:szCs w:val="20"/>
        </w:rPr>
        <w:t>CoDA</w:t>
      </w:r>
      <w:proofErr w:type="spellEnd"/>
      <w:r w:rsidRPr="00563B09">
        <w:rPr>
          <w:rFonts w:asciiTheme="minorEastAsia" w:eastAsiaTheme="minorEastAsia" w:hAnsiTheme="minorEastAsia" w:hint="eastAsia" w:ascii="NanumMyeongjo" w:hAnsi="NanumMyeongjo" w:eastAsia="NanumMyeongjo"/>
          <w:sz w:val="20"/>
          <w:szCs w:val="20"/>
        </w:rPr>
        <w:t>처럼 국소 인과구조를 활용하여 반사실적 전이를 생성하는 접근도 제안되었다.</w:t>
      </w:r>
    </w:p>
    <w:p>
      <w:bookmarkStart w:id="23" w:name="head_21"/>
      <w:pPr>
        <w:pStyle w:val="3"/>
        <w:widowControl/>
      </w:pPr>
      <w:r>
        <w:t>2.3.2 Candidate-IQL의 지위와 선택 불확실성</w:t>
      </w:r>
      <w:bookmarkEnd w:id="23"/>
    </w:p>
    <w:p w14:paraId="41189BF2" w14:textId="77777777" w:rsidR="00F56EBF" w:rsidRPr="00563B09" w:rsidRDefault="00F56EBF" w:rsidP="0079678B">
      <w:pPr>
        <w:rPr>
          <w:rFonts w:asciiTheme="minorEastAsia" w:eastAsiaTheme="minorEastAsia" w:hAnsiTheme="minorEastAsia"/>
          <w:sz w:val="20"/>
          <w:szCs w:val="20"/>
        </w:rPr>
      </w:pPr>
      <w:r w:rsidRPr="00563B09">
        <w:rPr>
          <w:rFonts w:asciiTheme="minorEastAsia" w:eastAsiaTheme="minorEastAsia" w:hAnsiTheme="minorEastAsia" w:hint="eastAsia" w:ascii="NanumMyeongjo" w:hAnsi="NanumMyeongjo" w:eastAsia="NanumMyeongjo"/>
          <w:sz w:val="20"/>
          <w:szCs w:val="20"/>
        </w:rPr>
        <w:t>본 연구</w:t>
      </w:r>
      <w:r>
        <w:rPr>
          <w:rFonts w:asciiTheme="minorEastAsia" w:eastAsiaTheme="minorEastAsia" w:hAnsiTheme="minorEastAsia" w:hint="eastAsia" w:ascii="NanumMyeongjo" w:hAnsi="NanumMyeongjo" w:eastAsia="NanumMyeongjo"/>
          <w:sz w:val="20"/>
          <w:szCs w:val="20"/>
        </w:rPr>
        <w:t xml:space="preserve">는 </w:t>
      </w:r>
      <w:r w:rsidRPr="00563B09">
        <w:rPr>
          <w:rFonts w:asciiTheme="minorEastAsia" w:eastAsiaTheme="minorEastAsia" w:hAnsiTheme="minorEastAsia" w:hint="eastAsia" w:ascii="NanumMyeongjo" w:hAnsi="NanumMyeongjo" w:eastAsia="NanumMyeongjo"/>
          <w:sz w:val="20"/>
          <w:szCs w:val="20"/>
        </w:rPr>
        <w:t>분포 밖 행동의 가치를 아예 참조하지 않고 데이터 내부의 행동으로 가치를 추정</w:t>
      </w:r>
      <w:r>
        <w:rPr>
          <w:rFonts w:asciiTheme="minorEastAsia" w:eastAsiaTheme="minorEastAsia" w:hAnsiTheme="minorEastAsia" w:hint="eastAsia" w:ascii="NanumMyeongjo" w:hAnsi="NanumMyeongjo" w:eastAsia="NanumMyeongjo"/>
          <w:sz w:val="20"/>
          <w:szCs w:val="20"/>
        </w:rPr>
        <w:t xml:space="preserve">하는 </w:t>
      </w:r>
      <w:proofErr w:type="spellStart"/>
      <w:r w:rsidRPr="00563B09">
        <w:rPr>
          <w:rFonts w:asciiTheme="minorEastAsia" w:eastAsiaTheme="minorEastAsia" w:hAnsiTheme="minorEastAsia" w:hint="eastAsia" w:ascii="NanumMyeongjo" w:hAnsi="NanumMyeongjo" w:eastAsia="NanumMyeongjo"/>
          <w:sz w:val="20"/>
          <w:szCs w:val="20"/>
        </w:rPr>
        <w:t>Kostrikov</w:t>
      </w:r>
      <w:proofErr w:type="spellEnd"/>
      <w:r w:rsidRPr="00563B09">
        <w:rPr>
          <w:rFonts w:asciiTheme="minorEastAsia" w:eastAsiaTheme="minorEastAsia" w:hAnsiTheme="minorEastAsia" w:hint="eastAsia" w:ascii="NanumMyeongjo" w:hAnsi="NanumMyeongjo" w:eastAsia="NanumMyeongjo"/>
          <w:sz w:val="20"/>
          <w:szCs w:val="20"/>
        </w:rPr>
        <w:t xml:space="preserve"> et al.(2022)의 IQ</w:t>
      </w:r>
      <w:r>
        <w:rPr>
          <w:rFonts w:asciiTheme="minorEastAsia" w:eastAsiaTheme="minorEastAsia" w:hAnsiTheme="minorEastAsia" w:hint="eastAsia" w:ascii="NanumMyeongjo" w:hAnsi="NanumMyeongjo" w:eastAsia="NanumMyeongjo"/>
          <w:sz w:val="20"/>
          <w:szCs w:val="20"/>
        </w:rPr>
        <w:t xml:space="preserve">L을 채택하고, </w:t>
      </w:r>
      <w:r w:rsidRPr="00563B09">
        <w:rPr>
          <w:rFonts w:asciiTheme="minorEastAsia" w:eastAsiaTheme="minorEastAsia" w:hAnsiTheme="minorEastAsia" w:hint="eastAsia" w:ascii="NanumMyeongjo" w:hAnsi="NanumMyeongjo" w:eastAsia="NanumMyeongjo"/>
          <w:sz w:val="20"/>
          <w:szCs w:val="20"/>
        </w:rPr>
        <w:t>회계 항등식에 기반한 결정론적 재무 시뮬레이터를 전이모형으로 사용</w:t>
      </w:r>
      <w:r>
        <w:rPr>
          <w:rFonts w:asciiTheme="minorEastAsia" w:eastAsiaTheme="minorEastAsia" w:hAnsiTheme="minorEastAsia" w:hint="eastAsia" w:ascii="NanumMyeongjo" w:hAnsi="NanumMyeongjo" w:eastAsia="NanumMyeongjo"/>
          <w:sz w:val="20"/>
          <w:szCs w:val="20"/>
        </w:rPr>
        <w:t>하여</w:t>
      </w:r>
      <w:r w:rsidRPr="00563B09">
        <w:rPr>
          <w:rFonts w:asciiTheme="minorEastAsia" w:eastAsiaTheme="minorEastAsia" w:hAnsiTheme="minorEastAsia" w:hint="eastAsia" w:ascii="NanumMyeongjo" w:hAnsi="NanumMyeongjo" w:eastAsia="NanumMyeongjo"/>
          <w:sz w:val="20"/>
          <w:szCs w:val="20"/>
        </w:rPr>
        <w:t xml:space="preserve"> 관측된 기업-연도에서 행동만을 </w:t>
      </w:r>
      <w:r w:rsidRPr="00563B09">
        <w:rPr>
          <w:rFonts w:asciiTheme="minorEastAsia" w:eastAsiaTheme="minorEastAsia" w:hAnsiTheme="minorEastAsia" w:hint="eastAsia" w:ascii="NanumMyeongjo" w:hAnsi="NanumMyeongjo" w:eastAsia="NanumMyeongjo"/>
          <w:sz w:val="20"/>
          <w:szCs w:val="20"/>
        </w:rPr>
        <w:t xml:space="preserve">표준 행동으로 교체한 </w:t>
      </w:r>
      <w:proofErr w:type="spellStart"/>
      <w:r w:rsidRPr="00563B09">
        <w:rPr>
          <w:rFonts w:asciiTheme="minorEastAsia" w:eastAsiaTheme="minorEastAsia" w:hAnsiTheme="minorEastAsia" w:hint="eastAsia" w:ascii="NanumMyeongjo" w:hAnsi="NanumMyeongjo" w:eastAsia="NanumMyeongjo"/>
          <w:sz w:val="20"/>
          <w:szCs w:val="20"/>
        </w:rPr>
        <w:t>반사실</w:t>
      </w:r>
      <w:proofErr w:type="spellEnd"/>
      <w:r w:rsidRPr="00563B09">
        <w:rPr>
          <w:rFonts w:asciiTheme="minorEastAsia" w:eastAsiaTheme="minorEastAsia" w:hAnsiTheme="minorEastAsia" w:hint="eastAsia" w:ascii="NanumMyeongjo" w:hAnsi="NanumMyeongjo" w:eastAsia="NanumMyeongjo"/>
          <w:sz w:val="20"/>
          <w:szCs w:val="20"/>
        </w:rPr>
        <w:t xml:space="preserve"> 전이를 생성하고 행동별 학습 신호를 보강한다. 이로써 확률적 전이모형에서 발생하는 불확실성은 줄일 수 있으나, 회계 항등식 기반 시뮬레이터 자체에서 비롯되는 모형위험은 별도의 검증으로 점검한다.</w:t>
      </w:r>
    </w:p>
    <w:p>
      <w:pPr>
        <w:widowControl/>
      </w:pPr>
      <w:r>
        <w:t>다만 본 학위논문에서의 실험 단위는 1년 단위의 단일 행동 선택이므로, 장기 누적보상을 직접 학습하는 완전한 다기간 MDP라기보다 contextual-bandit-like one-step offline decision problem에 가깝다. 따라서 본 연구는 강화학습 정책을 주된 연구 대상으로 두기보다, LLM의 개선권고를 비교할 도메인을 학습한 참조 정책으로 사용한다.</w:t>
      </w:r>
    </w:p>
    <w:p>
      <w:pPr>
        <w:widowControl/>
      </w:pPr>
      <w:r>
        <w:t>최종 V4.3 학습은 할인계수 γ=0의 단일기간 설정으로 이해한다. 따라서 장기 누적보상의 최적 정책을 발견했다는 주장보다, 관측자료와 도메인 보조보상을 이용한 한 시점의 후보행동 비교정책을 구성했다는 기술이 적절하다. 관측 전이에서 붙인 의사행동은 실제 경영진의 전략 선택을 관찰한 라벨이 아니라, 재무변화를 표준후보와 연결한 분석용 표현이다.</w:t>
      </w:r>
    </w:p>
    <w:p>
      <w:pPr>
        <w:widowControl/>
      </w:pPr>
      <w:r>
        <w:t>여러 seed의 확률평균은 특정 초기값의 변동을 줄이는 방법이지만, configuration 탐색이나 평가표면의 반복 사용으로 발생한 선택 불확실성을 제거하지는 않는다. 또한 여러 actor의 성능을 평균한 수치와 평균확률의 argmax가 생성한 하나의 배포정책 성능은 다르다. 본 논문은 후자를 최종 C3-E의 성능으로 보고하며, seed·configuration 제거 분석을 선택 이후의 강건성 진단으로 제시한다.</w:t>
      </w:r>
    </w:p>
    <w:p>
      <w:bookmarkStart w:id="24" w:name="head_22"/>
      <w:pPr>
        <w:pStyle w:val="2"/>
        <w:widowControl/>
      </w:pPr>
      <w:r>
        <w:t>2.4 정책으로서의 LLM</w:t>
      </w:r>
      <w:bookmarkEnd w:id="24"/>
    </w:p>
    <w:p>
      <w:bookmarkStart w:id="25" w:name="head_23"/>
      <w:pPr>
        <w:pStyle w:val="3"/>
        <w:widowControl/>
      </w:pPr>
      <w:r>
        <w:t>2.4.1 프롬프트의 추론 유도와 API 추론 설정</w:t>
      </w:r>
      <w:bookmarkEnd w:id="25"/>
    </w:p>
    <w:p>
      <w:pPr>
        <w:widowControl/>
      </w:pPr>
      <w:r>
        <w:t>본 연구와 관련되는 문헌은 추론 유도, 자기 수정과 외부 정책 참조의 세 흐름으로 나눌 수 있다. 추론 유도(reasoning elicitation) 연구는 중간 추론을 생성하게 하는 지시가 일부 과제의 성능을 높일 수 있음을 보였다(Wei et al., 2022; Wang, X. et al., 2023; Yao et al., 2023). 반면 그 이득이 수학·기호 과제에 집중되거나 응답형식의 제약이 강할수록 줄어든다는 결과도 보고되었다(Sprague et al., 2024; Tam et al., 2024; Schall &amp; de Melo, 2025). 따라서 8차원 관리행동를 작성하는 본 연구의 조건에서 추론 유도가 점수를 높이는지는 경험적으로 확인해야 한다(H1). 또한 점수가 오르지 않더라도 행동크기, 변경된 재무항목 수와 표준후보와의 거리가 달라질 수 있으므로 행동의 변화도 함께 측정한다(H2).</w:t>
      </w:r>
    </w:p>
    <w:p>
      <w:pPr>
        <w:widowControl/>
      </w:pPr>
      <w:r>
        <w:t>최종 실험에서는 ‘추론’이라는 용어를 두 수준으로 나눈다. 첫째, C5는 같은 모델·API 추론 설정에서 유동성, 레버리지·만기구조, 영업효율과 수익성을 진단하도록 명시하는 프롬프트 조건이다. C5−C4는 이러한 지시가 추가된 정책의 차이를 묻는다. 둘째, High는 같은 조건표를 별도로 실행하면서 공급자의 추론 설정을 높인 생성 체제이다. High−Baseline은 프롬프트 지시의 효과와 동일하지 않다.</w:t>
      </w:r>
    </w:p>
    <w:p>
      <w:pPr>
        <w:widowControl/>
      </w:pPr>
      <w:r>
        <w:t>또한 High 실행에서는 최대 출력 토큰 상한이 함께 변경되었다. 후속 조건은 각 생성 체제에서 나온 C4를 사용하므로 부모 초안의 내용도 달라진다. 따라서 이 비교는 동일한 문자열 입력에서 추론 파라미터 하나만 바꾼 통제실험이 아니라, 기록된 기술변경을 포함하는 추론 실행 체제의 민감도 분석이다. 두 공급자가 모두 high라는 이름을 사용하더라도 같은 계산량을 투입했다는 의미는 아니다.</w:t>
      </w:r>
    </w:p>
    <w:p>
      <w:bookmarkStart w:id="26" w:name="head_24"/>
      <w:pPr>
        <w:pStyle w:val="3"/>
        <w:widowControl/>
      </w:pPr>
      <w:r>
        <w:t>2.4.2 자기 수정과 외부 정책 참조</w:t>
      </w:r>
      <w:bookmarkEnd w:id="26"/>
    </w:p>
    <w:p w14:paraId="4048A21B" w14:textId="77777777" w:rsidR="00F56EBF" w:rsidRPr="00A25CD7" w:rsidRDefault="00F56EBF" w:rsidP="00576F05">
      <w:pPr>
        <w:rPr>
          <w:rFonts w:asciiTheme="minorEastAsia" w:eastAsiaTheme="minorEastAsia" w:hAnsiTheme="minorEastAsia"/>
          <w:sz w:val="20"/>
          <w:szCs w:val="20"/>
        </w:rPr>
      </w:pPr>
      <w:r>
        <w:rPr>
          <w:rFonts w:asciiTheme="minorEastAsia" w:eastAsiaTheme="minorEastAsia" w:hAnsiTheme="minorEastAsia" w:ascii="NanumMyeongjo" w:hAnsi="NanumMyeongjo" w:eastAsia="NanumMyeongjo"/>
          <w:sz w:val="20"/>
          <w:szCs w:val="20"/>
        </w:rPr>
        <w:t xml:space="preserve">다음은 자기 수정(self-correction) 연구이다. Self-Refine은 모델이 자신의 출력에 피드백을 만들고 다시 수정하는 절차가 여러 과제에서 유효할 수 있음을 보였다(Madaan et al., 2023). 그러나 외부 피드백이 없는 자기 수정은 </w:t>
      </w:r>
      <w:proofErr w:type="spellStart"/>
      <w:r>
        <w:rPr>
          <w:rFonts w:asciiTheme="minorEastAsia" w:eastAsiaTheme="minorEastAsia" w:hAnsiTheme="minorEastAsia" w:ascii="NanumMyeongjo" w:hAnsi="NanumMyeongjo" w:eastAsia="NanumMyeongjo"/>
          <w:sz w:val="20"/>
          <w:szCs w:val="20"/>
        </w:rPr>
        <w:t>정답률을</w:t>
      </w:r>
      <w:proofErr w:type="spellEnd"/>
      <w:r>
        <w:rPr>
          <w:rFonts w:asciiTheme="minorEastAsia" w:eastAsiaTheme="minorEastAsia" w:hAnsiTheme="minorEastAsia" w:ascii="NanumMyeongjo" w:hAnsi="NanumMyeongjo" w:eastAsia="NanumMyeongjo"/>
          <w:sz w:val="20"/>
          <w:szCs w:val="20"/>
        </w:rPr>
        <w:t xml:space="preserve"> 높이지 못하거나 오히려 낮출 수 있으며(Huang et al., 2024), 성공 사례 가운데 상당수는 두 번째 단계에서 유입된 외부 정보나 인위적으로 낮춘 최초 응답의 영향을 포함한다는 비판도 있다(Kamoi et al., 2024). 따라서 수정 결과가 좋아졌다면 다시 </w:t>
      </w:r>
      <w:r>
        <w:rPr>
          <w:rFonts w:asciiTheme="minorEastAsia" w:eastAsiaTheme="minorEastAsia" w:hAnsiTheme="minorEastAsia" w:ascii="NanumMyeongjo" w:hAnsi="NanumMyeongjo" w:eastAsia="NanumMyeongjo"/>
          <w:sz w:val="20"/>
          <w:szCs w:val="20"/>
        </w:rPr>
        <w:t>검토했기 때문인지, 새 정보가 들어왔기 때문인지 분리해야 한다. 본 연구의 C4R은 외부 정책 참조 없이 두 번째 검토만 부여하여 이 차이를 확인하는 조건이다.</w:t>
      </w:r>
    </w:p>
    <w:p>
      <w:pPr>
        <w:widowControl/>
      </w:pPr>
      <w:r>
        <w:t>마지막은 외부 정책 참조(external policy reference)와 조언 수용 연구이다. 참조의 가치는 참조 자체의 평균 품질만으로 결정되지 않는다. 현재 초안보다 나은 정보인지, 초안과 어느 방향으로 다른지, 모델이 그 차이를 최종 행동에 반영할 수 있는지에 따라 결과가 달라질 수 있다. 이에 본 연구는 기업별 Candidate-IQL 참조와 기업 간 불일치 참조에 대한 반응이 구별되는지 확인하고(H3), 같은 참조의 가치가 기업과 행동크기 제약에 따라 달라지는지도 제6장에서 분석한다.</w:t>
      </w:r>
    </w:p>
    <w:p>
      <w:pPr>
        <w:widowControl/>
      </w:pPr>
      <w:r>
        <w:t>자기 재검토의 이득은 처음 초안의 상태와 실행규칙에 따라 달라질 수 있다. 처음부터 usable한 초안을 다시 판단하는 과제와, 형식 또는 예산을 지키지 못한 초안을 수정하는 과제는 동일하지 않다. 최종 정책가치의 변화에는 실제 행동의 재구성과 실행 가능 상태로의 전환이 함께 들어갈 수 있다. 이러한 가능성을 확인하기 위해 본 연구는 전체 기업의 ITT와 strict-usable 교집합 PP를 함께 보고한다.</w:t>
      </w:r>
    </w:p>
    <w:p>
      <w:bookmarkStart w:id="27" w:name="head_25"/>
      <w:pPr>
        <w:pStyle w:val="3"/>
        <w:widowControl/>
      </w:pPr>
      <w:r>
        <w:t>2.4.3 출력 유창성·행동 유효성·정책가치</w:t>
      </w:r>
      <w:bookmarkEnd w:id="27"/>
    </w:p>
    <w:p>
      <w:pPr>
        <w:widowControl/>
      </w:pPr>
      <w:r>
        <w:t>LLM을 정책으로 볼 때에는 자연어 설명의 유창성과 최종 행동의 품질을 구분해야 한다. LLM은 금융 영역에서 수치, 계산과 시점에 관한 오류를 그럴듯한 문장으로 제시할 수 있다(Huang, L. et al., 2023; Kang &amp; Liu, 2023). 설명이 자연스럽더라도 필요한 행동값을 읽을 수 없거나, 허용범위를 벗어나거나, 설명에 적힌 행동값과 실제 행동값이 일치하지 않으면 권고의 효과를 제대로 평가할 수 없다. 따라서 본 연구는 필요한 행동값을 읽을 수 있는지, 요구한 형식과 행동크기 제한을 지켰는지를 확인하고, 행동 수용 여부와 설명 형식을 따로 기록한다. Strict ITT에서는 완료된 unusable 응답을 제외하지 않고 무행동으로 실행한 전체 정책을 평가한다. 방향이 잘못된 권고, 실제로 실행하기 어려운 권고, 외부 정책 참조를 지나치게 따른 권고와 근거가 부족한 권고는 결과를 해석할 때 따로 살펴본다.</w:t>
      </w:r>
    </w:p>
    <w:p>
      <w:pPr>
        <w:widowControl/>
      </w:pPr>
      <w:r>
        <w:t>따라서 전송 성공, 행동 수용, 전체 응답형식 준수와 신용평점 변화는 각각 다른 지표이다. HTTP 요청이 정상 종료되어도 행동계약을 위반할 수 있으며, JSON이 올바르더라도 예산을 넘을 수 있다. 반대로 설명부의 필드가 요구 형식과 다르지만 행동은 명확한 경우에는 행동 수용률과 전체 형식 준수율이 다르게 집계된다. 이 구분 없이 한 가지 오류율로 정책의 유용성을 결론 내리지 않는다.</w:t>
      </w:r>
    </w:p>
    <w:p>
      <w:bookmarkStart w:id="28" w:name="head_26"/>
      <w:pPr>
        <w:pStyle w:val="2"/>
        <w:widowControl/>
      </w:pPr>
      <w:r>
        <w:t>2.5 평가단위와 측정 타당성: 정책 하네스</w:t>
      </w:r>
      <w:bookmarkEnd w:id="28"/>
    </w:p>
    <w:p>
      <w:bookmarkStart w:id="29" w:name="head_27"/>
      <w:pPr>
        <w:pStyle w:val="3"/>
        <w:widowControl/>
      </w:pPr>
      <w:r>
        <w:t>2.5.1 동일 파운데이션 모델의 생성 정책 차이</w:t>
      </w:r>
      <w:bookmarkEnd w:id="29"/>
    </w:p>
    <w:p w14:paraId="3B09A5A9" w14:textId="77777777" w:rsidR="00F56EBF" w:rsidRPr="00A25CD7" w:rsidRDefault="00F56EBF" w:rsidP="00F70E23">
      <w:pPr>
        <w:rPr>
          <w:rFonts w:asciiTheme="minorEastAsia" w:eastAsiaTheme="minorEastAsia" w:hAnsiTheme="minorEastAsia"/>
          <w:sz w:val="20"/>
          <w:szCs w:val="20"/>
        </w:rPr>
      </w:pPr>
      <w:r>
        <w:rPr>
          <w:rFonts w:asciiTheme="minorEastAsia" w:eastAsiaTheme="minorEastAsia" w:hAnsiTheme="minorEastAsia" w:ascii="NanumMyeongjo" w:hAnsi="NanumMyeongjo" w:eastAsia="NanumMyeongjo"/>
          <w:sz w:val="20"/>
          <w:szCs w:val="20"/>
        </w:rPr>
        <w:t xml:space="preserve">LLM 평가는 흔히 모델명과 벤치마크 점수를 중심으로 이루어진다. 그러나 행동을 생성하는 상황에서는 같은 모델이 항상 같은 정책이 아니다. 어떤 정보를 주는지, </w:t>
      </w:r>
      <w:r w:rsidR="004124AE">
        <w:rPr>
          <w:rFonts w:asciiTheme="minorEastAsia" w:eastAsiaTheme="minorEastAsia" w:hAnsiTheme="minorEastAsia" w:hint="eastAsia" w:ascii="NanumMyeongjo" w:hAnsi="NanumMyeongjo" w:eastAsia="NanumMyeongjo"/>
          <w:sz w:val="20"/>
          <w:szCs w:val="20"/>
        </w:rPr>
        <w:t xml:space="preserve">행동공간을 어떻게 </w:t>
      </w:r>
      <w:r>
        <w:rPr>
          <w:rFonts w:asciiTheme="minorEastAsia" w:eastAsiaTheme="minorEastAsia" w:hAnsiTheme="minorEastAsia" w:ascii="NanumMyeongjo" w:hAnsi="NanumMyeongjo" w:eastAsia="NanumMyeongjo"/>
          <w:sz w:val="20"/>
          <w:szCs w:val="20"/>
        </w:rPr>
        <w:t xml:space="preserve">제한하는지, 참조를 언제 </w:t>
      </w:r>
      <w:proofErr w:type="spellStart"/>
      <w:r>
        <w:rPr>
          <w:rFonts w:asciiTheme="minorEastAsia" w:eastAsiaTheme="minorEastAsia" w:hAnsiTheme="minorEastAsia" w:ascii="NanumMyeongjo" w:hAnsi="NanumMyeongjo" w:eastAsia="NanumMyeongjo"/>
          <w:sz w:val="20"/>
          <w:szCs w:val="20"/>
        </w:rPr>
        <w:t>보여주는지와</w:t>
      </w:r>
      <w:proofErr w:type="spellEnd"/>
      <w:r>
        <w:rPr>
          <w:rFonts w:asciiTheme="minorEastAsia" w:eastAsiaTheme="minorEastAsia" w:hAnsiTheme="minorEastAsia" w:ascii="NanumMyeongjo" w:hAnsi="NanumMyeongjo" w:eastAsia="NanumMyeongjo"/>
          <w:sz w:val="20"/>
          <w:szCs w:val="20"/>
        </w:rPr>
        <w:t xml:space="preserve"> 어떤 후처리를 거치는지에 따라 서로 다른 행동이 생성된다. </w:t>
      </w:r>
    </w:p>
    <w:p w14:paraId="7C251EE8" w14:textId="77777777" w:rsidR="00F56EBF" w:rsidRPr="00B7626A" w:rsidRDefault="00F56EBF" w:rsidP="00FB0F3B">
      <w:pPr>
        <w:rPr>
          <w:sz w:val="20"/>
          <w:szCs w:val="20"/>
        </w:rPr>
      </w:pPr>
      <w:r>
        <w:rPr>
          <w:rFonts w:asciiTheme="minorEastAsia" w:eastAsiaTheme="minorEastAsia" w:hAnsiTheme="minorEastAsia" w:ascii="NanumMyeongjo" w:hAnsi="NanumMyeongjo" w:eastAsia="NanumMyeongjo"/>
          <w:sz w:val="20"/>
          <w:szCs w:val="20"/>
        </w:rPr>
        <w:t>측정 타당성 연구는 평가점수가 실제로 측정하려는 개념을 반영하는지 먼저 확인해야 한다고 본다(Jacobs &amp; Wallach, 2021). HELM은 정확도 하나가 아니라 평가 시나리오와 여러 평가항목을 함께 명시해야 함을 강조했고(Liang et al., 2022), 최근 연구는 LLM 벤치마크의 구성 타당성 부족을 지적하였다(Bean et al., 2025). 에이전트 평가 연구도 평가 대상이 모델 하나가 아니라 프롬프트·도구·후처리가 결합된 하네스이며, 조합을 특정하지 않으면 결과 비교와 재현이 어렵다고 보았다(Yehudai et al., 2025; Kapoor et al., 2025; Zhu et al., 2026). 본 논문에서는 이러한 결합을 정책 하네스(policy harness)라 칭한다.</w:t>
      </w:r>
    </w:p>
    <w:p>
      <w:bookmarkStart w:id="30" w:name="head_28"/>
      <w:pPr>
        <w:pStyle w:val="3"/>
        <w:widowControl/>
      </w:pPr>
      <w:r>
        <w:t>2.5.2 정책 하네스와 평가 하네스의 구분</w:t>
      </w:r>
      <w:bookmarkEnd w:id="30"/>
    </w:p>
    <w:p>
      <w:pPr>
        <w:widowControl/>
      </w:pPr>
      <w:r>
        <w:t>정책 하네스는 파운데이션 모델, 추론 설정과 출력 상한, 제공정보, 프롬프트와 호출구조, 출력형식, 행동예산, 참조배정 및 검증·실행규칙의 결합으로 정의한다. 반면 평가 하네스는 행동의 재무 전파와 그 상태의 점수화에 사용하는 Simulator와 Oracle의 결합이다. 전자는 어떤 행동이 만들어지고 적용되는지를, 후자는 그 행동이 연구환경에서 어떤 값을 받는지를 결정한다.</w:t>
      </w:r>
    </w:p>
    <w:p>
      <w:pPr>
        <w:pStyle w:val="Equation"/>
        <w:keepNext/>
        <w:widowControl/>
      </w:pPr>
      <w:r>
        <w:t>정책 하네스 h = (모델, 추론 설정, 정보, 프롬프트, 출력형식, 행동예산, 참조, 실행규칙)</w:t>
      </w:r>
    </w:p>
    <w:p>
      <w:pPr>
        <w:pStyle w:val="Equation"/>
        <w:keepNext/>
        <w:widowControl/>
      </w:pPr>
      <w:r>
        <w:t>평가 하네스 e = (Simulator, 시나리오, Oracle, 평가시점)</w:t>
      </w:r>
    </w:p>
    <w:p>
      <w:pPr>
        <w:widowControl/>
      </w:pPr>
      <w:r>
        <w:t>두 하네스를 구분하면 변경의 의미가 명료해진다. Repair는 동일한 생성응답에 다른 실행규칙을 적용한 정책 하네스의 변경이다. Oracle을 바꾸는 것은 동일한 행동을 다른 평가함수로 측정하는 평가 하네스의 변경이다. 어느 경우든 점수 차이를 파운데이션 모델 자체의 차이로만 귀속할 수 없다.</w:t>
      </w:r>
    </w:p>
    <w:p>
      <w:bookmarkStart w:id="31" w:name="head_29"/>
      <w:pPr>
        <w:pStyle w:val="3"/>
        <w:widowControl/>
      </w:pPr>
      <w:r>
        <w:t>2.5.3 검증 우선 원칙의 적용범위</w:t>
      </w:r>
      <w:bookmarkEnd w:id="31"/>
    </w:p>
    <w:p w14:paraId="6599ACE9" w14:textId="77777777" w:rsidR="00F56EBF" w:rsidRPr="00B7626A" w:rsidRDefault="00F56EBF" w:rsidP="00537BCB">
      <w:pPr>
        <w:rPr>
          <w:rFonts w:asciiTheme="minorEastAsia" w:eastAsiaTheme="minorEastAsia" w:hAnsiTheme="minorEastAsia"/>
          <w:sz w:val="20"/>
          <w:szCs w:val="20"/>
        </w:rPr>
      </w:pPr>
      <w:r>
        <w:rPr>
          <w:rFonts w:asciiTheme="minorEastAsia" w:eastAsiaTheme="minorEastAsia" w:hAnsiTheme="minorEastAsia" w:ascii="NanumMyeongjo" w:hAnsi="NanumMyeongjo" w:eastAsia="NanumMyeongjo"/>
          <w:sz w:val="20"/>
          <w:szCs w:val="20"/>
        </w:rPr>
        <w:t>평가도구가 무엇을 측정하는지 확인하지 않고 정책가치를 비교하면, 평가도구의 특성을 정책의 효과로 잘못 해석할 수 있다. 따라서 본 연구는 먼저 평가모형의 신용평점이 실제 신용등급과 어느 정도 맞는지, Simulator가 회계항등식을 지키는지 확인한다. 그다음 Candidate-IQL을 비교용 참조정책으로 마련하여 LLM 정책들과 비교한다. 이후에는 정책조건에 따라 관측된 차이가 어디에서 생겼는지 살펴보고, 평균 정책가치뿐 아니라 기업별 효과와 구체적인 행동이 반복되는지도 확인한다.</w:t>
      </w:r>
    </w:p>
    <w:p>
      <w:pPr>
        <w:widowControl/>
      </w:pPr>
      <w:r>
        <w:t>검증 우선은 모든 불확실성을 없앤 뒤에만 비교한다는 의미가 아니라, 어떤 검증이 어떤 주장을 뒷받침하는지 먼저 드러내는 원칙이다. 본 연구에서는 개발 단계의 경험적 정렬성, 현재 계약의 의미론 검사, 최종 행동별 비교와 현실적 실행가능성의 미검증 영역을 구별한다. 데이터와 실행기록의 미해결 불일치는 점수표에서 숨기지 않고 해석범위에 반영한다.</w:t>
      </w:r>
    </w:p>
    <w:p>
      <w:bookmarkStart w:id="32" w:name="head_30"/>
      <w:pPr>
        <w:pStyle w:val="2"/>
        <w:widowControl/>
      </w:pPr>
      <w:r>
        <w:t>2.6 정책가치의 귀속 문제</w:t>
      </w:r>
      <w:bookmarkEnd w:id="32"/>
    </w:p>
    <w:p>
      <w:bookmarkStart w:id="33" w:name="head_31"/>
      <w:pPr>
        <w:pStyle w:val="3"/>
        <w:widowControl/>
      </w:pPr>
      <w:r>
        <w:t>2.6.1 평가도구 귀속</w:t>
      </w:r>
      <w:bookmarkEnd w:id="33"/>
    </w:p>
    <w:p w14:paraId="545AAC4C" w14:textId="77777777" w:rsidR="00F56EBF" w:rsidRPr="00A25CD7" w:rsidRDefault="00F56EBF" w:rsidP="00537BCB">
      <w:pPr>
        <w:rPr>
          <w:rFonts w:asciiTheme="minorEastAsia" w:eastAsiaTheme="minorEastAsia" w:hAnsiTheme="minorEastAsia"/>
          <w:sz w:val="20"/>
          <w:szCs w:val="20"/>
        </w:rPr>
      </w:pPr>
      <w:r>
        <w:rPr>
          <w:rFonts w:asciiTheme="minorEastAsia" w:eastAsiaTheme="minorEastAsia" w:hAnsiTheme="minorEastAsia" w:ascii="NanumMyeongjo" w:hAnsi="NanumMyeongjo" w:eastAsia="NanumMyeongjo"/>
          <w:sz w:val="20"/>
          <w:szCs w:val="20"/>
        </w:rPr>
        <w:t>Oracle이 산출한 신용평점이 높아졌다고 해서 실제 신용등급이 높아졌다고 볼 수는 없다. 또한 같은 행동이라도 Oracle의 계산방식에 따라 신용평점 변화가 크게 나타나거나 전혀 나타나지 않을 수 있다. 구간별 점수를 사용하는 Oracle-α는 같은 구간 안의 변화를 동일한 신용평점으로 기록하지만, 다른 두 Oracle은 더 작은 차이도 신용평점에 반영할 수 있다. 따라서 정책을 비교하기 전에 각 평가모형이 재무상태의 변화를 신용평점에 어떻게 반영하는지 확인해야 한다. 제4장에서는 시간외표본에서 평가모형의 성능을 확인하고, B2 지표가 실제로 측정한 평가경로의 타당성과 세 Oracle에서 정책행동의 효과가 어떻게 나타나는지를 검증한다.</w:t>
      </w:r>
    </w:p>
    <w:p>
      <w:pPr>
        <w:widowControl/>
      </w:pPr>
      <w:r>
        <w:t>특히 원점수의 높은 기업 간 상관은 행동효과의 높은 일치도를 보장하지 않는다. 기업의 기본 신용상태가 공통으로 들어가면 두 정책의 절대점수 순위는 거의 같을 수 있다. 정책을 비교할 때에는 A0 대비 변화와 조건 간 증분효과를 별도로 계산하여, 기업 자체의 차이와 행동의 차이를 구분한다.</w:t>
      </w:r>
    </w:p>
    <w:p>
      <w:bookmarkStart w:id="34" w:name="head_32"/>
      <w:pPr>
        <w:pStyle w:val="3"/>
        <w:widowControl/>
      </w:pPr>
      <w:r>
        <w:t>2.6.2 생성모델과 실행규칙 귀속</w:t>
      </w:r>
      <w:bookmarkEnd w:id="34"/>
    </w:p>
    <w:p>
      <w:pPr>
        <w:widowControl/>
      </w:pPr>
      <w:r>
        <w:t>자유작성의 높은 정책가치를 기업별 맞춤능력 하나로 설명할 수는 없다. 허용하는 조합, 실제 사용 강도, 예산 위반을 처리하는 규칙이 다르면 관측 점수가 달라진다. 본 연구의 B1은 비교 가능한 명목 예산을 제공하지만, 각 정책이 그 예산을 모두 소진한다는 뜻은 아니다. BINF는 총합 상한을 제거하므로 원래의 후보공간 상한을 넘는 점수도 가능하다.</w:t>
      </w:r>
    </w:p>
    <w:p>
      <w:pPr>
        <w:widowControl/>
      </w:pPr>
      <w:r>
        <w:t>같은 원응답을 Strict와 Repaired로 평가한 차이는 실행규칙의 민감도를 보여준다. Repair가 문법과 행동량을 바꿀 수 있으므로 이 차이를 ‘LLM이 본래 의도한 올바른 응답의 가치’로 부르지 않는다. 또한 조건별 usable 기업이 다르면 그 기업들의 평균을 따로 빼는 방식으로 판단능력의 순수한 차이를 추정할 수 없다. 동일 기업의 교집합이 필요하다.</w:t>
      </w:r>
    </w:p>
    <w:p>
      <w:bookmarkStart w:id="35" w:name="head_33"/>
      <w:pPr>
        <w:pStyle w:val="3"/>
        <w:widowControl/>
      </w:pPr>
      <w:r>
        <w:t>2.6.3 자기 재검토와 추가 참조 귀속</w:t>
      </w:r>
      <w:bookmarkEnd w:id="35"/>
    </w:p>
    <w:p>
      <w:pPr>
        <w:widowControl/>
      </w:pPr>
      <w:r>
        <w:t>C4R과 C6-E는 같은 C4에서 각각 출발하는 후속 조건이다. C4R은 외부 정책정보 없이 다시 검토하고, C6-E는 기업별 C3-E의 행동 내용을 추가로 받는다. 두 값을 비교하면 재검토 기회를 공통으로 둔 상태에서 추가 참조 조건의 차이를 확인할 수 있다. C6-EX는 같은 참조행동 분포에서 기업별 배정만 바꾼 대조조건이다.</w:t>
      </w:r>
    </w:p>
    <w:p>
      <w:pPr>
        <w:pStyle w:val="Equation"/>
        <w:keepNext/>
        <w:widowControl/>
      </w:pPr>
      <w:r>
        <w:t>E전체 = V(C6-E) − V(C4)</w:t>
      </w:r>
    </w:p>
    <w:p>
      <w:pPr>
        <w:pStyle w:val="Equation"/>
        <w:keepNext/>
        <w:widowControl/>
      </w:pPr>
      <w:r>
        <w:t>E전체 = [V(C4R) − V(C4)] + [V(C6-E) − V(C4R)]</w:t>
      </w:r>
    </w:p>
    <w:p>
      <w:pPr>
        <w:widowControl/>
      </w:pPr>
      <w:r>
        <w:t>이 항등식은 같은 기업집단에서 계산할 때 성립한다. C4R을 실제로 거친 뒤 C6-E가 생성되었다는 뜻도, 두 항이 독립적인 인과 매개효과라는 뜻도 아니다. PP에서 항마다 다른 교집합을 사용하면 그 평균을 단순히 더할 수 없으므로, 분해 전체를 보고할 때에는 필요한 조건의 공통집단을 고정해야 한다.</w:t>
      </w:r>
    </w:p>
    <w:p>
      <w:bookmarkStart w:id="36" w:name="head_34"/>
      <w:pPr>
        <w:pStyle w:val="2"/>
        <w:widowControl/>
      </w:pPr>
      <w:r>
        <w:t>2.7 선행연구의 한계와 본 연구의 위치</w:t>
      </w:r>
      <w:bookmarkEnd w:id="36"/>
    </w:p>
    <w:p>
      <w:pPr>
        <w:widowControl/>
      </w:pPr>
      <w:r>
        <w:t>앞의 논의는 평가의 네 가지 요구로 모인다. 권고의 점수를 실제 신용성과와 구분해야 하고, 점수화 이전에 어떤 행동이 수용·실행되었는지 밝혀야 하며, 재검토와 참조를 같은 출발점에서 비교해야 한다. 또한 평균적인 성과와 개별 기업 권고의 반복성을 별도로 확인해야 한다. 기존 문헌에서 제기된 평가 타당성, 자기 수정의 한계, 하네스 구성의 중요성은 이러한 요구를 뒷받침한다(Jacobs &amp; Wallach, 2021; Kamoi et al., 2024; Liang et al., 2022).</w:t>
      </w:r>
    </w:p>
    <w:p>
      <w:pPr>
        <w:widowControl/>
      </w:pPr>
      <w:r>
        <w:t>본 연구는 Oracle과 Simulator의 역할을 분리하고, 학습정책을 외부 참조로 사용하는 조건과 기업 간 불일치 참조조건을 구성하며, 동일 응답을 다른 실행규칙으로 평가한다. 이는 새로운 파운데이션 모델을 제안하는 연구가 아니라, 기업 재무행동 생성에서 관측되는 정책가치의 조건 의존성을 분석하는 연구이다. 학습참조 선택과 추가 추론실험의 사후적 성격을 공개함으로써 분석이 답할 수 있는 범위를 제한한다.</w:t>
      </w:r>
    </w:p>
    <w:p>
      <w:bookmarkStart w:id="37" w:name="head_35"/>
      <w:pPr>
        <w:pStyle w:val="2"/>
        <w:widowControl/>
      </w:pPr>
      <w:r>
        <w:t>2.8 연구가설과 추가 분석명제</w:t>
      </w:r>
      <w:bookmarkEnd w:id="37"/>
    </w:p>
    <w:p>
      <w:pPr>
        <w:widowControl/>
      </w:pPr>
      <w:r>
        <w:t>H1–H5는 기존 연구질문에 대응하는 가설로 유지한다. 다만 최종 실행조건이 바뀌었으므로 가설의 취지와 이를 평가하는 대비를 구분하여 제시한다. 특히 과거의 균등 무작위 참조를 사용한 H3의 결과를 그대로 가져오지 않고, 최종 C6-E−C6-EX의 의미에 맞추어 참조배정에 대한 반응으로 평가한다. High와 Repaired에서 발견한 패턴을 최초 가설의 사전예측으로 소급하지 않는다.</w:t>
      </w:r>
    </w:p>
    <w:p>
      <w:bookmarkStart w:id="38" w:name="cap_3"/>
      <w:pPr>
        <w:pStyle w:val="af"/>
        <w:widowControl/>
      </w:pPr>
      <w:r>
        <w:t>표 2-1. 기존 가설과 최종 분석의 대응</w:t>
      </w:r>
      <w:bookmarkEnd w:id="38"/>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1020"/>
        <w:gridCol w:w="3005"/>
        <w:gridCol w:w="3912"/>
      </w:tblGrid>
      <w:tr>
        <w:trPr>
          <w:cantSplit/>
          <w:tblHeader/>
        </w:trPr>
        <w:tc>
          <w:tcPr>
            <w:tcW w:type="dxa" w:w="1020"/>
            <w:vAlign w:val="center"/>
            <w:shd w:fill="F1F1F1"/>
            <w:tcMar>
              <w:top w:w="65" w:type="dxa"/>
              <w:left w:w="65" w:type="dxa"/>
              <w:bottom w:w="65" w:type="dxa"/>
              <w:right w:w="65" w:type="dxa"/>
            </w:tcMar>
          </w:tcPr>
          <w:p>
            <w:pPr>
              <w:pStyle w:val="TableText"/>
              <w:keepNext/>
              <w:widowControl/>
              <w:jc w:val="center"/>
            </w:pPr>
            <w:r>
              <w:rPr>
                <w:b/>
                <w:sz w:val="18"/>
              </w:rPr>
              <w:t>구분</w:t>
            </w:r>
          </w:p>
        </w:tc>
        <w:tc>
          <w:tcPr>
            <w:tcW w:type="dxa" w:w="3005"/>
            <w:vAlign w:val="center"/>
            <w:shd w:fill="F1F1F1"/>
            <w:tcMar>
              <w:top w:w="65" w:type="dxa"/>
              <w:left w:w="65" w:type="dxa"/>
              <w:bottom w:w="65" w:type="dxa"/>
              <w:right w:w="65" w:type="dxa"/>
            </w:tcMar>
          </w:tcPr>
          <w:p>
            <w:pPr>
              <w:pStyle w:val="TableText"/>
              <w:keepNext/>
              <w:widowControl/>
              <w:jc w:val="center"/>
            </w:pPr>
            <w:r>
              <w:rPr>
                <w:b/>
                <w:sz w:val="18"/>
              </w:rPr>
              <w:t>유지하는 질문·예측</w:t>
            </w:r>
          </w:p>
        </w:tc>
        <w:tc>
          <w:tcPr>
            <w:tcW w:type="dxa" w:w="3912"/>
            <w:vAlign w:val="center"/>
            <w:shd w:fill="F1F1F1"/>
            <w:tcMar>
              <w:top w:w="65" w:type="dxa"/>
              <w:left w:w="65" w:type="dxa"/>
              <w:bottom w:w="65" w:type="dxa"/>
              <w:right w:w="65" w:type="dxa"/>
            </w:tcMar>
          </w:tcPr>
          <w:p>
            <w:pPr>
              <w:pStyle w:val="TableText"/>
              <w:keepNext/>
              <w:widowControl/>
              <w:jc w:val="center"/>
            </w:pPr>
            <w:r>
              <w:rPr>
                <w:b/>
                <w:sz w:val="18"/>
              </w:rPr>
              <w:t>최종 평가와 해석</w:t>
            </w:r>
          </w:p>
        </w:tc>
      </w:tr>
      <w:tr>
        <w:trPr>
          <w:cantSplit/>
        </w:trPr>
        <w:tc>
          <w:tcPr>
            <w:tcW w:type="dxa" w:w="1020"/>
            <w:vAlign w:val="center"/>
            <w:tcMar>
              <w:top w:w="65" w:type="dxa"/>
              <w:left w:w="65" w:type="dxa"/>
              <w:bottom w:w="65" w:type="dxa"/>
              <w:right w:w="65" w:type="dxa"/>
            </w:tcMar>
          </w:tcPr>
          <w:p>
            <w:pPr>
              <w:pStyle w:val="TableText"/>
              <w:keepNext/>
              <w:widowControl/>
              <w:jc w:val="left"/>
            </w:pPr>
            <w:r>
              <w:rPr>
                <w:b w:val="0"/>
                <w:sz w:val="18"/>
              </w:rPr>
              <w:t>H1</w:t>
            </w:r>
          </w:p>
        </w:tc>
        <w:tc>
          <w:tcPr>
            <w:tcW w:type="dxa" w:w="3005"/>
            <w:vAlign w:val="center"/>
            <w:tcMar>
              <w:top w:w="65" w:type="dxa"/>
              <w:left w:w="65" w:type="dxa"/>
              <w:bottom w:w="65" w:type="dxa"/>
              <w:right w:w="65" w:type="dxa"/>
            </w:tcMar>
          </w:tcPr>
          <w:p>
            <w:pPr>
              <w:pStyle w:val="TableText"/>
              <w:keepNext/>
              <w:widowControl/>
              <w:jc w:val="left"/>
            </w:pPr>
            <w:r>
              <w:rPr>
                <w:b w:val="0"/>
                <w:sz w:val="18"/>
              </w:rPr>
              <w:t>진단·추론 유도 지시가 정책가치를 높이는가?</w:t>
            </w:r>
          </w:p>
        </w:tc>
        <w:tc>
          <w:tcPr>
            <w:tcW w:type="dxa" w:w="3912"/>
            <w:vAlign w:val="center"/>
            <w:tcMar>
              <w:top w:w="65" w:type="dxa"/>
              <w:left w:w="65" w:type="dxa"/>
              <w:bottom w:w="65" w:type="dxa"/>
              <w:right w:w="65" w:type="dxa"/>
            </w:tcMar>
          </w:tcPr>
          <w:p>
            <w:pPr>
              <w:pStyle w:val="TableText"/>
              <w:keepNext/>
              <w:widowControl/>
              <w:jc w:val="left"/>
            </w:pPr>
            <w:r>
              <w:rPr>
                <w:b w:val="0"/>
                <w:sz w:val="18"/>
              </w:rPr>
              <w:t>같은 API 추론 설정에서 C5−C4; B1/BINF 별도</w:t>
            </w:r>
          </w:p>
        </w:tc>
      </w:tr>
      <w:tr>
        <w:trPr>
          <w:cantSplit/>
        </w:trPr>
        <w:tc>
          <w:tcPr>
            <w:tcW w:type="dxa" w:w="1020"/>
            <w:vAlign w:val="center"/>
            <w:tcMar>
              <w:top w:w="65" w:type="dxa"/>
              <w:left w:w="65" w:type="dxa"/>
              <w:bottom w:w="65" w:type="dxa"/>
              <w:right w:w="65" w:type="dxa"/>
            </w:tcMar>
          </w:tcPr>
          <w:p>
            <w:pPr>
              <w:pStyle w:val="TableText"/>
              <w:keepNext w:val="0"/>
              <w:widowControl/>
              <w:jc w:val="left"/>
            </w:pPr>
            <w:r>
              <w:rPr>
                <w:b w:val="0"/>
                <w:sz w:val="18"/>
              </w:rPr>
              <w:t>H2</w:t>
            </w:r>
          </w:p>
        </w:tc>
        <w:tc>
          <w:tcPr>
            <w:tcW w:type="dxa" w:w="3005"/>
            <w:vAlign w:val="center"/>
            <w:tcMar>
              <w:top w:w="65" w:type="dxa"/>
              <w:left w:w="65" w:type="dxa"/>
              <w:bottom w:w="65" w:type="dxa"/>
              <w:right w:w="65" w:type="dxa"/>
            </w:tcMar>
          </w:tcPr>
          <w:p>
            <w:pPr>
              <w:pStyle w:val="TableText"/>
              <w:keepNext w:val="0"/>
              <w:widowControl/>
              <w:jc w:val="left"/>
            </w:pPr>
            <w:r>
              <w:rPr>
                <w:b w:val="0"/>
                <w:sz w:val="18"/>
              </w:rPr>
              <w:t>진단 지시가 행동크기·구성·형식 준수를 바꾸는가?</w:t>
            </w:r>
          </w:p>
        </w:tc>
        <w:tc>
          <w:tcPr>
            <w:tcW w:type="dxa" w:w="3912"/>
            <w:vAlign w:val="center"/>
            <w:tcMar>
              <w:top w:w="65" w:type="dxa"/>
              <w:left w:w="65" w:type="dxa"/>
              <w:bottom w:w="65" w:type="dxa"/>
              <w:right w:w="65" w:type="dxa"/>
            </w:tcMar>
          </w:tcPr>
          <w:p>
            <w:pPr>
              <w:pStyle w:val="TableText"/>
              <w:keepNext w:val="0"/>
              <w:widowControl/>
              <w:jc w:val="left"/>
            </w:pPr>
            <w:r>
              <w:rPr>
                <w:b w:val="0"/>
                <w:sz w:val="18"/>
              </w:rPr>
              <w:t>강도·활성 차원·행동 수용률; 정책가치와 분리</w:t>
            </w:r>
          </w:p>
        </w:tc>
      </w:tr>
      <w:tr>
        <w:trPr>
          <w:cantSplit/>
        </w:trPr>
        <w:tc>
          <w:tcPr>
            <w:tcW w:type="dxa" w:w="1020"/>
            <w:vAlign w:val="center"/>
            <w:tcMar>
              <w:top w:w="65" w:type="dxa"/>
              <w:left w:w="65" w:type="dxa"/>
              <w:bottom w:w="65" w:type="dxa"/>
              <w:right w:w="65" w:type="dxa"/>
            </w:tcMar>
          </w:tcPr>
          <w:p>
            <w:pPr>
              <w:pStyle w:val="TableText"/>
              <w:keepNext w:val="0"/>
              <w:widowControl/>
              <w:jc w:val="left"/>
            </w:pPr>
            <w:r>
              <w:rPr>
                <w:b w:val="0"/>
                <w:sz w:val="18"/>
              </w:rPr>
              <w:t>H3</w:t>
            </w:r>
          </w:p>
        </w:tc>
        <w:tc>
          <w:tcPr>
            <w:tcW w:type="dxa" w:w="3005"/>
            <w:vAlign w:val="center"/>
            <w:tcMar>
              <w:top w:w="65" w:type="dxa"/>
              <w:left w:w="65" w:type="dxa"/>
              <w:bottom w:w="65" w:type="dxa"/>
              <w:right w:w="65" w:type="dxa"/>
            </w:tcMar>
          </w:tcPr>
          <w:p>
            <w:pPr>
              <w:pStyle w:val="TableText"/>
              <w:keepNext w:val="0"/>
              <w:widowControl/>
              <w:jc w:val="left"/>
            </w:pPr>
            <w:r>
              <w:rPr>
                <w:b w:val="0"/>
                <w:sz w:val="18"/>
              </w:rPr>
              <w:t>외부 참조내용에 따라 정책이 다르게 반응하는가?</w:t>
            </w:r>
          </w:p>
        </w:tc>
        <w:tc>
          <w:tcPr>
            <w:tcW w:type="dxa" w:w="3912"/>
            <w:vAlign w:val="center"/>
            <w:tcMar>
              <w:top w:w="65" w:type="dxa"/>
              <w:left w:w="65" w:type="dxa"/>
              <w:bottom w:w="65" w:type="dxa"/>
              <w:right w:w="65" w:type="dxa"/>
            </w:tcMar>
          </w:tcPr>
          <w:p>
            <w:pPr>
              <w:pStyle w:val="TableText"/>
              <w:keepNext w:val="0"/>
              <w:widowControl/>
              <w:jc w:val="left"/>
            </w:pPr>
            <w:r>
              <w:rPr>
                <w:b w:val="0"/>
                <w:sz w:val="18"/>
              </w:rPr>
              <w:t>C6-E−C6-EX; 주변분포를 고정한 배정조건 차이</w:t>
            </w:r>
          </w:p>
        </w:tc>
      </w:tr>
      <w:tr>
        <w:trPr>
          <w:cantSplit/>
        </w:trPr>
        <w:tc>
          <w:tcPr>
            <w:tcW w:type="dxa" w:w="1020"/>
            <w:vAlign w:val="center"/>
            <w:tcMar>
              <w:top w:w="65" w:type="dxa"/>
              <w:left w:w="65" w:type="dxa"/>
              <w:bottom w:w="65" w:type="dxa"/>
              <w:right w:w="65" w:type="dxa"/>
            </w:tcMar>
          </w:tcPr>
          <w:p>
            <w:pPr>
              <w:pStyle w:val="TableText"/>
              <w:keepNext w:val="0"/>
              <w:widowControl/>
              <w:jc w:val="left"/>
            </w:pPr>
            <w:r>
              <w:rPr>
                <w:b w:val="0"/>
                <w:sz w:val="18"/>
              </w:rPr>
              <w:t>H4-a</w:t>
            </w:r>
          </w:p>
        </w:tc>
        <w:tc>
          <w:tcPr>
            <w:tcW w:type="dxa" w:w="3005"/>
            <w:vAlign w:val="center"/>
            <w:tcMar>
              <w:top w:w="65" w:type="dxa"/>
              <w:left w:w="65" w:type="dxa"/>
              <w:bottom w:w="65" w:type="dxa"/>
              <w:right w:w="65" w:type="dxa"/>
            </w:tcMar>
          </w:tcPr>
          <w:p>
            <w:pPr>
              <w:pStyle w:val="TableText"/>
              <w:keepNext w:val="0"/>
              <w:widowControl/>
              <w:jc w:val="left"/>
            </w:pPr>
            <w:r>
              <w:rPr>
                <w:b w:val="0"/>
                <w:sz w:val="18"/>
              </w:rPr>
              <w:t>평가모형을 바꾸어도 주요 효과 방향이 유지되는가?</w:t>
            </w:r>
          </w:p>
        </w:tc>
        <w:tc>
          <w:tcPr>
            <w:tcW w:type="dxa" w:w="3912"/>
            <w:vAlign w:val="center"/>
            <w:tcMar>
              <w:top w:w="65" w:type="dxa"/>
              <w:left w:w="65" w:type="dxa"/>
              <w:bottom w:w="65" w:type="dxa"/>
              <w:right w:w="65" w:type="dxa"/>
            </w:tcMar>
          </w:tcPr>
          <w:p>
            <w:pPr>
              <w:pStyle w:val="TableText"/>
              <w:keepNext w:val="0"/>
              <w:widowControl/>
              <w:jc w:val="left"/>
            </w:pPr>
            <w:r>
              <w:rPr>
                <w:b w:val="0"/>
                <w:sz w:val="18"/>
              </w:rPr>
              <w:t>α를 주 평가자로, β·γ를 별도의 강건성 진단으로 사용</w:t>
            </w:r>
          </w:p>
        </w:tc>
      </w:tr>
      <w:tr>
        <w:trPr>
          <w:cantSplit/>
        </w:trPr>
        <w:tc>
          <w:tcPr>
            <w:tcW w:type="dxa" w:w="1020"/>
            <w:vAlign w:val="center"/>
            <w:tcMar>
              <w:top w:w="65" w:type="dxa"/>
              <w:left w:w="65" w:type="dxa"/>
              <w:bottom w:w="65" w:type="dxa"/>
              <w:right w:w="65" w:type="dxa"/>
            </w:tcMar>
          </w:tcPr>
          <w:p>
            <w:pPr>
              <w:pStyle w:val="TableText"/>
              <w:keepNext w:val="0"/>
              <w:widowControl/>
              <w:jc w:val="left"/>
            </w:pPr>
            <w:r>
              <w:rPr>
                <w:b w:val="0"/>
                <w:sz w:val="18"/>
              </w:rPr>
              <w:t>H4-b</w:t>
            </w:r>
          </w:p>
        </w:tc>
        <w:tc>
          <w:tcPr>
            <w:tcW w:type="dxa" w:w="3005"/>
            <w:vAlign w:val="center"/>
            <w:tcMar>
              <w:top w:w="65" w:type="dxa"/>
              <w:left w:w="65" w:type="dxa"/>
              <w:bottom w:w="65" w:type="dxa"/>
              <w:right w:w="65" w:type="dxa"/>
            </w:tcMar>
          </w:tcPr>
          <w:p>
            <w:pPr>
              <w:pStyle w:val="TableText"/>
              <w:keepNext w:val="0"/>
              <w:widowControl/>
              <w:jc w:val="left"/>
            </w:pPr>
            <w:r>
              <w:rPr>
                <w:b w:val="0"/>
                <w:sz w:val="18"/>
              </w:rPr>
              <w:t>자유작성과 후보선택은 가치와 행동에서 차이를 보이는가?</w:t>
            </w:r>
          </w:p>
        </w:tc>
        <w:tc>
          <w:tcPr>
            <w:tcW w:type="dxa" w:w="3912"/>
            <w:vAlign w:val="center"/>
            <w:tcMar>
              <w:top w:w="65" w:type="dxa"/>
              <w:left w:w="65" w:type="dxa"/>
              <w:bottom w:w="65" w:type="dxa"/>
              <w:right w:w="65" w:type="dxa"/>
            </w:tcMar>
          </w:tcPr>
          <w:p>
            <w:pPr>
              <w:pStyle w:val="TableText"/>
              <w:keepNext w:val="0"/>
              <w:widowControl/>
              <w:jc w:val="left"/>
            </w:pPr>
            <w:r>
              <w:rPr>
                <w:b w:val="0"/>
                <w:sz w:val="18"/>
              </w:rPr>
              <w:t>공통 B1의 C4·C4R·C6-E; 자유작성 우위를 전제하지 않음</w:t>
            </w:r>
          </w:p>
        </w:tc>
      </w:tr>
      <w:tr>
        <w:trPr>
          <w:cantSplit/>
        </w:trPr>
        <w:tc>
          <w:tcPr>
            <w:tcW w:type="dxa" w:w="1020"/>
            <w:vAlign w:val="center"/>
            <w:tcMar>
              <w:top w:w="65" w:type="dxa"/>
              <w:left w:w="65" w:type="dxa"/>
              <w:bottom w:w="65" w:type="dxa"/>
              <w:right w:w="65" w:type="dxa"/>
            </w:tcMar>
          </w:tcPr>
          <w:p>
            <w:pPr>
              <w:pStyle w:val="TableText"/>
              <w:keepNext w:val="0"/>
              <w:widowControl/>
              <w:jc w:val="left"/>
            </w:pPr>
            <w:r>
              <w:rPr>
                <w:b w:val="0"/>
                <w:sz w:val="18"/>
              </w:rPr>
              <w:t>H5</w:t>
            </w:r>
          </w:p>
        </w:tc>
        <w:tc>
          <w:tcPr>
            <w:tcW w:type="dxa" w:w="3005"/>
            <w:vAlign w:val="center"/>
            <w:tcMar>
              <w:top w:w="65" w:type="dxa"/>
              <w:left w:w="65" w:type="dxa"/>
              <w:bottom w:w="65" w:type="dxa"/>
              <w:right w:w="65" w:type="dxa"/>
            </w:tcMar>
          </w:tcPr>
          <w:p>
            <w:pPr>
              <w:pStyle w:val="TableText"/>
              <w:keepNext w:val="0"/>
              <w:widowControl/>
              <w:jc w:val="left"/>
            </w:pPr>
            <w:r>
              <w:rPr>
                <w:b w:val="0"/>
                <w:sz w:val="18"/>
              </w:rPr>
              <w:t>정보범위가 정책행동과 가치를 바꾸는가?</w:t>
            </w:r>
          </w:p>
        </w:tc>
        <w:tc>
          <w:tcPr>
            <w:tcW w:type="dxa" w:w="3912"/>
            <w:vAlign w:val="center"/>
            <w:tcMar>
              <w:top w:w="65" w:type="dxa"/>
              <w:left w:w="65" w:type="dxa"/>
              <w:bottom w:w="65" w:type="dxa"/>
              <w:right w:w="65" w:type="dxa"/>
            </w:tcMar>
          </w:tcPr>
          <w:p>
            <w:pPr>
              <w:pStyle w:val="TableText"/>
              <w:keepNext w:val="0"/>
              <w:widowControl/>
              <w:jc w:val="left"/>
            </w:pPr>
            <w:r>
              <w:rPr>
                <w:b w:val="0"/>
                <w:sz w:val="18"/>
              </w:rPr>
              <w:t>C4/free8/B1의 인접 정보조건 대비</w:t>
            </w:r>
          </w:p>
        </w:tc>
      </w:tr>
      <w:tr>
        <w:trPr>
          <w:cantSplit/>
        </w:trPr>
        <w:tc>
          <w:tcPr>
            <w:tcW w:type="dxa" w:w="1020"/>
            <w:vAlign w:val="center"/>
            <w:tcMar>
              <w:top w:w="65" w:type="dxa"/>
              <w:left w:w="65" w:type="dxa"/>
              <w:bottom w:w="65" w:type="dxa"/>
              <w:right w:w="65" w:type="dxa"/>
            </w:tcMar>
          </w:tcPr>
          <w:p>
            <w:pPr>
              <w:pStyle w:val="TableText"/>
              <w:keepNext w:val="0"/>
              <w:widowControl/>
              <w:jc w:val="left"/>
            </w:pPr>
            <w:r>
              <w:rPr>
                <w:b w:val="0"/>
                <w:sz w:val="18"/>
              </w:rPr>
              <w:t>추가 명제</w:t>
            </w:r>
          </w:p>
        </w:tc>
        <w:tc>
          <w:tcPr>
            <w:tcW w:type="dxa" w:w="3005"/>
            <w:vAlign w:val="center"/>
            <w:tcMar>
              <w:top w:w="65" w:type="dxa"/>
              <w:left w:w="65" w:type="dxa"/>
              <w:bottom w:w="65" w:type="dxa"/>
              <w:right w:w="65" w:type="dxa"/>
            </w:tcMar>
          </w:tcPr>
          <w:p>
            <w:pPr>
              <w:pStyle w:val="TableText"/>
              <w:keepNext w:val="0"/>
              <w:widowControl/>
              <w:jc w:val="left"/>
            </w:pPr>
            <w:r>
              <w:rPr>
                <w:b w:val="0"/>
                <w:sz w:val="18"/>
              </w:rPr>
              <w:t>추론 실행 체제와 Repair가 결과의 해석을 바꾸는가?</w:t>
            </w:r>
          </w:p>
        </w:tc>
        <w:tc>
          <w:tcPr>
            <w:tcW w:type="dxa" w:w="3912"/>
            <w:vAlign w:val="center"/>
            <w:tcMar>
              <w:top w:w="65" w:type="dxa"/>
              <w:left w:w="65" w:type="dxa"/>
              <w:bottom w:w="65" w:type="dxa"/>
              <w:right w:w="65" w:type="dxa"/>
            </w:tcMar>
          </w:tcPr>
          <w:p>
            <w:pPr>
              <w:pStyle w:val="TableText"/>
              <w:keepNext w:val="0"/>
              <w:widowControl/>
              <w:jc w:val="left"/>
            </w:pPr>
            <w:r>
              <w:rPr>
                <w:b w:val="0"/>
                <w:sz w:val="18"/>
              </w:rPr>
              <w:t>High·Repaired 및 상호작용; 본실험 이후의 추가 분석</w:t>
            </w:r>
          </w:p>
        </w:tc>
      </w:tr>
    </w:tbl>
    <w:p>
      <w:pPr>
        <w:pStyle w:val="SourceNote"/>
        <w:widowControl/>
      </w:pPr>
      <w:r>
        <w:t>주: H4-b의 기존 방향예측과 실제 최종 결과가 다르면 결과를 바꾸지 않고 그 차이를 보고한다. 외부 사전등록의 증거가 아닌 실행 전 동결 문서와 runtime 명세를 근거로 분석범위를 설명한다.</w:t>
      </w:r>
    </w:p>
    <w:p>
      <w:bookmarkStart w:id="39" w:name="head_36"/>
      <w:pPr>
        <w:pStyle w:val="1"/>
        <w:widowControl/>
      </w:pPr>
      <w:r>
        <w:t>제3장 연구설계와 실행·분석 계약</w:t>
      </w:r>
      <w:bookmarkEnd w:id="39"/>
    </w:p>
    <w:p>
      <w:pPr>
        <w:widowControl/>
      </w:pPr>
      <w:r>
        <w:t>본 장은 실제 실행된 V4.3 실험을 기준으로 자료, 행동, 학습 참조정책, LLM 호출 및 분석단위를 정의한다. 같은 이름의 정책이라도 행동의 의미나 응답 처리규칙이 달라지면 결과를 직접 합칠 수 없다. 따라서 본 연구에서 계약(contract)은 프로그램 이름이 아니라 입력의 의미, 허용된 행동, 실패 처리, 참조 배정, 표본 및 산출물의 대응관계를 고정한 명세를 뜻한다. 원자료를 다시 생성하는 작업과 저장된 결과를 재집계하는 작업도 구분한다.</w:t>
      </w:r>
    </w:p>
    <w:p>
      <w:pPr>
        <w:widowControl/>
      </w:pPr>
      <w:r>
        <w:t>이 개정에서는 원응답, 배포정책 및 기업별 평가값을 변경하지 않았다. Main Run1만으로 정책가치를 다시 집계하고, strict-usable 교집합에 따라 PP를 재구성했으며, 저장된 기업별 대응차이로 불확실성과 다중비교 표를 재산출하였다. 기존 집계표의 오류를 수정하는 것이지 새로운 LLM 표본이나 새로운 Simulator 실행을 추가한 것은 아니다.</w:t>
      </w:r>
    </w:p>
    <w:p>
      <w:bookmarkStart w:id="40" w:name="head_37"/>
      <w:pPr>
        <w:pStyle w:val="2"/>
        <w:widowControl/>
      </w:pPr>
      <w:r>
        <w:t>3.1 자료·표본·시점과 분석의 역할</w:t>
      </w:r>
      <w:bookmarkEnd w:id="40"/>
    </w:p>
    <w:p>
      <w:bookmarkStart w:id="41" w:name="head_38"/>
      <w:pPr>
        <w:pStyle w:val="3"/>
        <w:widowControl/>
      </w:pPr>
      <w:r>
        <w:t>3.1.1 재무패널과 시간 구분</w:t>
      </w:r>
      <w:bookmarkEnd w:id="41"/>
    </w:p>
    <w:p>
      <w:pPr>
        <w:widowControl/>
      </w:pPr>
      <w:r>
        <w:t>연구의 기초자료는 금융업을 제외한 한국 상장기업의 재무패널이다. 원 연구자료의 표본 흐름은 전체 재무패널 70,777개 기업–연도, 외부 신용등급이 연결된 4,924개 기업–연도, 연속 관측으로 구성한 3,159개 전이로 보고되었다. 이 규모는 자료 구축 단계의 기록이며, 최종 V4.3의 모든 학습 단계에 동일한 행 수가 투입되었다는 뜻은 아니다. 특히 전이의 출발연도와 등급 결과연도를 제한한 뒤의 학습표본은 해당 단계의 manifest로 구분해야 한다.</w:t>
      </w:r>
    </w:p>
    <w:p>
      <w:pPr>
        <w:widowControl/>
      </w:pPr>
      <w:r>
        <w:t>Oracle 개발기간은 2002–2019년, 시간외 검증기간은 2020–2023년으로 구분하였다. 최종 RL 설정은 전이의 출발연도를 2022년 이하, 결과연도를 2023년 이하로 제한한다. 정책의 평가 출발시점은 2024년이고, Simulator는 그 상태에서 한 해 후의 반사실적 결과를 계산한다. 따라서 2025년은 시뮬레이션의 도착시점이지 실제로 관측된 권고 실행성과가 아니다.</w:t>
      </w:r>
    </w:p>
    <w:p>
      <w:pPr>
        <w:widowControl/>
      </w:pPr>
      <w:r>
        <w:t>2024년 575개 기업을 배우지 않은 입력표본이라고 표현하는 것과, 이 표본을 최종 정책의 선택에 사용하지 않았다고 표현하는 것은 다르다. 개별 actor의 학습기간과 2024년 정책평가 시점은 나뉘어 있지만, encoder와 configuration 및 앙상블을 검토하는 과정에서 같은 2024년 정책평가가 반복 사용되었다. 본 논문은 이를 개발·평가 표면(development/evaluation surface)으로 부르며, 손대지 않은 최종 검증표본이나 외부 일반화의 직접 증거로 제시하지 않는다.</w:t>
      </w:r>
    </w:p>
    <w:p>
      <w:bookmarkStart w:id="42" w:name="cap_4"/>
      <w:pPr>
        <w:pStyle w:val="af"/>
        <w:widowControl/>
      </w:pPr>
      <w:r>
        <w:t>표 3-1. 자료 집합과 사용목적의 구분</w:t>
      </w:r>
      <w:bookmarkEnd w:id="42"/>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1701"/>
        <w:gridCol w:w="2268"/>
        <w:gridCol w:w="3969"/>
      </w:tblGrid>
      <w:tr>
        <w:trPr>
          <w:cantSplit/>
          <w:tblHeader/>
        </w:trPr>
        <w:tc>
          <w:tcPr>
            <w:tcW w:type="dxa" w:w="1701"/>
            <w:vAlign w:val="center"/>
            <w:shd w:fill="F1F1F1"/>
            <w:tcMar>
              <w:top w:w="65" w:type="dxa"/>
              <w:left w:w="65" w:type="dxa"/>
              <w:bottom w:w="65" w:type="dxa"/>
              <w:right w:w="65" w:type="dxa"/>
            </w:tcMar>
          </w:tcPr>
          <w:p>
            <w:pPr>
              <w:pStyle w:val="TableText"/>
              <w:keepNext/>
              <w:widowControl/>
              <w:jc w:val="center"/>
            </w:pPr>
            <w:r>
              <w:rPr>
                <w:b/>
                <w:sz w:val="18"/>
              </w:rPr>
              <w:t>구분</w:t>
            </w:r>
          </w:p>
        </w:tc>
        <w:tc>
          <w:tcPr>
            <w:tcW w:type="dxa" w:w="2268"/>
            <w:vAlign w:val="center"/>
            <w:shd w:fill="F1F1F1"/>
            <w:tcMar>
              <w:top w:w="65" w:type="dxa"/>
              <w:left w:w="65" w:type="dxa"/>
              <w:bottom w:w="65" w:type="dxa"/>
              <w:right w:w="65" w:type="dxa"/>
            </w:tcMar>
          </w:tcPr>
          <w:p>
            <w:pPr>
              <w:pStyle w:val="TableText"/>
              <w:keepNext/>
              <w:widowControl/>
              <w:jc w:val="center"/>
            </w:pPr>
            <w:r>
              <w:rPr>
                <w:b/>
                <w:sz w:val="18"/>
              </w:rPr>
              <w:t>규모·기간</w:t>
            </w:r>
          </w:p>
        </w:tc>
        <w:tc>
          <w:tcPr>
            <w:tcW w:type="dxa" w:w="3969"/>
            <w:vAlign w:val="center"/>
            <w:shd w:fill="F1F1F1"/>
            <w:tcMar>
              <w:top w:w="65" w:type="dxa"/>
              <w:left w:w="65" w:type="dxa"/>
              <w:bottom w:w="65" w:type="dxa"/>
              <w:right w:w="65" w:type="dxa"/>
            </w:tcMar>
          </w:tcPr>
          <w:p>
            <w:pPr>
              <w:pStyle w:val="TableText"/>
              <w:keepNext/>
              <w:widowControl/>
              <w:jc w:val="center"/>
            </w:pPr>
            <w:r>
              <w:rPr>
                <w:b/>
                <w:sz w:val="18"/>
              </w:rPr>
              <w:t>본 논문에서의 지위</w:t>
            </w:r>
          </w:p>
        </w:tc>
      </w:tr>
      <w:tr>
        <w:trPr>
          <w:cantSplit/>
        </w:trPr>
        <w:tc>
          <w:tcPr>
            <w:tcW w:type="dxa" w:w="1701"/>
            <w:vAlign w:val="center"/>
            <w:tcMar>
              <w:top w:w="65" w:type="dxa"/>
              <w:left w:w="65" w:type="dxa"/>
              <w:bottom w:w="65" w:type="dxa"/>
              <w:right w:w="65" w:type="dxa"/>
            </w:tcMar>
          </w:tcPr>
          <w:p>
            <w:pPr>
              <w:pStyle w:val="TableText"/>
              <w:keepNext/>
              <w:widowControl/>
              <w:jc w:val="left"/>
            </w:pPr>
            <w:r>
              <w:rPr>
                <w:b w:val="0"/>
                <w:sz w:val="18"/>
              </w:rPr>
              <w:t>원 재무패널</w:t>
            </w:r>
          </w:p>
        </w:tc>
        <w:tc>
          <w:tcPr>
            <w:tcW w:type="dxa" w:w="2268"/>
            <w:vAlign w:val="center"/>
            <w:tcMar>
              <w:top w:w="65" w:type="dxa"/>
              <w:left w:w="65" w:type="dxa"/>
              <w:bottom w:w="65" w:type="dxa"/>
              <w:right w:w="65" w:type="dxa"/>
            </w:tcMar>
          </w:tcPr>
          <w:p>
            <w:pPr>
              <w:pStyle w:val="TableText"/>
              <w:keepNext/>
              <w:widowControl/>
              <w:jc w:val="left"/>
            </w:pPr>
            <w:r>
              <w:rPr>
                <w:b w:val="0"/>
                <w:sz w:val="18"/>
              </w:rPr>
              <w:t>70,777 기업–연도</w:t>
            </w:r>
          </w:p>
        </w:tc>
        <w:tc>
          <w:tcPr>
            <w:tcW w:type="dxa" w:w="3969"/>
            <w:vAlign w:val="center"/>
            <w:tcMar>
              <w:top w:w="65" w:type="dxa"/>
              <w:left w:w="65" w:type="dxa"/>
              <w:bottom w:w="65" w:type="dxa"/>
              <w:right w:w="65" w:type="dxa"/>
            </w:tcMar>
          </w:tcPr>
          <w:p>
            <w:pPr>
              <w:pStyle w:val="TableText"/>
              <w:keepNext/>
              <w:widowControl/>
              <w:jc w:val="left"/>
            </w:pPr>
            <w:r>
              <w:rPr>
                <w:b w:val="0"/>
                <w:sz w:val="18"/>
              </w:rPr>
              <w:t>자료 구축 단계의 보고 규모; 상장폐지 기업 포함</w:t>
            </w:r>
          </w:p>
        </w:tc>
      </w:tr>
      <w:tr>
        <w:trPr>
          <w:cantSplit/>
        </w:trPr>
        <w:tc>
          <w:tcPr>
            <w:tcW w:type="dxa" w:w="1701"/>
            <w:vAlign w:val="center"/>
            <w:tcMar>
              <w:top w:w="65" w:type="dxa"/>
              <w:left w:w="65" w:type="dxa"/>
              <w:bottom w:w="65" w:type="dxa"/>
              <w:right w:w="65" w:type="dxa"/>
            </w:tcMar>
          </w:tcPr>
          <w:p>
            <w:pPr>
              <w:pStyle w:val="TableText"/>
              <w:keepNext w:val="0"/>
              <w:widowControl/>
              <w:jc w:val="left"/>
            </w:pPr>
            <w:r>
              <w:rPr>
                <w:b w:val="0"/>
                <w:sz w:val="18"/>
              </w:rPr>
              <w:t>외부등급 연결</w:t>
            </w:r>
          </w:p>
        </w:tc>
        <w:tc>
          <w:tcPr>
            <w:tcW w:type="dxa" w:w="2268"/>
            <w:vAlign w:val="center"/>
            <w:tcMar>
              <w:top w:w="65" w:type="dxa"/>
              <w:left w:w="65" w:type="dxa"/>
              <w:bottom w:w="65" w:type="dxa"/>
              <w:right w:w="65" w:type="dxa"/>
            </w:tcMar>
          </w:tcPr>
          <w:p>
            <w:pPr>
              <w:pStyle w:val="TableText"/>
              <w:keepNext w:val="0"/>
              <w:widowControl/>
              <w:jc w:val="left"/>
            </w:pPr>
            <w:r>
              <w:rPr>
                <w:b w:val="0"/>
                <w:sz w:val="18"/>
              </w:rPr>
              <w:t>4,924 기업–연도</w:t>
            </w:r>
          </w:p>
        </w:tc>
        <w:tc>
          <w:tcPr>
            <w:tcW w:type="dxa" w:w="3969"/>
            <w:vAlign w:val="center"/>
            <w:tcMar>
              <w:top w:w="65" w:type="dxa"/>
              <w:left w:w="65" w:type="dxa"/>
              <w:bottom w:w="65" w:type="dxa"/>
              <w:right w:w="65" w:type="dxa"/>
            </w:tcMar>
          </w:tcPr>
          <w:p>
            <w:pPr>
              <w:pStyle w:val="TableText"/>
              <w:keepNext w:val="0"/>
              <w:widowControl/>
              <w:jc w:val="left"/>
            </w:pPr>
            <w:r>
              <w:rPr>
                <w:b w:val="0"/>
                <w:sz w:val="18"/>
              </w:rPr>
              <w:t>Oracle 및 등급전이 자료 구성의 출발점</w:t>
            </w:r>
          </w:p>
        </w:tc>
      </w:tr>
      <w:tr>
        <w:trPr>
          <w:cantSplit/>
        </w:trPr>
        <w:tc>
          <w:tcPr>
            <w:tcW w:type="dxa" w:w="1701"/>
            <w:vAlign w:val="center"/>
            <w:tcMar>
              <w:top w:w="65" w:type="dxa"/>
              <w:left w:w="65" w:type="dxa"/>
              <w:bottom w:w="65" w:type="dxa"/>
              <w:right w:w="65" w:type="dxa"/>
            </w:tcMar>
          </w:tcPr>
          <w:p>
            <w:pPr>
              <w:pStyle w:val="TableText"/>
              <w:keepNext w:val="0"/>
              <w:widowControl/>
              <w:jc w:val="left"/>
            </w:pPr>
            <w:r>
              <w:rPr>
                <w:b w:val="0"/>
                <w:sz w:val="18"/>
              </w:rPr>
              <w:t>연속 관측전이</w:t>
            </w:r>
          </w:p>
        </w:tc>
        <w:tc>
          <w:tcPr>
            <w:tcW w:type="dxa" w:w="2268"/>
            <w:vAlign w:val="center"/>
            <w:tcMar>
              <w:top w:w="65" w:type="dxa"/>
              <w:left w:w="65" w:type="dxa"/>
              <w:bottom w:w="65" w:type="dxa"/>
              <w:right w:w="65" w:type="dxa"/>
            </w:tcMar>
          </w:tcPr>
          <w:p>
            <w:pPr>
              <w:pStyle w:val="TableText"/>
              <w:keepNext w:val="0"/>
              <w:widowControl/>
              <w:jc w:val="left"/>
            </w:pPr>
            <w:r>
              <w:rPr>
                <w:b w:val="0"/>
                <w:sz w:val="18"/>
              </w:rPr>
              <w:t>3,159 전이</w:t>
            </w:r>
          </w:p>
        </w:tc>
        <w:tc>
          <w:tcPr>
            <w:tcW w:type="dxa" w:w="3969"/>
            <w:vAlign w:val="center"/>
            <w:tcMar>
              <w:top w:w="65" w:type="dxa"/>
              <w:left w:w="65" w:type="dxa"/>
              <w:bottom w:w="65" w:type="dxa"/>
              <w:right w:w="65" w:type="dxa"/>
            </w:tcMar>
          </w:tcPr>
          <w:p>
            <w:pPr>
              <w:pStyle w:val="TableText"/>
              <w:keepNext w:val="0"/>
              <w:widowControl/>
              <w:jc w:val="left"/>
            </w:pPr>
            <w:r>
              <w:rPr>
                <w:b w:val="0"/>
                <w:sz w:val="18"/>
              </w:rPr>
              <w:t>기존 전이 집합의 규모; 최종 단계별 필터 후 N과 구분</w:t>
            </w:r>
          </w:p>
        </w:tc>
      </w:tr>
      <w:tr>
        <w:trPr>
          <w:cantSplit/>
        </w:trPr>
        <w:tc>
          <w:tcPr>
            <w:tcW w:type="dxa" w:w="1701"/>
            <w:vAlign w:val="center"/>
            <w:tcMar>
              <w:top w:w="65" w:type="dxa"/>
              <w:left w:w="65" w:type="dxa"/>
              <w:bottom w:w="65" w:type="dxa"/>
              <w:right w:w="65" w:type="dxa"/>
            </w:tcMar>
          </w:tcPr>
          <w:p>
            <w:pPr>
              <w:pStyle w:val="TableText"/>
              <w:keepNext w:val="0"/>
              <w:widowControl/>
              <w:jc w:val="left"/>
            </w:pPr>
            <w:r>
              <w:rPr>
                <w:b w:val="0"/>
                <w:sz w:val="18"/>
              </w:rPr>
              <w:t>Oracle 개발 / 검증</w:t>
            </w:r>
          </w:p>
        </w:tc>
        <w:tc>
          <w:tcPr>
            <w:tcW w:type="dxa" w:w="2268"/>
            <w:vAlign w:val="center"/>
            <w:tcMar>
              <w:top w:w="65" w:type="dxa"/>
              <w:left w:w="65" w:type="dxa"/>
              <w:bottom w:w="65" w:type="dxa"/>
              <w:right w:w="65" w:type="dxa"/>
            </w:tcMar>
          </w:tcPr>
          <w:p>
            <w:pPr>
              <w:pStyle w:val="TableText"/>
              <w:keepNext w:val="0"/>
              <w:widowControl/>
              <w:jc w:val="left"/>
            </w:pPr>
            <w:r>
              <w:rPr>
                <w:b w:val="0"/>
                <w:sz w:val="18"/>
              </w:rPr>
              <w:t>2002–2019 / 2020–2023</w:t>
            </w:r>
          </w:p>
        </w:tc>
        <w:tc>
          <w:tcPr>
            <w:tcW w:type="dxa" w:w="3969"/>
            <w:vAlign w:val="center"/>
            <w:tcMar>
              <w:top w:w="65" w:type="dxa"/>
              <w:left w:w="65" w:type="dxa"/>
              <w:bottom w:w="65" w:type="dxa"/>
              <w:right w:w="65" w:type="dxa"/>
            </w:tcMar>
          </w:tcPr>
          <w:p>
            <w:pPr>
              <w:pStyle w:val="TableText"/>
              <w:keepNext w:val="0"/>
              <w:widowControl/>
              <w:jc w:val="left"/>
            </w:pPr>
            <w:r>
              <w:rPr>
                <w:b w:val="0"/>
                <w:sz w:val="18"/>
              </w:rPr>
              <w:t>개발표본 2,032, 시간외표본 1,790이라는 기존 검증기록</w:t>
            </w:r>
          </w:p>
        </w:tc>
      </w:tr>
      <w:tr>
        <w:trPr>
          <w:cantSplit/>
        </w:trPr>
        <w:tc>
          <w:tcPr>
            <w:tcW w:type="dxa" w:w="1701"/>
            <w:vAlign w:val="center"/>
            <w:tcMar>
              <w:top w:w="65" w:type="dxa"/>
              <w:left w:w="65" w:type="dxa"/>
              <w:bottom w:w="65" w:type="dxa"/>
              <w:right w:w="65" w:type="dxa"/>
            </w:tcMar>
          </w:tcPr>
          <w:p>
            <w:pPr>
              <w:pStyle w:val="TableText"/>
              <w:keepNext w:val="0"/>
              <w:widowControl/>
              <w:jc w:val="left"/>
            </w:pPr>
            <w:r>
              <w:rPr>
                <w:b w:val="0"/>
                <w:sz w:val="18"/>
              </w:rPr>
              <w:t>RL 시간 제한</w:t>
            </w:r>
          </w:p>
        </w:tc>
        <w:tc>
          <w:tcPr>
            <w:tcW w:type="dxa" w:w="2268"/>
            <w:vAlign w:val="center"/>
            <w:tcMar>
              <w:top w:w="65" w:type="dxa"/>
              <w:left w:w="65" w:type="dxa"/>
              <w:bottom w:w="65" w:type="dxa"/>
              <w:right w:w="65" w:type="dxa"/>
            </w:tcMar>
          </w:tcPr>
          <w:p>
            <w:pPr>
              <w:pStyle w:val="TableText"/>
              <w:keepNext w:val="0"/>
              <w:widowControl/>
              <w:jc w:val="left"/>
            </w:pPr>
            <w:r>
              <w:rPr>
                <w:b w:val="0"/>
                <w:sz w:val="18"/>
              </w:rPr>
              <w:t>출발 t≤2022; 결과≤2023</w:t>
            </w:r>
          </w:p>
        </w:tc>
        <w:tc>
          <w:tcPr>
            <w:tcW w:type="dxa" w:w="3969"/>
            <w:vAlign w:val="center"/>
            <w:tcMar>
              <w:top w:w="65" w:type="dxa"/>
              <w:left w:w="65" w:type="dxa"/>
              <w:bottom w:w="65" w:type="dxa"/>
              <w:right w:w="65" w:type="dxa"/>
            </w:tcMar>
          </w:tcPr>
          <w:p>
            <w:pPr>
              <w:pStyle w:val="TableText"/>
              <w:keepNext w:val="0"/>
              <w:widowControl/>
              <w:jc w:val="left"/>
            </w:pPr>
            <w:r>
              <w:rPr>
                <w:b w:val="0"/>
                <w:sz w:val="18"/>
              </w:rPr>
              <w:t>최종 설정의 학습 시점 제한</w:t>
            </w:r>
          </w:p>
        </w:tc>
      </w:tr>
      <w:tr>
        <w:trPr>
          <w:cantSplit/>
        </w:trPr>
        <w:tc>
          <w:tcPr>
            <w:tcW w:type="dxa" w:w="1701"/>
            <w:vAlign w:val="center"/>
            <w:tcMar>
              <w:top w:w="65" w:type="dxa"/>
              <w:left w:w="65" w:type="dxa"/>
              <w:bottom w:w="65" w:type="dxa"/>
              <w:right w:w="65" w:type="dxa"/>
            </w:tcMar>
          </w:tcPr>
          <w:p>
            <w:pPr>
              <w:pStyle w:val="TableText"/>
              <w:keepNext w:val="0"/>
              <w:widowControl/>
              <w:jc w:val="left"/>
            </w:pPr>
            <w:r>
              <w:rPr>
                <w:b w:val="0"/>
                <w:sz w:val="18"/>
              </w:rPr>
              <w:t>최종 정책평가</w:t>
            </w:r>
          </w:p>
        </w:tc>
        <w:tc>
          <w:tcPr>
            <w:tcW w:type="dxa" w:w="2268"/>
            <w:vAlign w:val="center"/>
            <w:tcMar>
              <w:top w:w="65" w:type="dxa"/>
              <w:left w:w="65" w:type="dxa"/>
              <w:bottom w:w="65" w:type="dxa"/>
              <w:right w:w="65" w:type="dxa"/>
            </w:tcMar>
          </w:tcPr>
          <w:p>
            <w:pPr>
              <w:pStyle w:val="TableText"/>
              <w:keepNext w:val="0"/>
              <w:widowControl/>
              <w:jc w:val="left"/>
            </w:pPr>
            <w:r>
              <w:rPr>
                <w:b w:val="0"/>
                <w:sz w:val="18"/>
              </w:rPr>
              <w:t>2024년 575개 기업</w:t>
            </w:r>
          </w:p>
        </w:tc>
        <w:tc>
          <w:tcPr>
            <w:tcW w:type="dxa" w:w="3969"/>
            <w:vAlign w:val="center"/>
            <w:tcMar>
              <w:top w:w="65" w:type="dxa"/>
              <w:left w:w="65" w:type="dxa"/>
              <w:bottom w:w="65" w:type="dxa"/>
              <w:right w:w="65" w:type="dxa"/>
            </w:tcMar>
          </w:tcPr>
          <w:p>
            <w:pPr>
              <w:pStyle w:val="TableText"/>
              <w:keepNext w:val="0"/>
              <w:widowControl/>
              <w:jc w:val="left"/>
            </w:pPr>
            <w:r>
              <w:rPr>
                <w:b w:val="0"/>
                <w:sz w:val="18"/>
              </w:rPr>
              <w:t>반복 선택에 사용된 개발·평가 표면</w:t>
            </w:r>
          </w:p>
        </w:tc>
      </w:tr>
      <w:tr>
        <w:trPr>
          <w:cantSplit/>
        </w:trPr>
        <w:tc>
          <w:tcPr>
            <w:tcW w:type="dxa" w:w="1701"/>
            <w:vAlign w:val="center"/>
            <w:tcMar>
              <w:top w:w="65" w:type="dxa"/>
              <w:left w:w="65" w:type="dxa"/>
              <w:bottom w:w="65" w:type="dxa"/>
              <w:right w:w="65" w:type="dxa"/>
            </w:tcMar>
          </w:tcPr>
          <w:p>
            <w:pPr>
              <w:pStyle w:val="TableText"/>
              <w:keepNext w:val="0"/>
              <w:widowControl/>
              <w:jc w:val="left"/>
            </w:pPr>
            <w:r>
              <w:rPr>
                <w:b w:val="0"/>
                <w:sz w:val="18"/>
              </w:rPr>
              <w:t>반사실적 도착시점</w:t>
            </w:r>
          </w:p>
        </w:tc>
        <w:tc>
          <w:tcPr>
            <w:tcW w:type="dxa" w:w="2268"/>
            <w:vAlign w:val="center"/>
            <w:tcMar>
              <w:top w:w="65" w:type="dxa"/>
              <w:left w:w="65" w:type="dxa"/>
              <w:bottom w:w="65" w:type="dxa"/>
              <w:right w:w="65" w:type="dxa"/>
            </w:tcMar>
          </w:tcPr>
          <w:p>
            <w:pPr>
              <w:pStyle w:val="TableText"/>
              <w:keepNext w:val="0"/>
              <w:widowControl/>
              <w:jc w:val="left"/>
            </w:pPr>
            <w:r>
              <w:rPr>
                <w:b w:val="0"/>
                <w:sz w:val="18"/>
              </w:rPr>
              <w:t>2025년</w:t>
            </w:r>
          </w:p>
        </w:tc>
        <w:tc>
          <w:tcPr>
            <w:tcW w:type="dxa" w:w="3969"/>
            <w:vAlign w:val="center"/>
            <w:tcMar>
              <w:top w:w="65" w:type="dxa"/>
              <w:left w:w="65" w:type="dxa"/>
              <w:bottom w:w="65" w:type="dxa"/>
              <w:right w:w="65" w:type="dxa"/>
            </w:tcMar>
          </w:tcPr>
          <w:p>
            <w:pPr>
              <w:pStyle w:val="TableText"/>
              <w:keepNext w:val="0"/>
              <w:widowControl/>
              <w:jc w:val="left"/>
            </w:pPr>
            <w:r>
              <w:rPr>
                <w:b w:val="0"/>
                <w:sz w:val="18"/>
              </w:rPr>
              <w:t>Simulator 산출; 실제 실행성과 아님</w:t>
            </w:r>
          </w:p>
        </w:tc>
      </w:tr>
    </w:tbl>
    <w:p>
      <w:pPr>
        <w:pStyle w:val="SourceNote"/>
        <w:widowControl/>
      </w:pPr>
      <w:r>
        <w:t>자료: 개발 단계 분석기록의 자료 구축 기록, V4.3 RL 설정 및 최종 575개 기업 매핑. 과거 전체 전이 수를 최종 actor 학습 N으로 자동 대체하지 않았다.</w:t>
      </w:r>
    </w:p>
    <w:p>
      <w:pPr>
        <w:widowControl/>
      </w:pPr>
      <w:r>
        <w:t>상장폐지 기업을 기초패널에 포함한 것은 존속기업만 남기는 생존편향을 줄이기 위한 조치이다. 다만 외부등급이 존재하고 최종 평가에 필요한 재무상태를 구성할 수 있는 기업으로 범위가 좁아지므로, 575개 기업이 전체 한국기업의 무작위 표본은 아니다. 비상장기업, 외부등급이 없는 기업 및 다른 시점으로 결과를 확대할 때에는 표본 선택의 차이를 별도로 고려해야 한다.</w:t>
      </w:r>
    </w:p>
    <w:p>
      <w:bookmarkStart w:id="43" w:name="head_39"/>
      <w:pPr>
        <w:pStyle w:val="3"/>
        <w:widowControl/>
      </w:pPr>
      <w:r>
        <w:t>3.1.2 기업 식별과 산업정보</w:t>
      </w:r>
      <w:bookmarkEnd w:id="43"/>
    </w:p>
    <w:p>
      <w:pPr>
        <w:widowControl/>
      </w:pPr>
      <w:r>
        <w:t>기업 식별은 최종 575개 기업 universe를 기준으로 유지하였다. OpenDART 법인 고유번호는 정확한 종목코드를 사용하여 대응시켰고, 최종 바인딩에는 575개 기업 모두의 업종코드가 존재한다. 분석에서는 기업키와 평가행의 대응을 고정하고, 이름이 비슷하다는 이유로 임의의 법인에 연결하지 않는다.</w:t>
      </w:r>
    </w:p>
    <w:p>
      <w:pPr>
        <w:widowControl/>
      </w:pPr>
      <w:r>
        <w:t>산업정보는 2026년 9월 12일에 조회한 company-profile의 induty_code이다. 응답에 사업연도를 지정하는 항목이 없으므로 이 값을 ‘2024년 당시의 업종’이라고 부르지 않는다. 정확한 의미는 ‘2024년 평가기업 집합에 대해 조회시점에 수집한 업종코드’이다. LLM에 제시된 문자열도 업종에 관한 상세한 연구보고서가 아니라 ‘OpenDART 업종코드: &lt;코드&gt;’이다. 따라서 정보조건의 효과는 이 표현방식과 시점에 한정된다.</w:t>
      </w:r>
    </w:p>
    <w:p>
      <w:pPr>
        <w:widowControl/>
      </w:pPr>
      <w:r>
        <w:t>조회 결과는 원 응답과 수집시각, 매핑 방식 및 해시를 함께 보존한다. 한 번 수집한 자료를 캐시에서 재사용하는 것은 요청비용과 일일 호출한도를 줄이는 운영 방식이며, 캐시가 역사적 시점의 진실성을 보장하는 것은 아니다. 기업명 공개 조건에서는 모델의 사전학습 지식이 개입할 수 있으나, 최종 clean run에는 별도의 기업명 인식·수치회상 프로브를 포함하지 않았다.</w:t>
      </w:r>
    </w:p>
    <w:p>
      <w:bookmarkStart w:id="44" w:name="head_40"/>
      <w:pPr>
        <w:pStyle w:val="2"/>
        <w:widowControl/>
      </w:pPr>
      <w:r>
        <w:t>3.2 관리행동, 표준후보와 정규화 행동예산</w:t>
      </w:r>
      <w:bookmarkEnd w:id="44"/>
    </w:p>
    <w:p>
      <w:bookmarkStart w:id="45" w:name="head_41"/>
      <w:pPr>
        <w:pStyle w:val="3"/>
        <w:widowControl/>
      </w:pPr>
      <w:r>
        <w:t>3.2.1 여덟 개 관리행동의 의미</w:t>
      </w:r>
      <w:bookmarkEnd w:id="45"/>
    </w:p>
    <w:p>
      <w:pPr>
        <w:widowControl/>
      </w:pPr>
      <w:r>
        <w:t>V4.3 자유작성은 여덟 개 관리행동을 연속값으로 표현한다. 단순히 구형 벡터에서 두 열을 삭제한 것이 아니라, 설비투자와 부채 조정의 의미를 다시 정의한 것이다. 특히 성장성 CAPEX 축소는 기존 유형자산의 매각이 아니며, 부채축소와 차환은 서로 다른 행동이다. 매출성장률은 자유롭게 늘릴 수 있는 권고 차원에서 제외하고 외생적 사업계획과 구분한다.</w:t>
      </w:r>
    </w:p>
    <w:p>
      <w:pPr>
        <w:widowControl/>
      </w:pPr>
      <w:r>
        <w:t>부채축소(DL)는 기초 이자부부채의 일정 비율을 상환하려는 제안이다. 이자부부채에는 단기차입금, 유동성 장기부채, 비유동 장기차입금 및 사채가 포함되며, 매입채무를 포함한 총부채와 동일하지 않다. 실제 상환은 현금과 필요한 유동성 조건에 의해 제한될 수 있다. 이자절감은 실제로 상환된 금액과 연간 금리 기준으로 계산해야 하므로, 제안 상환율만으로 모든 기업에 같은 현금효과를 부여하지 않는다.</w:t>
      </w:r>
    </w:p>
    <w:p>
      <w:pPr>
        <w:widowControl/>
      </w:pPr>
      <w:r>
        <w:t>차환(RF)은 기초 단기차입의 일부를 장기로 옮기는 원금중립 행동이다. 차환 그 자체로 이자부부채 원금이 사라지지 않는다. 총부채 상환과 만기구조 변경을 하나의 행동처럼 섞으면 상환능력과 유동성 효과를 중복 계산할 수 있으므로, 양의 DL과 양의 RF의 동시 제안은 허용하지 않는다. CAPEX 축소는 유지·보수성 지출이 아니라 재량적·성장성 지출을 줄이는 방향으로 정의한다.</w:t>
      </w:r>
    </w:p>
    <w:p>
      <w:pPr>
        <w:widowControl/>
      </w:pPr>
      <w:r>
        <w:t>운전자본은 재고, 매출채권 및 매입채무 회전율의 변화로 표현한다. 비용은 매출원가율과 판매관리비율의 가산적 변화이다. 예를 들어 원가율 −0.01은 원가율의 1% 상대 감소가 아니라 1%포인트 하락을 뜻한다. 허용된 수치가 현실적으로 실행 가능하다는 보장은 없지만, 수치의 단위와 전파방식은 모든 정책에서 같아야 한다.</w:t>
      </w:r>
    </w:p>
    <w:p>
      <w:bookmarkStart w:id="46" w:name="cap_5"/>
      <w:pPr>
        <w:pStyle w:val="af"/>
        <w:widowControl/>
      </w:pPr>
      <w:r>
        <w:t>표 3-2. 자유작성 행동의 허용범위와 정규화 기준</w:t>
      </w:r>
      <w:bookmarkEnd w:id="46"/>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454"/>
        <w:gridCol w:w="3402"/>
        <w:gridCol w:w="1814"/>
        <w:gridCol w:w="2268"/>
      </w:tblGrid>
      <w:tr>
        <w:trPr>
          <w:cantSplit/>
          <w:tblHeader/>
        </w:trPr>
        <w:tc>
          <w:tcPr>
            <w:tcW w:type="dxa" w:w="454"/>
            <w:vAlign w:val="center"/>
            <w:shd w:fill="F1F1F1"/>
            <w:tcMar>
              <w:top w:w="65" w:type="dxa"/>
              <w:left w:w="65" w:type="dxa"/>
              <w:bottom w:w="65" w:type="dxa"/>
              <w:right w:w="65" w:type="dxa"/>
            </w:tcMar>
          </w:tcPr>
          <w:p>
            <w:pPr>
              <w:pStyle w:val="TableText"/>
              <w:keepNext/>
              <w:widowControl/>
              <w:jc w:val="center"/>
            </w:pPr>
            <w:r>
              <w:rPr>
                <w:b/>
                <w:sz w:val="18"/>
              </w:rPr>
              <w:t>축</w:t>
            </w:r>
          </w:p>
        </w:tc>
        <w:tc>
          <w:tcPr>
            <w:tcW w:type="dxa" w:w="3402"/>
            <w:vAlign w:val="center"/>
            <w:shd w:fill="F1F1F1"/>
            <w:tcMar>
              <w:top w:w="65" w:type="dxa"/>
              <w:left w:w="65" w:type="dxa"/>
              <w:bottom w:w="65" w:type="dxa"/>
              <w:right w:w="65" w:type="dxa"/>
            </w:tcMar>
          </w:tcPr>
          <w:p>
            <w:pPr>
              <w:pStyle w:val="TableText"/>
              <w:keepNext/>
              <w:widowControl/>
              <w:jc w:val="center"/>
            </w:pPr>
            <w:r>
              <w:rPr>
                <w:b/>
                <w:sz w:val="18"/>
              </w:rPr>
              <w:t>관리행동</w:t>
            </w:r>
          </w:p>
        </w:tc>
        <w:tc>
          <w:tcPr>
            <w:tcW w:type="dxa" w:w="1814"/>
            <w:vAlign w:val="center"/>
            <w:shd w:fill="F1F1F1"/>
            <w:tcMar>
              <w:top w:w="65" w:type="dxa"/>
              <w:left w:w="65" w:type="dxa"/>
              <w:bottom w:w="65" w:type="dxa"/>
              <w:right w:w="65" w:type="dxa"/>
            </w:tcMar>
          </w:tcPr>
          <w:p>
            <w:pPr>
              <w:pStyle w:val="TableText"/>
              <w:keepNext/>
              <w:widowControl/>
              <w:jc w:val="center"/>
            </w:pPr>
            <w:r>
              <w:rPr>
                <w:b/>
                <w:sz w:val="18"/>
              </w:rPr>
              <w:t>허용범위</w:t>
            </w:r>
          </w:p>
        </w:tc>
        <w:tc>
          <w:tcPr>
            <w:tcW w:type="dxa" w:w="2268"/>
            <w:vAlign w:val="center"/>
            <w:shd w:fill="F1F1F1"/>
            <w:tcMar>
              <w:top w:w="65" w:type="dxa"/>
              <w:left w:w="65" w:type="dxa"/>
              <w:bottom w:w="65" w:type="dxa"/>
              <w:right w:w="65" w:type="dxa"/>
            </w:tcMar>
          </w:tcPr>
          <w:p>
            <w:pPr>
              <w:pStyle w:val="TableText"/>
              <w:keepNext/>
              <w:widowControl/>
              <w:jc w:val="center"/>
            </w:pPr>
            <w:r>
              <w:rPr>
                <w:b/>
                <w:sz w:val="18"/>
              </w:rPr>
              <w:t>기준 sⱼ</w:t>
            </w:r>
          </w:p>
        </w:tc>
      </w:tr>
      <w:tr>
        <w:trPr>
          <w:cantSplit/>
        </w:trPr>
        <w:tc>
          <w:tcPr>
            <w:tcW w:type="dxa" w:w="454"/>
            <w:vAlign w:val="center"/>
            <w:tcMar>
              <w:top w:w="65" w:type="dxa"/>
              <w:left w:w="65" w:type="dxa"/>
              <w:bottom w:w="65" w:type="dxa"/>
              <w:right w:w="65" w:type="dxa"/>
            </w:tcMar>
          </w:tcPr>
          <w:p>
            <w:pPr>
              <w:pStyle w:val="TableText"/>
              <w:keepNext/>
              <w:widowControl/>
              <w:jc w:val="left"/>
            </w:pPr>
            <w:r>
              <w:rPr>
                <w:b w:val="0"/>
                <w:sz w:val="18"/>
              </w:rPr>
              <w:t>1</w:t>
            </w:r>
          </w:p>
        </w:tc>
        <w:tc>
          <w:tcPr>
            <w:tcW w:type="dxa" w:w="3402"/>
            <w:vAlign w:val="center"/>
            <w:tcMar>
              <w:top w:w="65" w:type="dxa"/>
              <w:left w:w="65" w:type="dxa"/>
              <w:bottom w:w="65" w:type="dxa"/>
              <w:right w:w="65" w:type="dxa"/>
            </w:tcMar>
          </w:tcPr>
          <w:p>
            <w:pPr>
              <w:pStyle w:val="TableText"/>
              <w:keepNext/>
              <w:widowControl/>
              <w:jc w:val="left"/>
            </w:pPr>
            <w:r>
              <w:rPr>
                <w:b w:val="0"/>
                <w:sz w:val="18"/>
              </w:rPr>
              <w:t>성장성 CAPEX 축소율</w:t>
            </w:r>
          </w:p>
        </w:tc>
        <w:tc>
          <w:tcPr>
            <w:tcW w:type="dxa" w:w="1814"/>
            <w:vAlign w:val="center"/>
            <w:tcMar>
              <w:top w:w="65" w:type="dxa"/>
              <w:left w:w="65" w:type="dxa"/>
              <w:bottom w:w="65" w:type="dxa"/>
              <w:right w:w="65" w:type="dxa"/>
            </w:tcMar>
          </w:tcPr>
          <w:p>
            <w:pPr>
              <w:pStyle w:val="TableText"/>
              <w:keepNext/>
              <w:widowControl/>
              <w:jc w:val="left"/>
            </w:pPr>
            <w:r>
              <w:rPr>
                <w:b w:val="0"/>
                <w:sz w:val="18"/>
              </w:rPr>
              <w:t>[0, 1]</w:t>
            </w:r>
          </w:p>
        </w:tc>
        <w:tc>
          <w:tcPr>
            <w:tcW w:type="dxa" w:w="2268"/>
            <w:vAlign w:val="center"/>
            <w:tcMar>
              <w:top w:w="65" w:type="dxa"/>
              <w:left w:w="65" w:type="dxa"/>
              <w:bottom w:w="65" w:type="dxa"/>
              <w:right w:w="65" w:type="dxa"/>
            </w:tcMar>
          </w:tcPr>
          <w:p>
            <w:pPr>
              <w:pStyle w:val="TableText"/>
              <w:keepNext/>
              <w:widowControl/>
              <w:jc w:val="left"/>
            </w:pPr>
            <w:r>
              <w:rPr>
                <w:b w:val="0"/>
                <w:sz w:val="18"/>
              </w:rPr>
              <w:t>0.631018</w:t>
            </w:r>
          </w:p>
        </w:tc>
      </w:tr>
      <w:tr>
        <w:trPr>
          <w:cantSplit/>
        </w:trPr>
        <w:tc>
          <w:tcPr>
            <w:tcW w:type="dxa" w:w="454"/>
            <w:vAlign w:val="center"/>
            <w:tcMar>
              <w:top w:w="65" w:type="dxa"/>
              <w:left w:w="65" w:type="dxa"/>
              <w:bottom w:w="65" w:type="dxa"/>
              <w:right w:w="65" w:type="dxa"/>
            </w:tcMar>
          </w:tcPr>
          <w:p>
            <w:pPr>
              <w:pStyle w:val="TableText"/>
              <w:keepNext w:val="0"/>
              <w:widowControl/>
              <w:jc w:val="left"/>
            </w:pPr>
            <w:r>
              <w:rPr>
                <w:b w:val="0"/>
                <w:sz w:val="18"/>
              </w:rPr>
              <w:t>2</w:t>
            </w:r>
          </w:p>
        </w:tc>
        <w:tc>
          <w:tcPr>
            <w:tcW w:type="dxa" w:w="3402"/>
            <w:vAlign w:val="center"/>
            <w:tcMar>
              <w:top w:w="65" w:type="dxa"/>
              <w:left w:w="65" w:type="dxa"/>
              <w:bottom w:w="65" w:type="dxa"/>
              <w:right w:w="65" w:type="dxa"/>
            </w:tcMar>
          </w:tcPr>
          <w:p>
            <w:pPr>
              <w:pStyle w:val="TableText"/>
              <w:keepNext w:val="0"/>
              <w:widowControl/>
              <w:jc w:val="left"/>
            </w:pPr>
            <w:r>
              <w:rPr>
                <w:b w:val="0"/>
                <w:sz w:val="18"/>
              </w:rPr>
              <w:t>이자부부채 상환율</w:t>
            </w:r>
          </w:p>
        </w:tc>
        <w:tc>
          <w:tcPr>
            <w:tcW w:type="dxa" w:w="1814"/>
            <w:vAlign w:val="center"/>
            <w:tcMar>
              <w:top w:w="65" w:type="dxa"/>
              <w:left w:w="65" w:type="dxa"/>
              <w:bottom w:w="65" w:type="dxa"/>
              <w:right w:w="65" w:type="dxa"/>
            </w:tcMar>
          </w:tcPr>
          <w:p>
            <w:pPr>
              <w:pStyle w:val="TableText"/>
              <w:keepNext w:val="0"/>
              <w:widowControl/>
              <w:jc w:val="left"/>
            </w:pPr>
            <w:r>
              <w:rPr>
                <w:b w:val="0"/>
                <w:sz w:val="18"/>
              </w:rPr>
              <w:t>[0, 1]</w:t>
            </w:r>
          </w:p>
        </w:tc>
        <w:tc>
          <w:tcPr>
            <w:tcW w:type="dxa" w:w="2268"/>
            <w:vAlign w:val="center"/>
            <w:tcMar>
              <w:top w:w="65" w:type="dxa"/>
              <w:left w:w="65" w:type="dxa"/>
              <w:bottom w:w="65" w:type="dxa"/>
              <w:right w:w="65" w:type="dxa"/>
            </w:tcMar>
          </w:tcPr>
          <w:p>
            <w:pPr>
              <w:pStyle w:val="TableText"/>
              <w:keepNext w:val="0"/>
              <w:widowControl/>
              <w:jc w:val="left"/>
            </w:pPr>
            <w:r>
              <w:rPr>
                <w:b w:val="0"/>
                <w:sz w:val="18"/>
              </w:rPr>
              <w:t>0.346955</w:t>
            </w:r>
          </w:p>
        </w:tc>
      </w:tr>
      <w:tr>
        <w:trPr>
          <w:cantSplit/>
        </w:trPr>
        <w:tc>
          <w:tcPr>
            <w:tcW w:type="dxa" w:w="454"/>
            <w:vAlign w:val="center"/>
            <w:tcMar>
              <w:top w:w="65" w:type="dxa"/>
              <w:left w:w="65" w:type="dxa"/>
              <w:bottom w:w="65" w:type="dxa"/>
              <w:right w:w="65" w:type="dxa"/>
            </w:tcMar>
          </w:tcPr>
          <w:p>
            <w:pPr>
              <w:pStyle w:val="TableText"/>
              <w:keepNext w:val="0"/>
              <w:widowControl/>
              <w:jc w:val="left"/>
            </w:pPr>
            <w:r>
              <w:rPr>
                <w:b w:val="0"/>
                <w:sz w:val="18"/>
              </w:rPr>
              <w:t>3</w:t>
            </w:r>
          </w:p>
        </w:tc>
        <w:tc>
          <w:tcPr>
            <w:tcW w:type="dxa" w:w="3402"/>
            <w:vAlign w:val="center"/>
            <w:tcMar>
              <w:top w:w="65" w:type="dxa"/>
              <w:left w:w="65" w:type="dxa"/>
              <w:bottom w:w="65" w:type="dxa"/>
              <w:right w:w="65" w:type="dxa"/>
            </w:tcMar>
          </w:tcPr>
          <w:p>
            <w:pPr>
              <w:pStyle w:val="TableText"/>
              <w:keepNext w:val="0"/>
              <w:widowControl/>
              <w:jc w:val="left"/>
            </w:pPr>
            <w:r>
              <w:rPr>
                <w:b w:val="0"/>
                <w:sz w:val="18"/>
              </w:rPr>
              <w:t>단기차입 차환율</w:t>
            </w:r>
          </w:p>
        </w:tc>
        <w:tc>
          <w:tcPr>
            <w:tcW w:type="dxa" w:w="1814"/>
            <w:vAlign w:val="center"/>
            <w:tcMar>
              <w:top w:w="65" w:type="dxa"/>
              <w:left w:w="65" w:type="dxa"/>
              <w:bottom w:w="65" w:type="dxa"/>
              <w:right w:w="65" w:type="dxa"/>
            </w:tcMar>
          </w:tcPr>
          <w:p>
            <w:pPr>
              <w:pStyle w:val="TableText"/>
              <w:keepNext w:val="0"/>
              <w:widowControl/>
              <w:jc w:val="left"/>
            </w:pPr>
            <w:r>
              <w:rPr>
                <w:b w:val="0"/>
                <w:sz w:val="18"/>
              </w:rPr>
              <w:t>[0, 1]</w:t>
            </w:r>
          </w:p>
        </w:tc>
        <w:tc>
          <w:tcPr>
            <w:tcW w:type="dxa" w:w="2268"/>
            <w:vAlign w:val="center"/>
            <w:tcMar>
              <w:top w:w="65" w:type="dxa"/>
              <w:left w:w="65" w:type="dxa"/>
              <w:bottom w:w="65" w:type="dxa"/>
              <w:right w:w="65" w:type="dxa"/>
            </w:tcMar>
          </w:tcPr>
          <w:p>
            <w:pPr>
              <w:pStyle w:val="TableText"/>
              <w:keepNext w:val="0"/>
              <w:widowControl/>
              <w:jc w:val="left"/>
            </w:pPr>
            <w:r>
              <w:rPr>
                <w:b w:val="0"/>
                <w:sz w:val="18"/>
              </w:rPr>
              <w:t>0.474106</w:t>
            </w:r>
          </w:p>
        </w:tc>
      </w:tr>
      <w:tr>
        <w:trPr>
          <w:cantSplit/>
        </w:trPr>
        <w:tc>
          <w:tcPr>
            <w:tcW w:type="dxa" w:w="454"/>
            <w:vAlign w:val="center"/>
            <w:tcMar>
              <w:top w:w="65" w:type="dxa"/>
              <w:left w:w="65" w:type="dxa"/>
              <w:bottom w:w="65" w:type="dxa"/>
              <w:right w:w="65" w:type="dxa"/>
            </w:tcMar>
          </w:tcPr>
          <w:p>
            <w:pPr>
              <w:pStyle w:val="TableText"/>
              <w:keepNext w:val="0"/>
              <w:widowControl/>
              <w:jc w:val="left"/>
            </w:pPr>
            <w:r>
              <w:rPr>
                <w:b w:val="0"/>
                <w:sz w:val="18"/>
              </w:rPr>
              <w:t>4</w:t>
            </w:r>
          </w:p>
        </w:tc>
        <w:tc>
          <w:tcPr>
            <w:tcW w:type="dxa" w:w="3402"/>
            <w:vAlign w:val="center"/>
            <w:tcMar>
              <w:top w:w="65" w:type="dxa"/>
              <w:left w:w="65" w:type="dxa"/>
              <w:bottom w:w="65" w:type="dxa"/>
              <w:right w:w="65" w:type="dxa"/>
            </w:tcMar>
          </w:tcPr>
          <w:p>
            <w:pPr>
              <w:pStyle w:val="TableText"/>
              <w:keepNext w:val="0"/>
              <w:widowControl/>
              <w:jc w:val="left"/>
            </w:pPr>
            <w:r>
              <w:rPr>
                <w:b w:val="0"/>
                <w:sz w:val="18"/>
              </w:rPr>
              <w:t>재고 회전율 변화</w:t>
            </w:r>
          </w:p>
        </w:tc>
        <w:tc>
          <w:tcPr>
            <w:tcW w:type="dxa" w:w="1814"/>
            <w:vAlign w:val="center"/>
            <w:tcMar>
              <w:top w:w="65" w:type="dxa"/>
              <w:left w:w="65" w:type="dxa"/>
              <w:bottom w:w="65" w:type="dxa"/>
              <w:right w:w="65" w:type="dxa"/>
            </w:tcMar>
          </w:tcPr>
          <w:p>
            <w:pPr>
              <w:pStyle w:val="TableText"/>
              <w:keepNext w:val="0"/>
              <w:widowControl/>
              <w:jc w:val="left"/>
            </w:pPr>
            <w:r>
              <w:rPr>
                <w:b w:val="0"/>
                <w:sz w:val="18"/>
              </w:rPr>
              <w:t>[-3, 3]</w:t>
            </w:r>
          </w:p>
        </w:tc>
        <w:tc>
          <w:tcPr>
            <w:tcW w:type="dxa" w:w="2268"/>
            <w:vAlign w:val="center"/>
            <w:tcMar>
              <w:top w:w="65" w:type="dxa"/>
              <w:left w:w="65" w:type="dxa"/>
              <w:bottom w:w="65" w:type="dxa"/>
              <w:right w:w="65" w:type="dxa"/>
            </w:tcMar>
          </w:tcPr>
          <w:p>
            <w:pPr>
              <w:pStyle w:val="TableText"/>
              <w:keepNext w:val="0"/>
              <w:widowControl/>
              <w:jc w:val="left"/>
            </w:pPr>
            <w:r>
              <w:rPr>
                <w:b w:val="0"/>
                <w:sz w:val="18"/>
              </w:rPr>
              <w:t>1.398376</w:t>
            </w:r>
          </w:p>
        </w:tc>
      </w:tr>
      <w:tr>
        <w:trPr>
          <w:cantSplit/>
        </w:trPr>
        <w:tc>
          <w:tcPr>
            <w:tcW w:type="dxa" w:w="454"/>
            <w:vAlign w:val="center"/>
            <w:tcMar>
              <w:top w:w="65" w:type="dxa"/>
              <w:left w:w="65" w:type="dxa"/>
              <w:bottom w:w="65" w:type="dxa"/>
              <w:right w:w="65" w:type="dxa"/>
            </w:tcMar>
          </w:tcPr>
          <w:p>
            <w:pPr>
              <w:pStyle w:val="TableText"/>
              <w:keepNext w:val="0"/>
              <w:widowControl/>
              <w:jc w:val="left"/>
            </w:pPr>
            <w:r>
              <w:rPr>
                <w:b w:val="0"/>
                <w:sz w:val="18"/>
              </w:rPr>
              <w:t>5</w:t>
            </w:r>
          </w:p>
        </w:tc>
        <w:tc>
          <w:tcPr>
            <w:tcW w:type="dxa" w:w="3402"/>
            <w:vAlign w:val="center"/>
            <w:tcMar>
              <w:top w:w="65" w:type="dxa"/>
              <w:left w:w="65" w:type="dxa"/>
              <w:bottom w:w="65" w:type="dxa"/>
              <w:right w:w="65" w:type="dxa"/>
            </w:tcMar>
          </w:tcPr>
          <w:p>
            <w:pPr>
              <w:pStyle w:val="TableText"/>
              <w:keepNext w:val="0"/>
              <w:widowControl/>
              <w:jc w:val="left"/>
            </w:pPr>
            <w:r>
              <w:rPr>
                <w:b w:val="0"/>
                <w:sz w:val="18"/>
              </w:rPr>
              <w:t>매출채권 회전율 변화</w:t>
            </w:r>
          </w:p>
        </w:tc>
        <w:tc>
          <w:tcPr>
            <w:tcW w:type="dxa" w:w="1814"/>
            <w:vAlign w:val="center"/>
            <w:tcMar>
              <w:top w:w="65" w:type="dxa"/>
              <w:left w:w="65" w:type="dxa"/>
              <w:bottom w:w="65" w:type="dxa"/>
              <w:right w:w="65" w:type="dxa"/>
            </w:tcMar>
          </w:tcPr>
          <w:p>
            <w:pPr>
              <w:pStyle w:val="TableText"/>
              <w:keepNext w:val="0"/>
              <w:widowControl/>
              <w:jc w:val="left"/>
            </w:pPr>
            <w:r>
              <w:rPr>
                <w:b w:val="0"/>
                <w:sz w:val="18"/>
              </w:rPr>
              <w:t>[-3, 3]</w:t>
            </w:r>
          </w:p>
        </w:tc>
        <w:tc>
          <w:tcPr>
            <w:tcW w:type="dxa" w:w="2268"/>
            <w:vAlign w:val="center"/>
            <w:tcMar>
              <w:top w:w="65" w:type="dxa"/>
              <w:left w:w="65" w:type="dxa"/>
              <w:bottom w:w="65" w:type="dxa"/>
              <w:right w:w="65" w:type="dxa"/>
            </w:tcMar>
          </w:tcPr>
          <w:p>
            <w:pPr>
              <w:pStyle w:val="TableText"/>
              <w:keepNext w:val="0"/>
              <w:widowControl/>
              <w:jc w:val="left"/>
            </w:pPr>
            <w:r>
              <w:rPr>
                <w:b w:val="0"/>
                <w:sz w:val="18"/>
              </w:rPr>
              <w:t>0.934104</w:t>
            </w:r>
          </w:p>
        </w:tc>
      </w:tr>
      <w:tr>
        <w:trPr>
          <w:cantSplit/>
        </w:trPr>
        <w:tc>
          <w:tcPr>
            <w:tcW w:type="dxa" w:w="454"/>
            <w:vAlign w:val="center"/>
            <w:tcMar>
              <w:top w:w="65" w:type="dxa"/>
              <w:left w:w="65" w:type="dxa"/>
              <w:bottom w:w="65" w:type="dxa"/>
              <w:right w:w="65" w:type="dxa"/>
            </w:tcMar>
          </w:tcPr>
          <w:p>
            <w:pPr>
              <w:pStyle w:val="TableText"/>
              <w:keepNext w:val="0"/>
              <w:widowControl/>
              <w:jc w:val="left"/>
            </w:pPr>
            <w:r>
              <w:rPr>
                <w:b w:val="0"/>
                <w:sz w:val="18"/>
              </w:rPr>
              <w:t>6</w:t>
            </w:r>
          </w:p>
        </w:tc>
        <w:tc>
          <w:tcPr>
            <w:tcW w:type="dxa" w:w="3402"/>
            <w:vAlign w:val="center"/>
            <w:tcMar>
              <w:top w:w="65" w:type="dxa"/>
              <w:left w:w="65" w:type="dxa"/>
              <w:bottom w:w="65" w:type="dxa"/>
              <w:right w:w="65" w:type="dxa"/>
            </w:tcMar>
          </w:tcPr>
          <w:p>
            <w:pPr>
              <w:pStyle w:val="TableText"/>
              <w:keepNext w:val="0"/>
              <w:widowControl/>
              <w:jc w:val="left"/>
            </w:pPr>
            <w:r>
              <w:rPr>
                <w:b w:val="0"/>
                <w:sz w:val="18"/>
              </w:rPr>
              <w:t>매입채무 회전율 변화</w:t>
            </w:r>
          </w:p>
        </w:tc>
        <w:tc>
          <w:tcPr>
            <w:tcW w:type="dxa" w:w="1814"/>
            <w:vAlign w:val="center"/>
            <w:tcMar>
              <w:top w:w="65" w:type="dxa"/>
              <w:left w:w="65" w:type="dxa"/>
              <w:bottom w:w="65" w:type="dxa"/>
              <w:right w:w="65" w:type="dxa"/>
            </w:tcMar>
          </w:tcPr>
          <w:p>
            <w:pPr>
              <w:pStyle w:val="TableText"/>
              <w:keepNext w:val="0"/>
              <w:widowControl/>
              <w:jc w:val="left"/>
            </w:pPr>
            <w:r>
              <w:rPr>
                <w:b w:val="0"/>
                <w:sz w:val="18"/>
              </w:rPr>
              <w:t>[-3, 3]</w:t>
            </w:r>
          </w:p>
        </w:tc>
        <w:tc>
          <w:tcPr>
            <w:tcW w:type="dxa" w:w="2268"/>
            <w:vAlign w:val="center"/>
            <w:tcMar>
              <w:top w:w="65" w:type="dxa"/>
              <w:left w:w="65" w:type="dxa"/>
              <w:bottom w:w="65" w:type="dxa"/>
              <w:right w:w="65" w:type="dxa"/>
            </w:tcMar>
          </w:tcPr>
          <w:p>
            <w:pPr>
              <w:pStyle w:val="TableText"/>
              <w:keepNext w:val="0"/>
              <w:widowControl/>
              <w:jc w:val="left"/>
            </w:pPr>
            <w:r>
              <w:rPr>
                <w:b w:val="0"/>
                <w:sz w:val="18"/>
              </w:rPr>
              <w:t>2.453574</w:t>
            </w:r>
          </w:p>
        </w:tc>
      </w:tr>
      <w:tr>
        <w:trPr>
          <w:cantSplit/>
        </w:trPr>
        <w:tc>
          <w:tcPr>
            <w:tcW w:type="dxa" w:w="454"/>
            <w:vAlign w:val="center"/>
            <w:tcMar>
              <w:top w:w="65" w:type="dxa"/>
              <w:left w:w="65" w:type="dxa"/>
              <w:bottom w:w="65" w:type="dxa"/>
              <w:right w:w="65" w:type="dxa"/>
            </w:tcMar>
          </w:tcPr>
          <w:p>
            <w:pPr>
              <w:pStyle w:val="TableText"/>
              <w:keepNext w:val="0"/>
              <w:widowControl/>
              <w:jc w:val="left"/>
            </w:pPr>
            <w:r>
              <w:rPr>
                <w:b w:val="0"/>
                <w:sz w:val="18"/>
              </w:rPr>
              <w:t>7</w:t>
            </w:r>
          </w:p>
        </w:tc>
        <w:tc>
          <w:tcPr>
            <w:tcW w:type="dxa" w:w="3402"/>
            <w:vAlign w:val="center"/>
            <w:tcMar>
              <w:top w:w="65" w:type="dxa"/>
              <w:left w:w="65" w:type="dxa"/>
              <w:bottom w:w="65" w:type="dxa"/>
              <w:right w:w="65" w:type="dxa"/>
            </w:tcMar>
          </w:tcPr>
          <w:p>
            <w:pPr>
              <w:pStyle w:val="TableText"/>
              <w:keepNext w:val="0"/>
              <w:widowControl/>
              <w:jc w:val="left"/>
            </w:pPr>
            <w:r>
              <w:rPr>
                <w:b w:val="0"/>
                <w:sz w:val="18"/>
              </w:rPr>
              <w:t>매출원가율 변화</w:t>
            </w:r>
          </w:p>
        </w:tc>
        <w:tc>
          <w:tcPr>
            <w:tcW w:type="dxa" w:w="1814"/>
            <w:vAlign w:val="center"/>
            <w:tcMar>
              <w:top w:w="65" w:type="dxa"/>
              <w:left w:w="65" w:type="dxa"/>
              <w:bottom w:w="65" w:type="dxa"/>
              <w:right w:w="65" w:type="dxa"/>
            </w:tcMar>
          </w:tcPr>
          <w:p>
            <w:pPr>
              <w:pStyle w:val="TableText"/>
              <w:keepNext w:val="0"/>
              <w:widowControl/>
              <w:jc w:val="left"/>
            </w:pPr>
            <w:r>
              <w:rPr>
                <w:b w:val="0"/>
                <w:sz w:val="18"/>
              </w:rPr>
              <w:t>[-0.03, 0.03]</w:t>
            </w:r>
          </w:p>
        </w:tc>
        <w:tc>
          <w:tcPr>
            <w:tcW w:type="dxa" w:w="2268"/>
            <w:vAlign w:val="center"/>
            <w:tcMar>
              <w:top w:w="65" w:type="dxa"/>
              <w:left w:w="65" w:type="dxa"/>
              <w:bottom w:w="65" w:type="dxa"/>
              <w:right w:w="65" w:type="dxa"/>
            </w:tcMar>
          </w:tcPr>
          <w:p>
            <w:pPr>
              <w:pStyle w:val="TableText"/>
              <w:keepNext w:val="0"/>
              <w:widowControl/>
              <w:jc w:val="left"/>
            </w:pPr>
            <w:r>
              <w:rPr>
                <w:b w:val="0"/>
                <w:sz w:val="18"/>
              </w:rPr>
              <w:t>0.026883</w:t>
            </w:r>
          </w:p>
        </w:tc>
      </w:tr>
      <w:tr>
        <w:trPr>
          <w:cantSplit/>
        </w:trPr>
        <w:tc>
          <w:tcPr>
            <w:tcW w:type="dxa" w:w="454"/>
            <w:vAlign w:val="center"/>
            <w:tcMar>
              <w:top w:w="65" w:type="dxa"/>
              <w:left w:w="65" w:type="dxa"/>
              <w:bottom w:w="65" w:type="dxa"/>
              <w:right w:w="65" w:type="dxa"/>
            </w:tcMar>
          </w:tcPr>
          <w:p>
            <w:pPr>
              <w:pStyle w:val="TableText"/>
              <w:keepNext w:val="0"/>
              <w:widowControl/>
              <w:jc w:val="left"/>
            </w:pPr>
            <w:r>
              <w:rPr>
                <w:b w:val="0"/>
                <w:sz w:val="18"/>
              </w:rPr>
              <w:t>8</w:t>
            </w:r>
          </w:p>
        </w:tc>
        <w:tc>
          <w:tcPr>
            <w:tcW w:type="dxa" w:w="3402"/>
            <w:vAlign w:val="center"/>
            <w:tcMar>
              <w:top w:w="65" w:type="dxa"/>
              <w:left w:w="65" w:type="dxa"/>
              <w:bottom w:w="65" w:type="dxa"/>
              <w:right w:w="65" w:type="dxa"/>
            </w:tcMar>
          </w:tcPr>
          <w:p>
            <w:pPr>
              <w:pStyle w:val="TableText"/>
              <w:keepNext w:val="0"/>
              <w:widowControl/>
              <w:jc w:val="left"/>
            </w:pPr>
            <w:r>
              <w:rPr>
                <w:b w:val="0"/>
                <w:sz w:val="18"/>
              </w:rPr>
              <w:t>판매관리비율 변화</w:t>
            </w:r>
          </w:p>
        </w:tc>
        <w:tc>
          <w:tcPr>
            <w:tcW w:type="dxa" w:w="1814"/>
            <w:vAlign w:val="center"/>
            <w:tcMar>
              <w:top w:w="65" w:type="dxa"/>
              <w:left w:w="65" w:type="dxa"/>
              <w:bottom w:w="65" w:type="dxa"/>
              <w:right w:w="65" w:type="dxa"/>
            </w:tcMar>
          </w:tcPr>
          <w:p>
            <w:pPr>
              <w:pStyle w:val="TableText"/>
              <w:keepNext w:val="0"/>
              <w:widowControl/>
              <w:jc w:val="left"/>
            </w:pPr>
            <w:r>
              <w:rPr>
                <w:b w:val="0"/>
                <w:sz w:val="18"/>
              </w:rPr>
              <w:t>[-0.02, 0.02]</w:t>
            </w:r>
          </w:p>
        </w:tc>
        <w:tc>
          <w:tcPr>
            <w:tcW w:type="dxa" w:w="2268"/>
            <w:vAlign w:val="center"/>
            <w:tcMar>
              <w:top w:w="65" w:type="dxa"/>
              <w:left w:w="65" w:type="dxa"/>
              <w:bottom w:w="65" w:type="dxa"/>
              <w:right w:w="65" w:type="dxa"/>
            </w:tcMar>
          </w:tcPr>
          <w:p>
            <w:pPr>
              <w:pStyle w:val="TableText"/>
              <w:keepNext w:val="0"/>
              <w:widowControl/>
              <w:jc w:val="left"/>
            </w:pPr>
            <w:r>
              <w:rPr>
                <w:b w:val="0"/>
                <w:sz w:val="18"/>
              </w:rPr>
              <w:t>0.017169</w:t>
            </w:r>
          </w:p>
        </w:tc>
      </w:tr>
    </w:tbl>
    <w:p>
      <w:pPr>
        <w:pStyle w:val="SourceNote"/>
        <w:widowControl/>
      </w:pPr>
      <w:r>
        <w:t>자료: 동결 action_contract. 본 표의 기준값은 표시를 위해 소수 여섯 자리로 반올림했으며 실제 계산은 동결된 float64 값을 사용한다. 원 필드명과 후보 벡터는 부록 A에 제시한다.</w:t>
      </w:r>
    </w:p>
    <w:p>
      <w:bookmarkStart w:id="47" w:name="head_42"/>
      <w:pPr>
        <w:pStyle w:val="3"/>
        <w:widowControl/>
      </w:pPr>
      <w:r>
        <w:t>3.2.2 B1과 BINF</w:t>
      </w:r>
      <w:bookmarkEnd w:id="47"/>
    </w:p>
    <w:p>
      <w:pPr>
        <w:widowControl/>
      </w:pPr>
      <w:r>
        <w:t>행동크기는 각 차원의 절댓값을 동결된 P50 기준으로 나눈 뒤 합산한다. 서로 다른 단위의 원자료를 그대로 더한 구형 raw L1과 이 값은 동일하지 않다. 본 연구의 총 강도는 행동의 상대적 크기를 맞추기 위한 지표이지, 기업이 부담하는 원화 비용이나 자금조달 한도를 추정한 값은 아니다.</w:t>
      </w:r>
    </w:p>
    <w:p>
      <w:pPr>
        <w:pStyle w:val="Equation"/>
        <w:keepNext/>
        <w:widowControl/>
      </w:pPr>
      <w:r>
        <w:t>I(a) = Σⱼ₌₁⁸ |aⱼ| / sⱼ</w:t>
      </w:r>
    </w:p>
    <w:p>
      <w:pPr>
        <w:widowControl/>
      </w:pPr>
      <w:r>
        <w:t>B1은 I(a)≤1을 요구한다. 유한한 수치인지, 축별 허용범위를 만족하는지, DL–RF 상호배타 조건을 지키는지를 함께 검사하며, 총 강도 비교에는 10⁻⁹의 수치 허용오차를 적용한다. BINF는 총 강도의 상한만 제거한다. BINF에서도 축별 bounds, 차원 수, 유한값 및 상호배타 조건은 유지된다. 따라서 BINF를 무제한의 임의 재무행동으로 해석해서는 안 된다.</w:t>
      </w:r>
    </w:p>
    <w:p>
      <w:pPr>
        <w:widowControl/>
      </w:pPr>
      <w:r>
        <w:t>B1과 BINF는 생성 전에 프롬프트로 제시되는 조건이다. 이미 생성한 BINF 행동을 사후에 B1으로 줄인 결과와, 처음부터 B1을 전달받고 생성한 결과는 서로 다른 비교이다. 또한 두 정책에 같은 B1 상한을 부여하더라도 실제로 사용한 강도가 같지는 않다. 자유작성은 I(a)&lt;1 또는 A0를 선택할 수 있으므로, 공통 상한과 실제 강도 분포를 따로 보고한다.</w:t>
      </w:r>
    </w:p>
    <w:p>
      <w:bookmarkStart w:id="48" w:name="head_43"/>
      <w:pPr>
        <w:pStyle w:val="3"/>
        <w:widowControl/>
      </w:pPr>
      <w:r>
        <w:t>3.2.3 아홉 개 표준 후보행동</w:t>
      </w:r>
      <w:bookmarkEnd w:id="48"/>
    </w:p>
    <w:p>
      <w:pPr>
        <w:widowControl/>
      </w:pPr>
      <w:r>
        <w:t>표준 후보는 A0, DL, RF, CX, WC1, WC2, OE, MX1, MX2의 순서로 고정하였다. A0 이외의 모든 후보는 정규화 강도 1이며, 후보선택형 LLM과 Candidate-IQL은 이 집합에서 하나를 선택한다. 후보의 강도가 1이라는 것은 실제 현금효과가 같다는 뜻이 아니다. 동일한 비율과 회전율 변화도 기업의 기초 부채, 매출 및 재고 규모에 따라 서로 다른 재무상태를 만든다.</w:t>
      </w:r>
    </w:p>
    <w:p>
      <w:pPr>
        <w:widowControl/>
      </w:pPr>
      <w:r>
        <w:t>복합후보는 단일후보의 행동량을 모두 더해 더 큰 예산을 사용하는 방식이 아니다. 정규화 강도 1을 여러 차원에 나누어 배분한다. 예를 들어 OE는 원가율과 판관비율에 각각 강도 0.5를 배분하고, MX1은 부채축소에 0.5, 두 비용 차원에 각각 0.25를 배분한다. 이에 따라 후보 간 비교는 미리 정한 조합 안에서 이루어지며, 자유작성에서는 같은 총 강도를 다른 조합으로 배분할 수 있다.</w:t>
      </w:r>
    </w:p>
    <w:p>
      <w:bookmarkStart w:id="49" w:name="cap_6"/>
      <w:pPr>
        <w:pStyle w:val="af"/>
        <w:widowControl/>
      </w:pPr>
      <w:r>
        <w:t>표 3-3. 표준 후보의 내용과 정규화 강도 배분</w:t>
      </w:r>
      <w:bookmarkEnd w:id="49"/>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794"/>
        <w:gridCol w:w="2891"/>
        <w:gridCol w:w="4252"/>
      </w:tblGrid>
      <w:tr>
        <w:trPr>
          <w:cantSplit/>
          <w:tblHeader/>
        </w:trPr>
        <w:tc>
          <w:tcPr>
            <w:tcW w:type="dxa" w:w="794"/>
            <w:vAlign w:val="center"/>
            <w:shd w:fill="F1F1F1"/>
            <w:tcMar>
              <w:top w:w="65" w:type="dxa"/>
              <w:left w:w="65" w:type="dxa"/>
              <w:bottom w:w="65" w:type="dxa"/>
              <w:right w:w="65" w:type="dxa"/>
            </w:tcMar>
          </w:tcPr>
          <w:p>
            <w:pPr>
              <w:pStyle w:val="TableText"/>
              <w:keepNext/>
              <w:widowControl/>
              <w:jc w:val="center"/>
            </w:pPr>
            <w:r>
              <w:rPr>
                <w:b/>
                <w:sz w:val="18"/>
              </w:rPr>
              <w:t>ID</w:t>
            </w:r>
          </w:p>
        </w:tc>
        <w:tc>
          <w:tcPr>
            <w:tcW w:type="dxa" w:w="2891"/>
            <w:vAlign w:val="center"/>
            <w:shd w:fill="F1F1F1"/>
            <w:tcMar>
              <w:top w:w="65" w:type="dxa"/>
              <w:left w:w="65" w:type="dxa"/>
              <w:bottom w:w="65" w:type="dxa"/>
              <w:right w:w="65" w:type="dxa"/>
            </w:tcMar>
          </w:tcPr>
          <w:p>
            <w:pPr>
              <w:pStyle w:val="TableText"/>
              <w:keepNext/>
              <w:widowControl/>
              <w:jc w:val="center"/>
            </w:pPr>
            <w:r>
              <w:rPr>
                <w:b/>
                <w:sz w:val="18"/>
              </w:rPr>
              <w:t>행동 의미</w:t>
            </w:r>
          </w:p>
        </w:tc>
        <w:tc>
          <w:tcPr>
            <w:tcW w:type="dxa" w:w="4252"/>
            <w:vAlign w:val="center"/>
            <w:shd w:fill="F1F1F1"/>
            <w:tcMar>
              <w:top w:w="65" w:type="dxa"/>
              <w:left w:w="65" w:type="dxa"/>
              <w:bottom w:w="65" w:type="dxa"/>
              <w:right w:w="65" w:type="dxa"/>
            </w:tcMar>
          </w:tcPr>
          <w:p>
            <w:pPr>
              <w:pStyle w:val="TableText"/>
              <w:keepNext/>
              <w:widowControl/>
              <w:jc w:val="center"/>
            </w:pPr>
            <w:r>
              <w:rPr>
                <w:b/>
                <w:sz w:val="18"/>
              </w:rPr>
              <w:t>차원별 강도 배분</w:t>
            </w:r>
          </w:p>
        </w:tc>
      </w:tr>
      <w:tr>
        <w:trPr>
          <w:cantSplit/>
        </w:trPr>
        <w:tc>
          <w:tcPr>
            <w:tcW w:type="dxa" w:w="794"/>
            <w:vAlign w:val="center"/>
            <w:tcMar>
              <w:top w:w="65" w:type="dxa"/>
              <w:left w:w="65" w:type="dxa"/>
              <w:bottom w:w="65" w:type="dxa"/>
              <w:right w:w="65" w:type="dxa"/>
            </w:tcMar>
          </w:tcPr>
          <w:p>
            <w:pPr>
              <w:pStyle w:val="TableText"/>
              <w:keepNext/>
              <w:widowControl/>
              <w:jc w:val="left"/>
            </w:pPr>
            <w:r>
              <w:rPr>
                <w:b w:val="0"/>
                <w:sz w:val="18"/>
              </w:rPr>
              <w:t>A0</w:t>
            </w:r>
          </w:p>
        </w:tc>
        <w:tc>
          <w:tcPr>
            <w:tcW w:type="dxa" w:w="2891"/>
            <w:vAlign w:val="center"/>
            <w:tcMar>
              <w:top w:w="65" w:type="dxa"/>
              <w:left w:w="65" w:type="dxa"/>
              <w:bottom w:w="65" w:type="dxa"/>
              <w:right w:w="65" w:type="dxa"/>
            </w:tcMar>
          </w:tcPr>
          <w:p>
            <w:pPr>
              <w:pStyle w:val="TableText"/>
              <w:keepNext/>
              <w:widowControl/>
              <w:jc w:val="left"/>
            </w:pPr>
            <w:r>
              <w:rPr>
                <w:b w:val="0"/>
                <w:sz w:val="18"/>
              </w:rPr>
              <w:t>추가 관리행동 없음</w:t>
            </w:r>
          </w:p>
        </w:tc>
        <w:tc>
          <w:tcPr>
            <w:tcW w:type="dxa" w:w="4252"/>
            <w:vAlign w:val="center"/>
            <w:tcMar>
              <w:top w:w="65" w:type="dxa"/>
              <w:left w:w="65" w:type="dxa"/>
              <w:bottom w:w="65" w:type="dxa"/>
              <w:right w:w="65" w:type="dxa"/>
            </w:tcMar>
          </w:tcPr>
          <w:p>
            <w:pPr>
              <w:pStyle w:val="TableText"/>
              <w:keepNext/>
              <w:widowControl/>
              <w:jc w:val="left"/>
            </w:pPr>
            <w:r>
              <w:rPr>
                <w:b w:val="0"/>
                <w:sz w:val="18"/>
              </w:rPr>
              <w:t>모든 차원 0</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8"/>
              </w:rPr>
              <w:t>DL</w:t>
            </w:r>
          </w:p>
        </w:tc>
        <w:tc>
          <w:tcPr>
            <w:tcW w:type="dxa" w:w="2891"/>
            <w:vAlign w:val="center"/>
            <w:tcMar>
              <w:top w:w="65" w:type="dxa"/>
              <w:left w:w="65" w:type="dxa"/>
              <w:bottom w:w="65" w:type="dxa"/>
              <w:right w:w="65" w:type="dxa"/>
            </w:tcMar>
          </w:tcPr>
          <w:p>
            <w:pPr>
              <w:pStyle w:val="TableText"/>
              <w:keepNext w:val="0"/>
              <w:widowControl/>
              <w:jc w:val="left"/>
            </w:pPr>
            <w:r>
              <w:rPr>
                <w:b w:val="0"/>
                <w:sz w:val="18"/>
              </w:rPr>
              <w:t>이자부부채 축소</w:t>
            </w:r>
          </w:p>
        </w:tc>
        <w:tc>
          <w:tcPr>
            <w:tcW w:type="dxa" w:w="4252"/>
            <w:vAlign w:val="center"/>
            <w:tcMar>
              <w:top w:w="65" w:type="dxa"/>
              <w:left w:w="65" w:type="dxa"/>
              <w:bottom w:w="65" w:type="dxa"/>
              <w:right w:w="65" w:type="dxa"/>
            </w:tcMar>
          </w:tcPr>
          <w:p>
            <w:pPr>
              <w:pStyle w:val="TableText"/>
              <w:keepNext w:val="0"/>
              <w:widowControl/>
              <w:jc w:val="left"/>
            </w:pPr>
            <w:r>
              <w:rPr>
                <w:b w:val="0"/>
                <w:sz w:val="18"/>
              </w:rPr>
              <w:t>DL 1.0</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8"/>
              </w:rPr>
              <w:t>RF</w:t>
            </w:r>
          </w:p>
        </w:tc>
        <w:tc>
          <w:tcPr>
            <w:tcW w:type="dxa" w:w="2891"/>
            <w:vAlign w:val="center"/>
            <w:tcMar>
              <w:top w:w="65" w:type="dxa"/>
              <w:left w:w="65" w:type="dxa"/>
              <w:bottom w:w="65" w:type="dxa"/>
              <w:right w:w="65" w:type="dxa"/>
            </w:tcMar>
          </w:tcPr>
          <w:p>
            <w:pPr>
              <w:pStyle w:val="TableText"/>
              <w:keepNext w:val="0"/>
              <w:widowControl/>
              <w:jc w:val="left"/>
            </w:pPr>
            <w:r>
              <w:rPr>
                <w:b w:val="0"/>
                <w:sz w:val="18"/>
              </w:rPr>
              <w:t>단기차입의 장기 차환</w:t>
            </w:r>
          </w:p>
        </w:tc>
        <w:tc>
          <w:tcPr>
            <w:tcW w:type="dxa" w:w="4252"/>
            <w:vAlign w:val="center"/>
            <w:tcMar>
              <w:top w:w="65" w:type="dxa"/>
              <w:left w:w="65" w:type="dxa"/>
              <w:bottom w:w="65" w:type="dxa"/>
              <w:right w:w="65" w:type="dxa"/>
            </w:tcMar>
          </w:tcPr>
          <w:p>
            <w:pPr>
              <w:pStyle w:val="TableText"/>
              <w:keepNext w:val="0"/>
              <w:widowControl/>
              <w:jc w:val="left"/>
            </w:pPr>
            <w:r>
              <w:rPr>
                <w:b w:val="0"/>
                <w:sz w:val="18"/>
              </w:rPr>
              <w:t>RF 1.0</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8"/>
              </w:rPr>
              <w:t>CX</w:t>
            </w:r>
          </w:p>
        </w:tc>
        <w:tc>
          <w:tcPr>
            <w:tcW w:type="dxa" w:w="2891"/>
            <w:vAlign w:val="center"/>
            <w:tcMar>
              <w:top w:w="65" w:type="dxa"/>
              <w:left w:w="65" w:type="dxa"/>
              <w:bottom w:w="65" w:type="dxa"/>
              <w:right w:w="65" w:type="dxa"/>
            </w:tcMar>
          </w:tcPr>
          <w:p>
            <w:pPr>
              <w:pStyle w:val="TableText"/>
              <w:keepNext w:val="0"/>
              <w:widowControl/>
              <w:jc w:val="left"/>
            </w:pPr>
            <w:r>
              <w:rPr>
                <w:b w:val="0"/>
                <w:sz w:val="18"/>
              </w:rPr>
              <w:t>성장성 투자 절제</w:t>
            </w:r>
          </w:p>
        </w:tc>
        <w:tc>
          <w:tcPr>
            <w:tcW w:type="dxa" w:w="4252"/>
            <w:vAlign w:val="center"/>
            <w:tcMar>
              <w:top w:w="65" w:type="dxa"/>
              <w:left w:w="65" w:type="dxa"/>
              <w:bottom w:w="65" w:type="dxa"/>
              <w:right w:w="65" w:type="dxa"/>
            </w:tcMar>
          </w:tcPr>
          <w:p>
            <w:pPr>
              <w:pStyle w:val="TableText"/>
              <w:keepNext w:val="0"/>
              <w:widowControl/>
              <w:jc w:val="left"/>
            </w:pPr>
            <w:r>
              <w:rPr>
                <w:b w:val="0"/>
                <w:sz w:val="18"/>
              </w:rPr>
              <w:t>CAPEX 1.0</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8"/>
              </w:rPr>
              <w:t>WC1</w:t>
            </w:r>
          </w:p>
        </w:tc>
        <w:tc>
          <w:tcPr>
            <w:tcW w:type="dxa" w:w="2891"/>
            <w:vAlign w:val="center"/>
            <w:tcMar>
              <w:top w:w="65" w:type="dxa"/>
              <w:left w:w="65" w:type="dxa"/>
              <w:bottom w:w="65" w:type="dxa"/>
              <w:right w:w="65" w:type="dxa"/>
            </w:tcMar>
          </w:tcPr>
          <w:p>
            <w:pPr>
              <w:pStyle w:val="TableText"/>
              <w:keepNext w:val="0"/>
              <w:widowControl/>
              <w:jc w:val="left"/>
            </w:pPr>
            <w:r>
              <w:rPr>
                <w:b w:val="0"/>
                <w:sz w:val="18"/>
              </w:rPr>
              <w:t>재고·매출채권 효율화</w:t>
            </w:r>
          </w:p>
        </w:tc>
        <w:tc>
          <w:tcPr>
            <w:tcW w:type="dxa" w:w="4252"/>
            <w:vAlign w:val="center"/>
            <w:tcMar>
              <w:top w:w="65" w:type="dxa"/>
              <w:left w:w="65" w:type="dxa"/>
              <w:bottom w:w="65" w:type="dxa"/>
              <w:right w:w="65" w:type="dxa"/>
            </w:tcMar>
          </w:tcPr>
          <w:p>
            <w:pPr>
              <w:pStyle w:val="TableText"/>
              <w:keepNext w:val="0"/>
              <w:widowControl/>
              <w:jc w:val="left"/>
            </w:pPr>
            <w:r>
              <w:rPr>
                <w:b w:val="0"/>
                <w:sz w:val="18"/>
              </w:rPr>
              <w:t>INV 0.5, AR 0.5</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8"/>
              </w:rPr>
              <w:t>WC2</w:t>
            </w:r>
          </w:p>
        </w:tc>
        <w:tc>
          <w:tcPr>
            <w:tcW w:type="dxa" w:w="2891"/>
            <w:vAlign w:val="center"/>
            <w:tcMar>
              <w:top w:w="65" w:type="dxa"/>
              <w:left w:w="65" w:type="dxa"/>
              <w:bottom w:w="65" w:type="dxa"/>
              <w:right w:w="65" w:type="dxa"/>
            </w:tcMar>
          </w:tcPr>
          <w:p>
            <w:pPr>
              <w:pStyle w:val="TableText"/>
              <w:keepNext w:val="0"/>
              <w:widowControl/>
              <w:jc w:val="left"/>
            </w:pPr>
            <w:r>
              <w:rPr>
                <w:b w:val="0"/>
                <w:sz w:val="18"/>
              </w:rPr>
              <w:t>운전자본 조합</w:t>
            </w:r>
          </w:p>
        </w:tc>
        <w:tc>
          <w:tcPr>
            <w:tcW w:type="dxa" w:w="4252"/>
            <w:vAlign w:val="center"/>
            <w:tcMar>
              <w:top w:w="65" w:type="dxa"/>
              <w:left w:w="65" w:type="dxa"/>
              <w:bottom w:w="65" w:type="dxa"/>
              <w:right w:w="65" w:type="dxa"/>
            </w:tcMar>
          </w:tcPr>
          <w:p>
            <w:pPr>
              <w:pStyle w:val="TableText"/>
              <w:keepNext w:val="0"/>
              <w:widowControl/>
              <w:jc w:val="left"/>
            </w:pPr>
            <w:r>
              <w:rPr>
                <w:b w:val="0"/>
                <w:sz w:val="18"/>
              </w:rPr>
              <w:t>INV 1/3, AR 1/3, AP −1/3</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8"/>
              </w:rPr>
              <w:t>OE</w:t>
            </w:r>
          </w:p>
        </w:tc>
        <w:tc>
          <w:tcPr>
            <w:tcW w:type="dxa" w:w="2891"/>
            <w:vAlign w:val="center"/>
            <w:tcMar>
              <w:top w:w="65" w:type="dxa"/>
              <w:left w:w="65" w:type="dxa"/>
              <w:bottom w:w="65" w:type="dxa"/>
              <w:right w:w="65" w:type="dxa"/>
            </w:tcMar>
          </w:tcPr>
          <w:p>
            <w:pPr>
              <w:pStyle w:val="TableText"/>
              <w:keepNext w:val="0"/>
              <w:widowControl/>
              <w:jc w:val="left"/>
            </w:pPr>
            <w:r>
              <w:rPr>
                <w:b w:val="0"/>
                <w:sz w:val="18"/>
              </w:rPr>
              <w:t>영업비용 효율화</w:t>
            </w:r>
          </w:p>
        </w:tc>
        <w:tc>
          <w:tcPr>
            <w:tcW w:type="dxa" w:w="4252"/>
            <w:vAlign w:val="center"/>
            <w:tcMar>
              <w:top w:w="65" w:type="dxa"/>
              <w:left w:w="65" w:type="dxa"/>
              <w:bottom w:w="65" w:type="dxa"/>
              <w:right w:w="65" w:type="dxa"/>
            </w:tcMar>
          </w:tcPr>
          <w:p>
            <w:pPr>
              <w:pStyle w:val="TableText"/>
              <w:keepNext w:val="0"/>
              <w:widowControl/>
              <w:jc w:val="left"/>
            </w:pPr>
            <w:r>
              <w:rPr>
                <w:b w:val="0"/>
                <w:sz w:val="18"/>
              </w:rPr>
              <w:t>COGS −0.5, SG&amp;A −0.5</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8"/>
              </w:rPr>
              <w:t>MX1</w:t>
            </w:r>
          </w:p>
        </w:tc>
        <w:tc>
          <w:tcPr>
            <w:tcW w:type="dxa" w:w="2891"/>
            <w:vAlign w:val="center"/>
            <w:tcMar>
              <w:top w:w="65" w:type="dxa"/>
              <w:left w:w="65" w:type="dxa"/>
              <w:bottom w:w="65" w:type="dxa"/>
              <w:right w:w="65" w:type="dxa"/>
            </w:tcMar>
          </w:tcPr>
          <w:p>
            <w:pPr>
              <w:pStyle w:val="TableText"/>
              <w:keepNext w:val="0"/>
              <w:widowControl/>
              <w:jc w:val="left"/>
            </w:pPr>
            <w:r>
              <w:rPr>
                <w:b w:val="0"/>
                <w:sz w:val="18"/>
              </w:rPr>
              <w:t>부채·비용 혼합</w:t>
            </w:r>
          </w:p>
        </w:tc>
        <w:tc>
          <w:tcPr>
            <w:tcW w:type="dxa" w:w="4252"/>
            <w:vAlign w:val="center"/>
            <w:tcMar>
              <w:top w:w="65" w:type="dxa"/>
              <w:left w:w="65" w:type="dxa"/>
              <w:bottom w:w="65" w:type="dxa"/>
              <w:right w:w="65" w:type="dxa"/>
            </w:tcMar>
          </w:tcPr>
          <w:p>
            <w:pPr>
              <w:pStyle w:val="TableText"/>
              <w:keepNext w:val="0"/>
              <w:widowControl/>
              <w:jc w:val="left"/>
            </w:pPr>
            <w:r>
              <w:rPr>
                <w:b w:val="0"/>
                <w:sz w:val="18"/>
              </w:rPr>
              <w:t>DL 0.5, COGS −0.25, SG&amp;A −0.25</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8"/>
              </w:rPr>
              <w:t>MX2</w:t>
            </w:r>
          </w:p>
        </w:tc>
        <w:tc>
          <w:tcPr>
            <w:tcW w:type="dxa" w:w="2891"/>
            <w:vAlign w:val="center"/>
            <w:tcMar>
              <w:top w:w="65" w:type="dxa"/>
              <w:left w:w="65" w:type="dxa"/>
              <w:bottom w:w="65" w:type="dxa"/>
              <w:right w:w="65" w:type="dxa"/>
            </w:tcMar>
          </w:tcPr>
          <w:p>
            <w:pPr>
              <w:pStyle w:val="TableText"/>
              <w:keepNext w:val="0"/>
              <w:widowControl/>
              <w:jc w:val="left"/>
            </w:pPr>
            <w:r>
              <w:rPr>
                <w:b w:val="0"/>
                <w:sz w:val="18"/>
              </w:rPr>
              <w:t>부채·운전자본 혼합</w:t>
            </w:r>
          </w:p>
        </w:tc>
        <w:tc>
          <w:tcPr>
            <w:tcW w:type="dxa" w:w="4252"/>
            <w:vAlign w:val="center"/>
            <w:tcMar>
              <w:top w:w="65" w:type="dxa"/>
              <w:left w:w="65" w:type="dxa"/>
              <w:bottom w:w="65" w:type="dxa"/>
              <w:right w:w="65" w:type="dxa"/>
            </w:tcMar>
          </w:tcPr>
          <w:p>
            <w:pPr>
              <w:pStyle w:val="TableText"/>
              <w:keepNext w:val="0"/>
              <w:widowControl/>
              <w:jc w:val="left"/>
            </w:pPr>
            <w:r>
              <w:rPr>
                <w:b w:val="0"/>
                <w:sz w:val="18"/>
              </w:rPr>
              <w:t>DL 0.5, INV 0.2, AR 0.2, AP −0.1</w:t>
            </w:r>
          </w:p>
        </w:tc>
      </w:tr>
    </w:tbl>
    <w:p>
      <w:pPr>
        <w:pStyle w:val="SourceNote"/>
        <w:widowControl/>
      </w:pPr>
      <w:r>
        <w:t>자료: 동결 후보 벡터를 정규화 기준으로 나누어 표시. 실제 행동값은 각 강도와 해당 sⱼ의 곱이다. 음수는 회전율 또는 비용비율을 낮추는 방향이다.</w:t>
      </w:r>
    </w:p>
    <w:p>
      <w:pPr>
        <w:widowControl/>
      </w:pPr>
      <w:r>
        <w:t>A0는 현재 재무제표를 복사해 두는 정책이 아니라, 동일한 외생 사업계획과 Simulator를 통과하되 추가 관리행동을 주지 않는 기준이다. 모든 정책의 평가에서 A0를 공통으로 사용해야 한다. 특정 기업에 가장 높은 Oracle 값을 주는 후보를 사후적으로 고른 ceiling은 비교를 위한 상한이며, 배포정책이나 현실적으로 알려진 최적행동이 아니다.</w:t>
      </w:r>
    </w:p>
    <w:p>
      <w:bookmarkStart w:id="50" w:name="head_44"/>
      <w:pPr>
        <w:pStyle w:val="2"/>
        <w:widowControl/>
      </w:pPr>
      <w:r>
        <w:t>3.3 Simulator와 Oracle의 공통 평가경로</w:t>
      </w:r>
      <w:bookmarkEnd w:id="50"/>
    </w:p>
    <w:p>
      <w:bookmarkStart w:id="51" w:name="head_45"/>
      <w:pPr>
        <w:pStyle w:val="3"/>
        <w:widowControl/>
      </w:pPr>
      <w:r>
        <w:t>3.3.1 제안에서 재무상태로의 전파</w:t>
      </w:r>
      <w:bookmarkEnd w:id="51"/>
    </w:p>
    <w:p>
      <w:pPr>
        <w:widowControl/>
      </w:pPr>
      <w:r>
        <w:t>Simulator는 같은 기업상태, 같은 사업계획 및 같은 적용행동을 입력하면 같은 반사실적 재무상태를 계산하는 결정론적 도구이다. 부채 상환은 현금과 부채를 함께 바꾸고, 운전자본 조정은 관련 자산·부채와 현금을 함께 바꾼다. 비용비율 변화는 영업성과와 이익누적 및 현금에 전파된다. 계산 후 회계항등식을 확인하며, 모델 내부의 실현 가능 범위와 LLM 출력의 계약준수 여부를 혼동하지 않는다.</w:t>
      </w:r>
    </w:p>
    <w:p>
      <w:pPr>
        <w:widowControl/>
      </w:pPr>
      <w:r>
        <w:t>현재 계산경로에는 현금부족을 단기차입으로 보충하는 cash-plug 및 동결된 배당 관련 가정이 포함된다. 이는 필요한 자금조달이 항상 가능하다는 현실의 관측이 아니라 모형의 처리규칙이다. 차입을 거절당하거나 부도에 이르는 상황, 기업별 재협상 및 실행기간을 충분히 모형화하지 못하므로, 결과는 그 가정 아래의 비교로 제한한다.</w:t>
      </w:r>
    </w:p>
    <w:p>
      <w:pPr>
        <w:widowControl/>
      </w:pPr>
      <w:r>
        <w:t>Strict parser가 허용범위 밖의 제안행동을 잘라서 수용하는 것과, 허용된 행동을 Simulator가 기업상태에 맞게 실현하는 것은 서로 다르다. 전자는 본실험의 Strict 규칙에서 금지된 응답 보정이고, 후자는 제안 상환액과 실제 상환액처럼 경제적 전파를 계산하는 단계이다. 따라서 realized 값이 proposed 값과 다르다는 사실만으로 계약위반이나 parser 보정이 있었다고 판단할 수 없다.</w:t>
      </w:r>
    </w:p>
    <w:p>
      <w:bookmarkStart w:id="52" w:name="head_46"/>
      <w:pPr>
        <w:pStyle w:val="3"/>
        <w:widowControl/>
      </w:pPr>
      <w:r>
        <w:t>3.3.2 세 Oracle와 정책가치</w:t>
      </w:r>
      <w:bookmarkEnd w:id="52"/>
    </w:p>
    <w:p>
      <w:pPr>
        <w:widowControl/>
      </w:pPr>
      <w:r>
        <w:t>Oracle-α는 구간별 점수와 가중치를 사용하는 스코어카드, Oracle-β는 순서형 로짓, Oracle-γ는 트리 앙상블에 기초한다. 입력의 재무적 의미를 공유하더라도 구간 경계, 연속성 및 비선형 결합이 다르므로 동일 행동에 대한 점수 차이도 달라질 수 있다. α를 주요 평가축으로 사용하고 β·γ는 각자의 점수척도에서 방향과 민감도를 확인한다.</w:t>
      </w:r>
    </w:p>
    <w:p>
      <w:pPr>
        <w:widowControl/>
      </w:pPr>
      <w:r>
        <w:t>기업 i의 출발상태를 xᵢ, 공통 사업계획을 zᵢ, Simulator를 S, Oracle를 Rⱼ로 나타낸다. 정책 p의 적용행동 aᵢₚ에 대한 정책가치는 동일 기업의 A0 결과를 뺀 값이다. LLM 정책의 한 조건과 다른 조건의 차이도 먼저 기업 안에서 계산한 뒤 평균한다.</w:t>
      </w:r>
    </w:p>
    <w:p>
      <w:pPr>
        <w:pStyle w:val="Equation"/>
        <w:keepNext/>
        <w:widowControl/>
      </w:pPr>
      <w:r>
        <w:t>Vᵢⱼ(p) = Rⱼ(S(xᵢ, zᵢ, aᵢₚ)) − Rⱼ(S(xᵢ, zᵢ, A0))</w:t>
      </w:r>
    </w:p>
    <w:p>
      <w:pPr>
        <w:pStyle w:val="Equation"/>
        <w:keepNext/>
        <w:widowControl/>
      </w:pPr>
      <w:r>
        <w:t>Δⱼ(p,q) = N⁻¹ Σᵢ [Vᵢⱼ(p) − Vᵢⱼ(q)]</w:t>
      </w:r>
    </w:p>
    <w:p>
      <w:pPr>
        <w:widowControl/>
      </w:pPr>
      <w:r>
        <w:t>이 차이는 공통 출발상태와 공통 모형 가정을 맞추는 장점이 있지만, Simulator의 모든 오차를 없애지는 않는다. 행동 a의 모형 오차가 εᵢ(a)라면 A0 대비 차이의 오차에는 εᵢ(a)−εᵢ(A0)가 남는다. 동일한 상수 오차는 상쇄되지만 행동에 따라 달라지는 편향은 남기 때문에, 회계적 일관성과 현실적 효과의 타당성을 별도로 논의한다.</w:t>
      </w:r>
    </w:p>
    <w:p>
      <w:pPr>
        <w:widowControl/>
      </w:pPr>
      <w:r>
        <w:t>본 논문의 평균 Oracle 점수는 기업별 절대 신용평점을 평균한 값이고, 평균 정책가치는 위 식의 A0 대비 차이를 평균한 값이다. 예를 들어 55점대 절대점수와 약 1점의 증분가치를 같은 열에 섞지 않는다. β와 γ에서도 각자의 A0를 사용하며 세 Oracle의 원점수를 더하거나 평균해 통합 순위를 만들지 않는다.</w:t>
      </w:r>
    </w:p>
    <w:p>
      <w:bookmarkStart w:id="53" w:name="head_47"/>
      <w:pPr>
        <w:pStyle w:val="2"/>
        <w:widowControl/>
      </w:pPr>
      <w:r>
        <w:t>3.4 Candidate-IQL의 학습·선택·배포</w:t>
      </w:r>
      <w:bookmarkEnd w:id="53"/>
    </w:p>
    <w:p>
      <w:bookmarkStart w:id="54" w:name="head_48"/>
      <w:pPr>
        <w:pStyle w:val="3"/>
        <w:widowControl/>
      </w:pPr>
      <w:r>
        <w:t>3.4.1 표현학습, 행동모방과 가치학습</w:t>
      </w:r>
      <w:bookmarkEnd w:id="54"/>
    </w:p>
    <w:p>
      <w:pPr>
        <w:widowControl/>
      </w:pPr>
      <w:r>
        <w:t>Candidate-IQL은 기업이 실제로 취한 행동을 완전하게 관찰할 수 없다는 제약 아래에서 학습한 참조정책이다. 재무제표에 전략명이 직접 기록되는 것은 아니므로, 관측된 재무변화와 표준 후보의 유사성을 이용한 의사행동 표지를 사용한다. 이 표지는 경영진이 해당 전략을 의도적으로 선택했다는 인과적 라벨이 아니다.</w:t>
      </w:r>
    </w:p>
    <w:p>
      <w:pPr>
        <w:widowControl/>
      </w:pPr>
      <w:r>
        <w:t>학습은 재무상태 표현학습, 행동모방, 최종 가치·정책 학습의 세 단계로 나뉜다. 표현학습은 다수 재무비율과 범주형 정보를 잠재표현으로 압축한다. 행동모방은 자주 나타나는 행동 및 행동군이 학습을 지배하지 않도록 불균형을 보정한 출발정책을 만든다. 최종 단계는 관측전이와 Simulator가 제공하는 후보별 지지를 이용하여 행동의 가치를 학습하고 actor를 갱신한다. 같은 seed 번호라도 앞 단계의 checkpoint가 다르면 동일한 학습경로라고 간주하지 않는다.</w:t>
      </w:r>
    </w:p>
    <w:p>
      <w:pPr>
        <w:widowControl/>
      </w:pPr>
      <w:r>
        <w:t>최종 설정에서 할인율 γ는 0이다. 따라서 장기 누적보상을 학습했다는 주장보다, 기업상태에 조건부인 한 해의 행동 선택문제로 설명하는 것이 정확하다. CQL 항과 sector shaping 계수도 사용하지 않는다. 학습 종료 후 배포행동은 actor의 확률로 결정하며, critic Q값이나 Oracle 점수로 기업별 행동을 다시 정렬하지 않는다.</w:t>
      </w:r>
    </w:p>
    <w:p>
      <w:bookmarkStart w:id="55" w:name="head_49"/>
      <w:pPr>
        <w:pStyle w:val="3"/>
        <w:widowControl/>
      </w:pPr>
      <w:r>
        <w:t>3.4.2 등급 신호와 보조보상</w:t>
      </w:r>
      <w:bookmarkEnd w:id="55"/>
    </w:p>
    <w:p>
      <w:pPr>
        <w:widowControl/>
      </w:pPr>
      <w:r>
        <w:t>학습보상의 기본 신호는 실제 외부 신용등급의 변화이고, 부채부담, 현금흐름, 유동성 및 수익성의 변화를 보조 신호로 사용한다. 이때 Merton 기반 항은 회계자료로 구성한 부채부담 대리항이며, 완전한 시장기반 부도확률 추정치와 동일시하지 않는다. FCFF 역시 사용한 재무항목과 정규화에 종속된 대리항이다.</w:t>
      </w:r>
    </w:p>
    <w:p>
      <w:pPr>
        <w:widowControl/>
      </w:pPr>
      <w:r>
        <w:t>최신 reward contract는 수익성 성분을 포함한다. 각 성분은 동결된 학습구간의 robust scale과 clipping 범위에 따라 변환하며, Merton 항의 범위는 [−1,1], 나머지 보조항은 [−0.5,0.5]이다. 수익성 보조항의 구현은 factual 기준 총자산 대비 counterfactual 영업이익과 factual 영업이익의 차이를 사용한다. 학습보상의 정규화와 LLM 출력의 후처리는 전혀 다른 단계이므로 보상에 clipping이 존재한다는 이유로 Strict 응답 보정이 허용되는 것은 아니다.</w:t>
      </w:r>
    </w:p>
    <w:p>
      <w:pPr>
        <w:widowControl/>
      </w:pPr>
      <w:r>
        <w:t>관측되지 않은 후보행동에 실제 다음 해 등급을 임의로 붙이지 않는다. 공개된 실행 스냅샷에서는 실제 등급사건, 충분한 행동투영 coverage 및 근접 동률 여부를 확인한 뒤 적격 관측행동에만 등급 지도신호를 연결한다. 적격성이 없는 후보의 미관측 등급효과를 실제 성과처럼 취급하지 않고 보조 신호와 구분한다. 세부 가중치는 configuration마다 다르므로 구형 단일 가중치표를 전체 앙상블의 학습계약으로 사용할 수 없다.</w:t>
      </w:r>
    </w:p>
    <w:p>
      <w:pPr>
        <w:pStyle w:val="Equation"/>
        <w:keepNext/>
        <w:widowControl/>
      </w:pPr>
      <w:r>
        <w:t>r = r_rating + w_M r_M + w_F r_F + w_L r_L + w_P r_P</w:t>
      </w:r>
    </w:p>
    <w:p>
      <w:bookmarkStart w:id="56" w:name="cap_7"/>
      <w:pPr>
        <w:pStyle w:val="af"/>
        <w:widowControl/>
      </w:pPr>
      <w:r>
        <w:t>표 3-4. 최종 네 configuration의 보조보상 가중치</w:t>
      </w:r>
      <w:bookmarkEnd w:id="56"/>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2494"/>
        <w:gridCol w:w="1361"/>
        <w:gridCol w:w="1361"/>
        <w:gridCol w:w="1361"/>
        <w:gridCol w:w="1361"/>
      </w:tblGrid>
      <w:tr>
        <w:trPr>
          <w:cantSplit/>
          <w:tblHeader/>
        </w:trPr>
        <w:tc>
          <w:tcPr>
            <w:tcW w:type="dxa" w:w="2494"/>
            <w:vAlign w:val="center"/>
            <w:shd w:fill="F1F1F1"/>
            <w:tcMar>
              <w:top w:w="65" w:type="dxa"/>
              <w:left w:w="65" w:type="dxa"/>
              <w:bottom w:w="65" w:type="dxa"/>
              <w:right w:w="65" w:type="dxa"/>
            </w:tcMar>
          </w:tcPr>
          <w:p>
            <w:pPr>
              <w:pStyle w:val="TableText"/>
              <w:keepNext/>
              <w:widowControl/>
              <w:jc w:val="center"/>
            </w:pPr>
            <w:r>
              <w:rPr>
                <w:b/>
                <w:sz w:val="18"/>
              </w:rPr>
              <w:t>Configuration</w:t>
            </w:r>
          </w:p>
        </w:tc>
        <w:tc>
          <w:tcPr>
            <w:tcW w:type="dxa" w:w="1361"/>
            <w:vAlign w:val="center"/>
            <w:shd w:fill="F1F1F1"/>
            <w:tcMar>
              <w:top w:w="65" w:type="dxa"/>
              <w:left w:w="65" w:type="dxa"/>
              <w:bottom w:w="65" w:type="dxa"/>
              <w:right w:w="65" w:type="dxa"/>
            </w:tcMar>
          </w:tcPr>
          <w:p>
            <w:pPr>
              <w:pStyle w:val="TableText"/>
              <w:keepNext/>
              <w:widowControl/>
              <w:jc w:val="center"/>
            </w:pPr>
            <w:r>
              <w:rPr>
                <w:b/>
                <w:sz w:val="18"/>
              </w:rPr>
              <w:t>Merton</w:t>
            </w:r>
          </w:p>
        </w:tc>
        <w:tc>
          <w:tcPr>
            <w:tcW w:type="dxa" w:w="1361"/>
            <w:vAlign w:val="center"/>
            <w:shd w:fill="F1F1F1"/>
            <w:tcMar>
              <w:top w:w="65" w:type="dxa"/>
              <w:left w:w="65" w:type="dxa"/>
              <w:bottom w:w="65" w:type="dxa"/>
              <w:right w:w="65" w:type="dxa"/>
            </w:tcMar>
          </w:tcPr>
          <w:p>
            <w:pPr>
              <w:pStyle w:val="TableText"/>
              <w:keepNext/>
              <w:widowControl/>
              <w:jc w:val="center"/>
            </w:pPr>
            <w:r>
              <w:rPr>
                <w:b/>
                <w:sz w:val="18"/>
              </w:rPr>
              <w:t>FCFF</w:t>
            </w:r>
          </w:p>
        </w:tc>
        <w:tc>
          <w:tcPr>
            <w:tcW w:type="dxa" w:w="1361"/>
            <w:vAlign w:val="center"/>
            <w:shd w:fill="F1F1F1"/>
            <w:tcMar>
              <w:top w:w="65" w:type="dxa"/>
              <w:left w:w="65" w:type="dxa"/>
              <w:bottom w:w="65" w:type="dxa"/>
              <w:right w:w="65" w:type="dxa"/>
            </w:tcMar>
          </w:tcPr>
          <w:p>
            <w:pPr>
              <w:pStyle w:val="TableText"/>
              <w:keepNext/>
              <w:widowControl/>
              <w:jc w:val="center"/>
            </w:pPr>
            <w:r>
              <w:rPr>
                <w:b/>
                <w:sz w:val="18"/>
              </w:rPr>
              <w:t>유동성</w:t>
            </w:r>
          </w:p>
        </w:tc>
        <w:tc>
          <w:tcPr>
            <w:tcW w:type="dxa" w:w="1361"/>
            <w:vAlign w:val="center"/>
            <w:shd w:fill="F1F1F1"/>
            <w:tcMar>
              <w:top w:w="65" w:type="dxa"/>
              <w:left w:w="65" w:type="dxa"/>
              <w:bottom w:w="65" w:type="dxa"/>
              <w:right w:w="65" w:type="dxa"/>
            </w:tcMar>
          </w:tcPr>
          <w:p>
            <w:pPr>
              <w:pStyle w:val="TableText"/>
              <w:keepNext/>
              <w:widowControl/>
              <w:jc w:val="center"/>
            </w:pPr>
            <w:r>
              <w:rPr>
                <w:b/>
                <w:sz w:val="18"/>
              </w:rPr>
              <w:t>수익성</w:t>
            </w:r>
          </w:p>
        </w:tc>
      </w:tr>
      <w:tr>
        <w:trPr>
          <w:cantSplit/>
        </w:trPr>
        <w:tc>
          <w:tcPr>
            <w:tcW w:type="dxa" w:w="2494"/>
            <w:vAlign w:val="center"/>
            <w:tcMar>
              <w:top w:w="65" w:type="dxa"/>
              <w:left w:w="65" w:type="dxa"/>
              <w:bottom w:w="65" w:type="dxa"/>
              <w:right w:w="65" w:type="dxa"/>
            </w:tcMar>
          </w:tcPr>
          <w:p>
            <w:pPr>
              <w:pStyle w:val="TableText"/>
              <w:keepNext/>
              <w:widowControl/>
              <w:jc w:val="left"/>
            </w:pPr>
            <w:r>
              <w:rPr>
                <w:b w:val="0"/>
                <w:sz w:val="18"/>
              </w:rPr>
              <w:t>B27</w:t>
            </w:r>
          </w:p>
        </w:tc>
        <w:tc>
          <w:tcPr>
            <w:tcW w:type="dxa" w:w="1361"/>
            <w:vAlign w:val="center"/>
            <w:tcMar>
              <w:top w:w="65" w:type="dxa"/>
              <w:left w:w="65" w:type="dxa"/>
              <w:bottom w:w="65" w:type="dxa"/>
              <w:right w:w="65" w:type="dxa"/>
            </w:tcMar>
          </w:tcPr>
          <w:p>
            <w:pPr>
              <w:pStyle w:val="TableText"/>
              <w:keepNext/>
              <w:widowControl/>
              <w:jc w:val="left"/>
            </w:pPr>
            <w:r>
              <w:rPr>
                <w:b w:val="0"/>
                <w:sz w:val="18"/>
              </w:rPr>
              <w:t>.448750</w:t>
            </w:r>
          </w:p>
        </w:tc>
        <w:tc>
          <w:tcPr>
            <w:tcW w:type="dxa" w:w="1361"/>
            <w:vAlign w:val="center"/>
            <w:tcMar>
              <w:top w:w="65" w:type="dxa"/>
              <w:left w:w="65" w:type="dxa"/>
              <w:bottom w:w="65" w:type="dxa"/>
              <w:right w:w="65" w:type="dxa"/>
            </w:tcMar>
          </w:tcPr>
          <w:p>
            <w:pPr>
              <w:pStyle w:val="TableText"/>
              <w:keepNext/>
              <w:widowControl/>
              <w:jc w:val="left"/>
            </w:pPr>
            <w:r>
              <w:rPr>
                <w:b w:val="0"/>
                <w:sz w:val="18"/>
              </w:rPr>
              <w:t>.000000</w:t>
            </w:r>
          </w:p>
        </w:tc>
        <w:tc>
          <w:tcPr>
            <w:tcW w:type="dxa" w:w="1361"/>
            <w:vAlign w:val="center"/>
            <w:tcMar>
              <w:top w:w="65" w:type="dxa"/>
              <w:left w:w="65" w:type="dxa"/>
              <w:bottom w:w="65" w:type="dxa"/>
              <w:right w:w="65" w:type="dxa"/>
            </w:tcMar>
          </w:tcPr>
          <w:p>
            <w:pPr>
              <w:pStyle w:val="TableText"/>
              <w:keepNext/>
              <w:widowControl/>
              <w:jc w:val="left"/>
            </w:pPr>
            <w:r>
              <w:rPr>
                <w:b w:val="0"/>
                <w:sz w:val="18"/>
              </w:rPr>
              <w:t>.298750</w:t>
            </w:r>
          </w:p>
        </w:tc>
        <w:tc>
          <w:tcPr>
            <w:tcW w:type="dxa" w:w="1361"/>
            <w:vAlign w:val="center"/>
            <w:tcMar>
              <w:top w:w="65" w:type="dxa"/>
              <w:left w:w="65" w:type="dxa"/>
              <w:bottom w:w="65" w:type="dxa"/>
              <w:right w:w="65" w:type="dxa"/>
            </w:tcMar>
          </w:tcPr>
          <w:p>
            <w:pPr>
              <w:pStyle w:val="TableText"/>
              <w:keepNext/>
              <w:widowControl/>
              <w:jc w:val="left"/>
            </w:pPr>
            <w:r>
              <w:rPr>
                <w:b w:val="0"/>
                <w:sz w:val="18"/>
              </w:rPr>
              <w:t>.132500</w:t>
            </w:r>
          </w:p>
        </w:tc>
      </w:tr>
      <w:tr>
        <w:trPr>
          <w:cantSplit/>
        </w:trPr>
        <w:tc>
          <w:tcPr>
            <w:tcW w:type="dxa" w:w="2494"/>
            <w:vAlign w:val="center"/>
            <w:tcMar>
              <w:top w:w="65" w:type="dxa"/>
              <w:left w:w="65" w:type="dxa"/>
              <w:bottom w:w="65" w:type="dxa"/>
              <w:right w:w="65" w:type="dxa"/>
            </w:tcMar>
          </w:tcPr>
          <w:p>
            <w:pPr>
              <w:pStyle w:val="TableText"/>
              <w:keepNext w:val="0"/>
              <w:widowControl/>
              <w:jc w:val="left"/>
            </w:pPr>
            <w:r>
              <w:rPr>
                <w:b w:val="0"/>
                <w:sz w:val="18"/>
              </w:rPr>
              <w:t>M2_S0935</w:t>
            </w:r>
          </w:p>
        </w:tc>
        <w:tc>
          <w:tcPr>
            <w:tcW w:type="dxa" w:w="1361"/>
            <w:vAlign w:val="center"/>
            <w:tcMar>
              <w:top w:w="65" w:type="dxa"/>
              <w:left w:w="65" w:type="dxa"/>
              <w:bottom w:w="65" w:type="dxa"/>
              <w:right w:w="65" w:type="dxa"/>
            </w:tcMar>
          </w:tcPr>
          <w:p>
            <w:pPr>
              <w:pStyle w:val="TableText"/>
              <w:keepNext w:val="0"/>
              <w:widowControl/>
              <w:jc w:val="left"/>
            </w:pPr>
            <w:r>
              <w:rPr>
                <w:b w:val="0"/>
                <w:sz w:val="18"/>
              </w:rPr>
              <w:t>.488750</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.000000</w:t>
            </w:r>
          </w:p>
        </w:tc>
        <w:tc>
          <w:tcPr>
            <w:tcW w:type="dxa" w:w="1361"/>
            <w:vAlign w:val="center"/>
            <w:tcMar>
              <w:top w:w="65" w:type="dxa"/>
              <w:left w:w="65" w:type="dxa"/>
              <w:bottom w:w="65" w:type="dxa"/>
              <w:right w:w="65" w:type="dxa"/>
            </w:tcMar>
          </w:tcPr>
          <w:p>
            <w:pPr>
              <w:pStyle w:val="TableText"/>
              <w:keepNext w:val="0"/>
              <w:widowControl/>
              <w:jc w:val="left"/>
            </w:pPr>
            <w:r>
              <w:rPr>
                <w:b w:val="0"/>
                <w:sz w:val="18"/>
              </w:rPr>
              <w:t>.318750</w:t>
            </w:r>
          </w:p>
        </w:tc>
        <w:tc>
          <w:tcPr>
            <w:tcW w:type="dxa" w:w="1361"/>
            <w:vAlign w:val="center"/>
            <w:tcMar>
              <w:top w:w="65" w:type="dxa"/>
              <w:left w:w="65" w:type="dxa"/>
              <w:bottom w:w="65" w:type="dxa"/>
              <w:right w:w="65" w:type="dxa"/>
            </w:tcMar>
          </w:tcPr>
          <w:p>
            <w:pPr>
              <w:pStyle w:val="TableText"/>
              <w:keepNext w:val="0"/>
              <w:widowControl/>
              <w:jc w:val="left"/>
            </w:pPr>
            <w:r>
              <w:rPr>
                <w:b w:val="0"/>
                <w:sz w:val="18"/>
              </w:rPr>
              <w:t>.127500</w:t>
            </w:r>
          </w:p>
        </w:tc>
      </w:tr>
      <w:tr>
        <w:trPr>
          <w:cantSplit/>
        </w:trPr>
        <w:tc>
          <w:tcPr>
            <w:tcW w:type="dxa" w:w="2494"/>
            <w:vAlign w:val="center"/>
            <w:tcMar>
              <w:top w:w="65" w:type="dxa"/>
              <w:left w:w="65" w:type="dxa"/>
              <w:bottom w:w="65" w:type="dxa"/>
              <w:right w:w="65" w:type="dxa"/>
            </w:tcMar>
          </w:tcPr>
          <w:p>
            <w:pPr>
              <w:pStyle w:val="TableText"/>
              <w:keepNext w:val="0"/>
              <w:widowControl/>
              <w:jc w:val="left"/>
            </w:pPr>
            <w:r>
              <w:rPr>
                <w:b w:val="0"/>
                <w:sz w:val="18"/>
              </w:rPr>
              <w:t>DT06</w:t>
            </w:r>
          </w:p>
        </w:tc>
        <w:tc>
          <w:tcPr>
            <w:tcW w:type="dxa" w:w="1361"/>
            <w:vAlign w:val="center"/>
            <w:tcMar>
              <w:top w:w="65" w:type="dxa"/>
              <w:left w:w="65" w:type="dxa"/>
              <w:bottom w:w="65" w:type="dxa"/>
              <w:right w:w="65" w:type="dxa"/>
            </w:tcMar>
          </w:tcPr>
          <w:p>
            <w:pPr>
              <w:pStyle w:val="TableText"/>
              <w:keepNext w:val="0"/>
              <w:widowControl/>
              <w:jc w:val="left"/>
            </w:pPr>
            <w:r>
              <w:rPr>
                <w:b w:val="0"/>
                <w:sz w:val="18"/>
              </w:rPr>
              <w:t>.460000</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.000000</w:t>
            </w:r>
          </w:p>
        </w:tc>
        <w:tc>
          <w:tcPr>
            <w:tcW w:type="dxa" w:w="1361"/>
            <w:vAlign w:val="center"/>
            <w:tcMar>
              <w:top w:w="65" w:type="dxa"/>
              <w:left w:w="65" w:type="dxa"/>
              <w:bottom w:w="65" w:type="dxa"/>
              <w:right w:w="65" w:type="dxa"/>
            </w:tcMar>
          </w:tcPr>
          <w:p>
            <w:pPr>
              <w:pStyle w:val="TableText"/>
              <w:keepNext w:val="0"/>
              <w:widowControl/>
              <w:jc w:val="left"/>
            </w:pPr>
            <w:r>
              <w:rPr>
                <w:b w:val="0"/>
                <w:sz w:val="18"/>
              </w:rPr>
              <w:t>.300000</w:t>
            </w:r>
          </w:p>
        </w:tc>
        <w:tc>
          <w:tcPr>
            <w:tcW w:type="dxa" w:w="1361"/>
            <w:vAlign w:val="center"/>
            <w:tcMar>
              <w:top w:w="65" w:type="dxa"/>
              <w:left w:w="65" w:type="dxa"/>
              <w:bottom w:w="65" w:type="dxa"/>
              <w:right w:w="65" w:type="dxa"/>
            </w:tcMar>
          </w:tcPr>
          <w:p>
            <w:pPr>
              <w:pStyle w:val="TableText"/>
              <w:keepNext w:val="0"/>
              <w:widowControl/>
              <w:jc w:val="left"/>
            </w:pPr>
            <w:r>
              <w:rPr>
                <w:b w:val="0"/>
                <w:sz w:val="18"/>
              </w:rPr>
              <w:t>.120000</w:t>
            </w:r>
          </w:p>
        </w:tc>
      </w:tr>
      <w:tr>
        <w:trPr>
          <w:cantSplit/>
        </w:trPr>
        <w:tc>
          <w:tcPr>
            <w:tcW w:type="dxa" w:w="2494"/>
            <w:vAlign w:val="center"/>
            <w:tcMar>
              <w:top w:w="65" w:type="dxa"/>
              <w:left w:w="65" w:type="dxa"/>
              <w:bottom w:w="65" w:type="dxa"/>
              <w:right w:w="65" w:type="dxa"/>
            </w:tcMar>
          </w:tcPr>
          <w:p>
            <w:pPr>
              <w:pStyle w:val="TableText"/>
              <w:keepNext w:val="0"/>
              <w:widowControl/>
              <w:jc w:val="left"/>
            </w:pPr>
            <w:r>
              <w:rPr>
                <w:b w:val="0"/>
                <w:sz w:val="18"/>
              </w:rPr>
              <w:t>T15_REWARD_S088</w:t>
            </w:r>
          </w:p>
        </w:tc>
        <w:tc>
          <w:tcPr>
            <w:tcW w:type="dxa" w:w="1361"/>
            <w:vAlign w:val="center"/>
            <w:tcMar>
              <w:top w:w="65" w:type="dxa"/>
              <w:left w:w="65" w:type="dxa"/>
              <w:bottom w:w="65" w:type="dxa"/>
              <w:right w:w="65" w:type="dxa"/>
            </w:tcMar>
          </w:tcPr>
          <w:p>
            <w:pPr>
              <w:pStyle w:val="TableText"/>
              <w:keepNext w:val="0"/>
              <w:widowControl/>
              <w:jc w:val="left"/>
            </w:pPr>
            <w:r>
              <w:rPr>
                <w:b w:val="0"/>
                <w:sz w:val="18"/>
              </w:rPr>
              <w:t>.606325</w:t>
            </w:r>
          </w:p>
        </w:tc>
        <w:tc>
          <w:tcPr>
            <w:tcW w:type="dxa" w:w="1361"/>
            <w:vAlign w:val="center"/>
            <w:tcMar>
              <w:top w:w="65" w:type="dxa"/>
              <w:left w:w="65" w:type="dxa"/>
              <w:bottom w:w="65" w:type="dxa"/>
              <w:right w:w="65" w:type="dxa"/>
            </w:tcMar>
          </w:tcPr>
          <w:p>
            <w:pPr>
              <w:pStyle w:val="TableText"/>
              <w:keepNext w:val="0"/>
              <w:widowControl/>
              <w:jc w:val="left"/>
            </w:pPr>
            <w:r>
              <w:rPr>
                <w:b w:val="0"/>
                <w:sz w:val="18"/>
              </w:rPr>
              <w:t>.075191</w:t>
            </w:r>
          </w:p>
        </w:tc>
        <w:tc>
          <w:tcPr>
            <w:tcW w:type="dxa" w:w="1361"/>
            <w:vAlign w:val="center"/>
            <w:tcMar>
              <w:top w:w="65" w:type="dxa"/>
              <w:left w:w="65" w:type="dxa"/>
              <w:bottom w:w="65" w:type="dxa"/>
              <w:right w:w="65" w:type="dxa"/>
            </w:tcMar>
          </w:tcPr>
          <w:p>
            <w:pPr>
              <w:pStyle w:val="TableText"/>
              <w:keepNext w:val="0"/>
              <w:widowControl/>
              <w:jc w:val="left"/>
            </w:pPr>
            <w:r>
              <w:rPr>
                <w:b w:val="0"/>
                <w:sz w:val="18"/>
              </w:rPr>
              <w:t>.131642</w:t>
            </w:r>
          </w:p>
        </w:tc>
        <w:tc>
          <w:tcPr>
            <w:tcW w:type="dxa" w:w="1361"/>
            <w:vAlign w:val="center"/>
            <w:tcMar>
              <w:top w:w="65" w:type="dxa"/>
              <w:left w:w="65" w:type="dxa"/>
              <w:bottom w:w="65" w:type="dxa"/>
              <w:right w:w="65" w:type="dxa"/>
            </w:tcMar>
          </w:tcPr>
          <w:p>
            <w:pPr>
              <w:pStyle w:val="TableText"/>
              <w:keepNext w:val="0"/>
              <w:widowControl/>
              <w:jc w:val="left"/>
            </w:pPr>
            <w:r>
              <w:rPr>
                <w:b w:val="0"/>
                <w:sz w:val="18"/>
              </w:rPr>
              <w:t>.066842</w:t>
            </w:r>
          </w:p>
        </w:tc>
      </w:tr>
    </w:tbl>
    <w:p>
      <w:pPr>
        <w:pStyle w:val="SourceNote"/>
        <w:widowControl/>
      </w:pPr>
      <w:r>
        <w:t>자료: RL 실행 마스터 카탈로그의 해당 최종 family와 T15 검증기록. 외부 등급변화 계수는 모두 1.0이다. 표시는 반올림값이며, 네 configuration을 하나의 평균 reward로 재학습한 것이 아니다.</w:t>
      </w:r>
    </w:p>
    <w:p>
      <w:bookmarkStart w:id="57" w:name="head_50"/>
      <w:pPr>
        <w:pStyle w:val="3"/>
        <w:widowControl/>
      </w:pPr>
      <w:r>
        <w:t>3.4.3 계층적 확률평균과 선택 독립성</w:t>
      </w:r>
      <w:bookmarkEnd w:id="57"/>
    </w:p>
    <w:p>
      <w:pPr>
        <w:widowControl/>
      </w:pPr>
      <w:r>
        <w:t>최종 C3-E는 E2 encoder 계열의 네 configuration을 일곱 matched seed로 결합한다. 사용한 seed는 2, 11, 12, 13, 14, 15, 16이며 configuration마다 일곱 actor를 포함하여 총 28개이다. 먼저 같은 configuration 안의 확률을 동일하게 평균하고, 그 결과 네 개를 각각 25%로 평균한다. 마지막으로 canonical 행동순서에 따른 argmax를 취한다.</w:t>
      </w:r>
    </w:p>
    <w:p>
      <w:pPr>
        <w:pStyle w:val="Equation"/>
        <w:keepNext/>
        <w:widowControl/>
      </w:pPr>
      <w:r>
        <w:t>p̄(a|x) = (1/4) Σ𝚌₌₁⁴ [(1/7) Σₛ₌₁⁷ p𝚌ₛ(a|x)]</w:t>
      </w:r>
    </w:p>
    <w:p>
      <w:pPr>
        <w:pStyle w:val="Equation"/>
        <w:keepNext/>
        <w:widowControl/>
      </w:pPr>
      <w:r>
        <w:t>a_C3-E(x) = canonical argmaxₐ p̄(a|x)</w:t>
      </w:r>
    </w:p>
    <w:p>
      <w:pPr>
        <w:widowControl/>
      </w:pPr>
      <w:r>
        <w:t>현재는 모든 configuration의 seed 수가 일곱으로 같으므로 결과적으로 각 actor의 계수는 1/28이다. 다만 정책의 정의는 configuration 내부 평균과 configuration 간 평균의 두 층이다. 이전처럼 seed 수가 다를 때 단순 actor 평균으로 바꾸면 configuration의 비중이 달라지므로 같은 정책이 아니다. 또한 확률평균은 logits 평균이나 다수결과 일반적으로 같지 않다.</w:t>
      </w:r>
    </w:p>
    <w:p>
      <w:pPr>
        <w:widowControl/>
      </w:pPr>
      <w:r>
        <w:t>학습목표에 Oracle 점수를 넣지 않았다는 것, 최종 configuration·encoder·앙상블을 선택할 때 Oracle를 보지 않았다는 것, 동결 후 추론에서 Oracle로 재정렬하지 않는다는 것은 서로 다른 주장이다. 본 연구는 첫 번째와 세 번째를 해당 실행계약의 범위에서 기술하고, 두 번째는 주장하지 않는다. 2024년 평가를 보고 최종 참조정책을 선택한 사실은 제4장의 결과 및 제7장의 한계에 반영한다.</w:t>
      </w:r>
    </w:p>
    <w:p>
      <w:pPr>
        <w:widowControl/>
      </w:pPr>
      <w:r>
        <w:t>최종 release의 이름은 C3E_E2_7SEED_BALANCED_DFEBAFA6이다. BALANCED는 matched seed 구성을 나타내는 식별자이며 성능과 다양성의 사후 목표를 충족했다는 통계적 판정이 아니다. 각 actor의 predecessor와 semantic hash 및 최종 decision hash를 보존하고, 최종 LLM 참조가 어떤 정책을 사용했는지 고정한다.</w:t>
      </w:r>
    </w:p>
    <w:p>
      <w:bookmarkStart w:id="58" w:name="head_51"/>
      <w:pPr>
        <w:pStyle w:val="2"/>
        <w:widowControl/>
      </w:pPr>
      <w:r>
        <w:t>3.5 LLM 모델과 생성 실행조건</w:t>
      </w:r>
      <w:bookmarkEnd w:id="58"/>
    </w:p>
    <w:p>
      <w:pPr>
        <w:widowControl/>
      </w:pPr>
      <w:r>
        <w:t>본실험과 추가 실험은 GPT-5.4-mini와 Gemini 3.1 Flash-Lite를 대상으로 한다. Baseline은 먼저 동결·실행된 생성조건이며, High는 Baseline의 응답 유효성 문제를 확인한 뒤 추가한 추론설정 분석이다. 따라서 High를 최초 본실험의 primary로 소급 변경하지 않는다. C5라는 진단 프롬프트와 API의 추론 수준은 서로 다른 실험축으로 유지한다.</w:t>
      </w:r>
    </w:p>
    <w:p>
      <w:bookmarkStart w:id="59" w:name="cap_8"/>
      <w:pPr>
        <w:pStyle w:val="af"/>
        <w:widowControl/>
      </w:pPr>
      <w:r>
        <w:t>표 3-5. 공급자별 Baseline과 High 생성 설정</w:t>
      </w:r>
      <w:bookmarkEnd w:id="59"/>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1531"/>
        <w:gridCol w:w="1602"/>
        <w:gridCol w:w="1602"/>
        <w:gridCol w:w="1602"/>
        <w:gridCol w:w="1602"/>
      </w:tblGrid>
      <w:tr>
        <w:trPr>
          <w:cantSplit/>
          <w:tblHeader/>
        </w:trPr>
        <w:tc>
          <w:tcPr>
            <w:tcW w:type="dxa" w:w="1531"/>
            <w:vAlign w:val="center"/>
            <w:shd w:fill="F1F1F1"/>
            <w:tcMar>
              <w:top w:w="65" w:type="dxa"/>
              <w:left w:w="65" w:type="dxa"/>
              <w:bottom w:w="65" w:type="dxa"/>
              <w:right w:w="65" w:type="dxa"/>
            </w:tcMar>
          </w:tcPr>
          <w:p>
            <w:pPr>
              <w:pStyle w:val="TableText"/>
              <w:keepNext/>
              <w:widowControl/>
              <w:jc w:val="center"/>
            </w:pPr>
            <w:r>
              <w:rPr>
                <w:b/>
                <w:sz w:val="18"/>
              </w:rPr>
              <w:t>항목</w:t>
            </w:r>
          </w:p>
        </w:tc>
        <w:tc>
          <w:tcPr>
            <w:tcW w:type="dxa" w:w="1602"/>
            <w:vAlign w:val="center"/>
            <w:shd w:fill="F1F1F1"/>
            <w:tcMar>
              <w:top w:w="65" w:type="dxa"/>
              <w:left w:w="65" w:type="dxa"/>
              <w:bottom w:w="65" w:type="dxa"/>
              <w:right w:w="65" w:type="dxa"/>
            </w:tcMar>
          </w:tcPr>
          <w:p>
            <w:pPr>
              <w:pStyle w:val="TableText"/>
              <w:keepNext/>
              <w:widowControl/>
              <w:jc w:val="center"/>
            </w:pPr>
            <w:r>
              <w:rPr>
                <w:b/>
                <w:sz w:val="18"/>
              </w:rPr>
              <w:t>GPT Baseline</w:t>
            </w:r>
          </w:p>
        </w:tc>
        <w:tc>
          <w:tcPr>
            <w:tcW w:type="dxa" w:w="1602"/>
            <w:vAlign w:val="center"/>
            <w:shd w:fill="F1F1F1"/>
            <w:tcMar>
              <w:top w:w="65" w:type="dxa"/>
              <w:left w:w="65" w:type="dxa"/>
              <w:bottom w:w="65" w:type="dxa"/>
              <w:right w:w="65" w:type="dxa"/>
            </w:tcMar>
          </w:tcPr>
          <w:p>
            <w:pPr>
              <w:pStyle w:val="TableText"/>
              <w:keepNext/>
              <w:widowControl/>
              <w:jc w:val="center"/>
            </w:pPr>
            <w:r>
              <w:rPr>
                <w:b/>
                <w:sz w:val="18"/>
              </w:rPr>
              <w:t>GPT High</w:t>
            </w:r>
          </w:p>
        </w:tc>
        <w:tc>
          <w:tcPr>
            <w:tcW w:type="dxa" w:w="1602"/>
            <w:vAlign w:val="center"/>
            <w:shd w:fill="F1F1F1"/>
            <w:tcMar>
              <w:top w:w="65" w:type="dxa"/>
              <w:left w:w="65" w:type="dxa"/>
              <w:bottom w:w="65" w:type="dxa"/>
              <w:right w:w="65" w:type="dxa"/>
            </w:tcMar>
          </w:tcPr>
          <w:p>
            <w:pPr>
              <w:pStyle w:val="TableText"/>
              <w:keepNext/>
              <w:widowControl/>
              <w:jc w:val="center"/>
            </w:pPr>
            <w:r>
              <w:rPr>
                <w:b/>
                <w:sz w:val="18"/>
              </w:rPr>
              <w:t>Gemini Baseline</w:t>
            </w:r>
          </w:p>
        </w:tc>
        <w:tc>
          <w:tcPr>
            <w:tcW w:type="dxa" w:w="1602"/>
            <w:vAlign w:val="center"/>
            <w:shd w:fill="F1F1F1"/>
            <w:tcMar>
              <w:top w:w="65" w:type="dxa"/>
              <w:left w:w="65" w:type="dxa"/>
              <w:bottom w:w="65" w:type="dxa"/>
              <w:right w:w="65" w:type="dxa"/>
            </w:tcMar>
          </w:tcPr>
          <w:p>
            <w:pPr>
              <w:pStyle w:val="TableText"/>
              <w:keepNext/>
              <w:widowControl/>
              <w:jc w:val="center"/>
            </w:pPr>
            <w:r>
              <w:rPr>
                <w:b/>
                <w:sz w:val="18"/>
              </w:rPr>
              <w:t>Gemini High</w:t>
            </w:r>
          </w:p>
        </w:tc>
      </w:tr>
      <w:tr>
        <w:trPr>
          <w:cantSplit/>
        </w:trPr>
        <w:tc>
          <w:tcPr>
            <w:tcW w:type="dxa" w:w="1531"/>
            <w:vAlign w:val="center"/>
            <w:tcMar>
              <w:top w:w="65" w:type="dxa"/>
              <w:left w:w="65" w:type="dxa"/>
              <w:bottom w:w="65" w:type="dxa"/>
              <w:right w:w="65" w:type="dxa"/>
            </w:tcMar>
          </w:tcPr>
          <w:p>
            <w:pPr>
              <w:pStyle w:val="TableText"/>
              <w:keepNext/>
              <w:widowControl/>
              <w:jc w:val="left"/>
            </w:pPr>
            <w:r>
              <w:rPr>
                <w:b w:val="0"/>
                <w:sz w:val="18"/>
              </w:rPr>
              <w:t>모델</w:t>
            </w:r>
          </w:p>
        </w:tc>
        <w:tc>
          <w:tcPr>
            <w:tcW w:type="dxa" w:w="1602"/>
            <w:vAlign w:val="center"/>
            <w:tcMar>
              <w:top w:w="65" w:type="dxa"/>
              <w:left w:w="65" w:type="dxa"/>
              <w:bottom w:w="65" w:type="dxa"/>
              <w:right w:w="65" w:type="dxa"/>
            </w:tcMar>
          </w:tcPr>
          <w:p>
            <w:pPr>
              <w:pStyle w:val="TableText"/>
              <w:keepNext/>
              <w:widowControl/>
              <w:jc w:val="left"/>
            </w:pPr>
            <w:r>
              <w:rPr>
                <w:b w:val="0"/>
                <w:sz w:val="18"/>
              </w:rPr>
              <w:t>5.4-mini</w:t>
              <w:br/>
              <w:t>2026-03-17</w:t>
            </w:r>
          </w:p>
        </w:tc>
        <w:tc>
          <w:tcPr>
            <w:tcW w:type="dxa" w:w="1602"/>
            <w:vAlign w:val="center"/>
            <w:tcMar>
              <w:top w:w="65" w:type="dxa"/>
              <w:left w:w="65" w:type="dxa"/>
              <w:bottom w:w="65" w:type="dxa"/>
              <w:right w:w="65" w:type="dxa"/>
            </w:tcMar>
          </w:tcPr>
          <w:p>
            <w:pPr>
              <w:pStyle w:val="TableText"/>
              <w:keepNext/>
              <w:widowControl/>
              <w:jc w:val="left"/>
            </w:pPr>
            <w:r>
              <w:rPr>
                <w:b w:val="0"/>
                <w:sz w:val="18"/>
              </w:rPr>
              <w:t>같은 snapshot</w:t>
            </w:r>
          </w:p>
        </w:tc>
        <w:tc>
          <w:tcPr>
            <w:tcW w:type="dxa" w:w="1602"/>
            <w:vAlign w:val="center"/>
            <w:tcMar>
              <w:top w:w="65" w:type="dxa"/>
              <w:left w:w="65" w:type="dxa"/>
              <w:bottom w:w="65" w:type="dxa"/>
              <w:right w:w="65" w:type="dxa"/>
            </w:tcMar>
          </w:tcPr>
          <w:p>
            <w:pPr>
              <w:pStyle w:val="TableText"/>
              <w:keepNext/>
              <w:widowControl/>
              <w:jc w:val="left"/>
            </w:pPr>
            <w:r>
              <w:rPr>
                <w:b w:val="0"/>
                <w:sz w:val="18"/>
              </w:rPr>
              <w:t>3.1-flash-lite</w:t>
            </w:r>
          </w:p>
        </w:tc>
        <w:tc>
          <w:tcPr>
            <w:tcW w:type="dxa" w:w="1602"/>
            <w:vAlign w:val="center"/>
            <w:tcMar>
              <w:top w:w="65" w:type="dxa"/>
              <w:left w:w="65" w:type="dxa"/>
              <w:bottom w:w="65" w:type="dxa"/>
              <w:right w:w="65" w:type="dxa"/>
            </w:tcMar>
          </w:tcPr>
          <w:p>
            <w:pPr>
              <w:pStyle w:val="TableText"/>
              <w:keepNext/>
              <w:widowControl/>
              <w:jc w:val="left"/>
            </w:pPr>
            <w:r>
              <w:rPr>
                <w:b w:val="0"/>
                <w:sz w:val="18"/>
              </w:rPr>
              <w:t>같은 모델 ID</w:t>
            </w:r>
          </w:p>
        </w:tc>
      </w:tr>
      <w:tr>
        <w:trPr>
          <w:cantSplit/>
        </w:trPr>
        <w:tc>
          <w:tcPr>
            <w:tcW w:type="dxa" w:w="1531"/>
            <w:vAlign w:val="center"/>
            <w:tcMar>
              <w:top w:w="65" w:type="dxa"/>
              <w:left w:w="65" w:type="dxa"/>
              <w:bottom w:w="65" w:type="dxa"/>
              <w:right w:w="65" w:type="dxa"/>
            </w:tcMar>
          </w:tcPr>
          <w:p>
            <w:pPr>
              <w:pStyle w:val="TableText"/>
              <w:keepNext w:val="0"/>
              <w:widowControl/>
              <w:jc w:val="left"/>
            </w:pPr>
            <w:r>
              <w:rPr>
                <w:b w:val="0"/>
                <w:sz w:val="18"/>
              </w:rPr>
              <w:t>추론 설정</w:t>
            </w:r>
          </w:p>
        </w:tc>
        <w:tc>
          <w:tcPr>
            <w:tcW w:type="dxa" w:w="1602"/>
            <w:vAlign w:val="center"/>
            <w:tcMar>
              <w:top w:w="65" w:type="dxa"/>
              <w:left w:w="65" w:type="dxa"/>
              <w:bottom w:w="65" w:type="dxa"/>
              <w:right w:w="65" w:type="dxa"/>
            </w:tcMar>
          </w:tcPr>
          <w:p>
            <w:pPr>
              <w:pStyle w:val="TableText"/>
              <w:keepNext w:val="0"/>
              <w:widowControl/>
              <w:jc w:val="left"/>
            </w:pPr>
            <w:r>
              <w:rPr>
                <w:b w:val="0"/>
                <w:sz w:val="18"/>
              </w:rPr>
              <w:t>none</w:t>
            </w:r>
          </w:p>
        </w:tc>
        <w:tc>
          <w:tcPr>
            <w:tcW w:type="dxa" w:w="1602"/>
            <w:vAlign w:val="center"/>
            <w:tcMar>
              <w:top w:w="65" w:type="dxa"/>
              <w:left w:w="65" w:type="dxa"/>
              <w:bottom w:w="65" w:type="dxa"/>
              <w:right w:w="65" w:type="dxa"/>
            </w:tcMar>
          </w:tcPr>
          <w:p>
            <w:pPr>
              <w:pStyle w:val="TableText"/>
              <w:keepNext w:val="0"/>
              <w:widowControl/>
              <w:jc w:val="left"/>
            </w:pPr>
            <w:r>
              <w:rPr>
                <w:b w:val="0"/>
                <w:sz w:val="18"/>
              </w:rPr>
              <w:t>high</w:t>
            </w:r>
          </w:p>
        </w:tc>
        <w:tc>
          <w:tcPr>
            <w:tcW w:type="dxa" w:w="1602"/>
            <w:vAlign w:val="center"/>
            <w:tcMar>
              <w:top w:w="65" w:type="dxa"/>
              <w:left w:w="65" w:type="dxa"/>
              <w:bottom w:w="65" w:type="dxa"/>
              <w:right w:w="65" w:type="dxa"/>
            </w:tcMar>
          </w:tcPr>
          <w:p>
            <w:pPr>
              <w:pStyle w:val="TableText"/>
              <w:keepNext w:val="0"/>
              <w:widowControl/>
              <w:jc w:val="left"/>
            </w:pPr>
            <w:r>
              <w:rPr>
                <w:b w:val="0"/>
                <w:sz w:val="18"/>
              </w:rPr>
              <w:t>minimal</w:t>
            </w:r>
          </w:p>
        </w:tc>
        <w:tc>
          <w:tcPr>
            <w:tcW w:type="dxa" w:w="1602"/>
            <w:vAlign w:val="center"/>
            <w:tcMar>
              <w:top w:w="65" w:type="dxa"/>
              <w:left w:w="65" w:type="dxa"/>
              <w:bottom w:w="65" w:type="dxa"/>
              <w:right w:w="65" w:type="dxa"/>
            </w:tcMar>
          </w:tcPr>
          <w:p>
            <w:pPr>
              <w:pStyle w:val="TableText"/>
              <w:keepNext w:val="0"/>
              <w:widowControl/>
              <w:jc w:val="left"/>
            </w:pPr>
            <w:r>
              <w:rPr>
                <w:b w:val="0"/>
                <w:sz w:val="18"/>
              </w:rPr>
              <w:t>high</w:t>
            </w:r>
          </w:p>
        </w:tc>
      </w:tr>
      <w:tr>
        <w:trPr>
          <w:cantSplit/>
        </w:trPr>
        <w:tc>
          <w:tcPr>
            <w:tcW w:type="dxa" w:w="1531"/>
            <w:vAlign w:val="center"/>
            <w:tcMar>
              <w:top w:w="65" w:type="dxa"/>
              <w:left w:w="65" w:type="dxa"/>
              <w:bottom w:w="65" w:type="dxa"/>
              <w:right w:w="65" w:type="dxa"/>
            </w:tcMar>
          </w:tcPr>
          <w:p>
            <w:pPr>
              <w:pStyle w:val="TableText"/>
              <w:keepNext w:val="0"/>
              <w:widowControl/>
              <w:jc w:val="left"/>
            </w:pPr>
            <w:r>
              <w:rPr>
                <w:b w:val="0"/>
                <w:sz w:val="18"/>
              </w:rPr>
              <w:t>최대 출력 토큰</w:t>
            </w:r>
          </w:p>
        </w:tc>
        <w:tc>
          <w:tcPr>
            <w:tcW w:type="dxa" w:w="1602"/>
            <w:vAlign w:val="center"/>
            <w:tcMar>
              <w:top w:w="65" w:type="dxa"/>
              <w:left w:w="65" w:type="dxa"/>
              <w:bottom w:w="65" w:type="dxa"/>
              <w:right w:w="65" w:type="dxa"/>
            </w:tcMar>
          </w:tcPr>
          <w:p>
            <w:pPr>
              <w:pStyle w:val="TableText"/>
              <w:keepNext w:val="0"/>
              <w:widowControl/>
              <w:jc w:val="left"/>
            </w:pPr>
            <w:r>
              <w:rPr>
                <w:b w:val="0"/>
                <w:sz w:val="18"/>
              </w:rPr>
              <w:t>4,096</w:t>
            </w:r>
          </w:p>
        </w:tc>
        <w:tc>
          <w:tcPr>
            <w:tcW w:type="dxa" w:w="1602"/>
            <w:vAlign w:val="center"/>
            <w:tcMar>
              <w:top w:w="65" w:type="dxa"/>
              <w:left w:w="65" w:type="dxa"/>
              <w:bottom w:w="65" w:type="dxa"/>
              <w:right w:w="65" w:type="dxa"/>
            </w:tcMar>
          </w:tcPr>
          <w:p>
            <w:pPr>
              <w:pStyle w:val="TableText"/>
              <w:keepNext w:val="0"/>
              <w:widowControl/>
              <w:jc w:val="left"/>
            </w:pPr>
            <w:r>
              <w:rPr>
                <w:b w:val="0"/>
                <w:sz w:val="18"/>
              </w:rPr>
              <w:t>32,768</w:t>
            </w:r>
          </w:p>
        </w:tc>
        <w:tc>
          <w:tcPr>
            <w:tcW w:type="dxa" w:w="1602"/>
            <w:vAlign w:val="center"/>
            <w:tcMar>
              <w:top w:w="65" w:type="dxa"/>
              <w:left w:w="65" w:type="dxa"/>
              <w:bottom w:w="65" w:type="dxa"/>
              <w:right w:w="65" w:type="dxa"/>
            </w:tcMar>
          </w:tcPr>
          <w:p>
            <w:pPr>
              <w:pStyle w:val="TableText"/>
              <w:keepNext w:val="0"/>
              <w:widowControl/>
              <w:jc w:val="left"/>
            </w:pPr>
            <w:r>
              <w:rPr>
                <w:b w:val="0"/>
                <w:sz w:val="18"/>
              </w:rPr>
              <w:t>4,096</w:t>
            </w:r>
          </w:p>
        </w:tc>
        <w:tc>
          <w:tcPr>
            <w:tcW w:type="dxa" w:w="1602"/>
            <w:vAlign w:val="center"/>
            <w:tcMar>
              <w:top w:w="65" w:type="dxa"/>
              <w:left w:w="65" w:type="dxa"/>
              <w:bottom w:w="65" w:type="dxa"/>
              <w:right w:w="65" w:type="dxa"/>
            </w:tcMar>
          </w:tcPr>
          <w:p>
            <w:pPr>
              <w:pStyle w:val="TableText"/>
              <w:keepNext w:val="0"/>
              <w:widowControl/>
              <w:jc w:val="left"/>
            </w:pPr>
            <w:r>
              <w:rPr>
                <w:b w:val="0"/>
                <w:sz w:val="18"/>
              </w:rPr>
              <w:t>32,768</w:t>
            </w:r>
          </w:p>
        </w:tc>
      </w:tr>
      <w:tr>
        <w:trPr>
          <w:cantSplit/>
        </w:trPr>
        <w:tc>
          <w:tcPr>
            <w:tcW w:type="dxa" w:w="1531"/>
            <w:vAlign w:val="center"/>
            <w:tcMar>
              <w:top w:w="65" w:type="dxa"/>
              <w:left w:w="65" w:type="dxa"/>
              <w:bottom w:w="65" w:type="dxa"/>
              <w:right w:w="65" w:type="dxa"/>
            </w:tcMar>
          </w:tcPr>
          <w:p>
            <w:pPr>
              <w:pStyle w:val="TableText"/>
              <w:keepNext w:val="0"/>
              <w:widowControl/>
              <w:jc w:val="left"/>
            </w:pPr>
            <w:r>
              <w:rPr>
                <w:b w:val="0"/>
                <w:sz w:val="18"/>
              </w:rPr>
              <w:t>호출 방식</w:t>
            </w:r>
          </w:p>
        </w:tc>
        <w:tc>
          <w:tcPr>
            <w:tcW w:type="dxa" w:w="1602"/>
            <w:vAlign w:val="center"/>
            <w:tcMar>
              <w:top w:w="65" w:type="dxa"/>
              <w:left w:w="65" w:type="dxa"/>
              <w:bottom w:w="65" w:type="dxa"/>
              <w:right w:w="65" w:type="dxa"/>
            </w:tcMar>
          </w:tcPr>
          <w:p>
            <w:pPr>
              <w:pStyle w:val="TableText"/>
              <w:keepNext w:val="0"/>
              <w:widowControl/>
              <w:jc w:val="left"/>
            </w:pPr>
            <w:r>
              <w:rPr>
                <w:b w:val="0"/>
                <w:sz w:val="18"/>
              </w:rPr>
              <w:t>Batch</w:t>
            </w:r>
          </w:p>
        </w:tc>
        <w:tc>
          <w:tcPr>
            <w:tcW w:type="dxa" w:w="1602"/>
            <w:vAlign w:val="center"/>
            <w:tcMar>
              <w:top w:w="65" w:type="dxa"/>
              <w:left w:w="65" w:type="dxa"/>
              <w:bottom w:w="65" w:type="dxa"/>
              <w:right w:w="65" w:type="dxa"/>
            </w:tcMar>
          </w:tcPr>
          <w:p>
            <w:pPr>
              <w:pStyle w:val="TableText"/>
              <w:keepNext w:val="0"/>
              <w:widowControl/>
              <w:jc w:val="left"/>
            </w:pPr>
            <w:r>
              <w:rPr>
                <w:b w:val="0"/>
                <w:sz w:val="18"/>
              </w:rPr>
              <w:t>Batch</w:t>
            </w:r>
          </w:p>
        </w:tc>
        <w:tc>
          <w:tcPr>
            <w:tcW w:type="dxa" w:w="1602"/>
            <w:vAlign w:val="center"/>
            <w:tcMar>
              <w:top w:w="65" w:type="dxa"/>
              <w:left w:w="65" w:type="dxa"/>
              <w:bottom w:w="65" w:type="dxa"/>
              <w:right w:w="65" w:type="dxa"/>
            </w:tcMar>
          </w:tcPr>
          <w:p>
            <w:pPr>
              <w:pStyle w:val="TableText"/>
              <w:keepNext w:val="0"/>
              <w:widowControl/>
              <w:jc w:val="left"/>
            </w:pPr>
            <w:r>
              <w:rPr>
                <w:b w:val="0"/>
                <w:sz w:val="18"/>
              </w:rPr>
              <w:t>Batch</w:t>
            </w:r>
          </w:p>
        </w:tc>
        <w:tc>
          <w:tcPr>
            <w:tcW w:type="dxa" w:w="1602"/>
            <w:vAlign w:val="center"/>
            <w:tcMar>
              <w:top w:w="65" w:type="dxa"/>
              <w:left w:w="65" w:type="dxa"/>
              <w:bottom w:w="65" w:type="dxa"/>
              <w:right w:w="65" w:type="dxa"/>
            </w:tcMar>
          </w:tcPr>
          <w:p>
            <w:pPr>
              <w:pStyle w:val="TableText"/>
              <w:keepNext w:val="0"/>
              <w:widowControl/>
              <w:jc w:val="left"/>
            </w:pPr>
            <w:r>
              <w:rPr>
                <w:b w:val="0"/>
                <w:sz w:val="18"/>
              </w:rPr>
              <w:t>Batch</w:t>
            </w:r>
          </w:p>
        </w:tc>
      </w:tr>
      <w:tr>
        <w:trPr>
          <w:cantSplit/>
        </w:trPr>
        <w:tc>
          <w:tcPr>
            <w:tcW w:type="dxa" w:w="1531"/>
            <w:vAlign w:val="center"/>
            <w:tcMar>
              <w:top w:w="65" w:type="dxa"/>
              <w:left w:w="65" w:type="dxa"/>
              <w:bottom w:w="65" w:type="dxa"/>
              <w:right w:w="65" w:type="dxa"/>
            </w:tcMar>
          </w:tcPr>
          <w:p>
            <w:pPr>
              <w:pStyle w:val="TableText"/>
              <w:keepNext w:val="0"/>
              <w:widowControl/>
              <w:jc w:val="left"/>
            </w:pPr>
            <w:r>
              <w:rPr>
                <w:b w:val="0"/>
                <w:sz w:val="18"/>
              </w:rPr>
              <w:t>도구 / native schema</w:t>
            </w:r>
          </w:p>
        </w:tc>
        <w:tc>
          <w:tcPr>
            <w:tcW w:type="dxa" w:w="1602"/>
            <w:vAlign w:val="center"/>
            <w:tcMar>
              <w:top w:w="65" w:type="dxa"/>
              <w:left w:w="65" w:type="dxa"/>
              <w:bottom w:w="65" w:type="dxa"/>
              <w:right w:w="65" w:type="dxa"/>
            </w:tcMar>
          </w:tcPr>
          <w:p>
            <w:pPr>
              <w:pStyle w:val="TableText"/>
              <w:keepNext w:val="0"/>
              <w:widowControl/>
              <w:jc w:val="left"/>
            </w:pPr>
            <w:r>
              <w:rPr>
                <w:b w:val="0"/>
                <w:sz w:val="18"/>
              </w:rPr>
              <w:t>사용 안 함</w:t>
            </w:r>
          </w:p>
        </w:tc>
        <w:tc>
          <w:tcPr>
            <w:tcW w:type="dxa" w:w="1602"/>
            <w:vAlign w:val="center"/>
            <w:tcMar>
              <w:top w:w="65" w:type="dxa"/>
              <w:left w:w="65" w:type="dxa"/>
              <w:bottom w:w="65" w:type="dxa"/>
              <w:right w:w="65" w:type="dxa"/>
            </w:tcMar>
          </w:tcPr>
          <w:p>
            <w:pPr>
              <w:pStyle w:val="TableText"/>
              <w:keepNext w:val="0"/>
              <w:widowControl/>
              <w:jc w:val="left"/>
            </w:pPr>
            <w:r>
              <w:rPr>
                <w:b w:val="0"/>
                <w:sz w:val="18"/>
              </w:rPr>
              <w:t>사용 안 함</w:t>
            </w:r>
          </w:p>
        </w:tc>
        <w:tc>
          <w:tcPr>
            <w:tcW w:type="dxa" w:w="1602"/>
            <w:vAlign w:val="center"/>
            <w:tcMar>
              <w:top w:w="65" w:type="dxa"/>
              <w:left w:w="65" w:type="dxa"/>
              <w:bottom w:w="65" w:type="dxa"/>
              <w:right w:w="65" w:type="dxa"/>
            </w:tcMar>
          </w:tcPr>
          <w:p>
            <w:pPr>
              <w:pStyle w:val="TableText"/>
              <w:keepNext w:val="0"/>
              <w:widowControl/>
              <w:jc w:val="left"/>
            </w:pPr>
            <w:r>
              <w:rPr>
                <w:b w:val="0"/>
                <w:sz w:val="18"/>
              </w:rPr>
              <w:t>사용 안 함</w:t>
            </w:r>
          </w:p>
        </w:tc>
        <w:tc>
          <w:tcPr>
            <w:tcW w:type="dxa" w:w="1602"/>
            <w:vAlign w:val="center"/>
            <w:tcMar>
              <w:top w:w="65" w:type="dxa"/>
              <w:left w:w="65" w:type="dxa"/>
              <w:bottom w:w="65" w:type="dxa"/>
              <w:right w:w="65" w:type="dxa"/>
            </w:tcMar>
          </w:tcPr>
          <w:p>
            <w:pPr>
              <w:pStyle w:val="TableText"/>
              <w:keepNext w:val="0"/>
              <w:widowControl/>
              <w:jc w:val="left"/>
            </w:pPr>
            <w:r>
              <w:rPr>
                <w:b w:val="0"/>
                <w:sz w:val="18"/>
              </w:rPr>
              <w:t>사용 안 함</w:t>
            </w:r>
          </w:p>
        </w:tc>
      </w:tr>
    </w:tbl>
    <w:p>
      <w:pPr>
        <w:pStyle w:val="SourceNote"/>
        <w:widowControl/>
      </w:pPr>
      <w:r>
        <w:t>자료: Baseline release_binding_sanitized.json, High artifacts/release.json. Gemini의 thoughts/output 한도를 고려한 기술적 변경이 High에 포함되었다. 모델 표시는 표 폭을 위해 축약했으며 정확한 ID는 부록 D에 제시한다.</w:t>
      </w:r>
    </w:p>
    <w:p>
      <w:pPr>
        <w:widowControl/>
      </w:pPr>
      <w:r>
        <w:t>두 공급자의 high라는 명칭이 같은 추론 토큰 수나 같은 계산량을 의미하지 않는다. 또한 High에서는 최대 출력 토큰도 함께 상향되었다. 후속 재검토는 해당 regime에서 생성한 C4를 사용하므로 부모 초안의 내용도 달라진다. 따라서 High−Baseline은 동일한 실험 구조와 참조규칙 아래의 생성 regime 비교이며, 다른 모든 것이 byte 단위로 동일한 상태에서 추론 설정 하나만 바뀐 효과라고 기술하지 않는다.</w:t>
      </w:r>
    </w:p>
    <w:p>
      <w:pPr>
        <w:widowControl/>
      </w:pPr>
      <w:r>
        <w:t>이번 하네스는 엄격한 JSON 응답을 프롬프트로 요구했지만 공급자의 native structured output 강제기능은 사용하지 않았다. 관측된 형식 오류는 이 생성·검증 조합에서의 결과이다. 이를 해당 모델이 어떤 구조화 출력 방식에서도 같은 비율로 실패한다는 고유한 성질로 일반화할 수 없다.</w:t>
      </w:r>
    </w:p>
    <w:p>
      <w:bookmarkStart w:id="60" w:name="head_52"/>
      <w:pPr>
        <w:pStyle w:val="2"/>
        <w:widowControl/>
      </w:pPr>
      <w:r>
        <w:t>3.6 정책조건·정보조건과 실행행렬</w:t>
      </w:r>
      <w:bookmarkEnd w:id="60"/>
    </w:p>
    <w:p>
      <w:bookmarkStart w:id="61" w:name="head_53"/>
      <w:pPr>
        <w:pStyle w:val="3"/>
        <w:widowControl/>
      </w:pPr>
      <w:r>
        <w:t>3.6.1 동일 초안의 재검토와 두 종류의 참조</w:t>
      </w:r>
      <w:bookmarkEnd w:id="61"/>
    </w:p>
    <w:p>
      <w:bookmarkStart w:id="62" w:name="cap_9"/>
      <w:pPr>
        <w:pStyle w:val="af"/>
        <w:widowControl/>
      </w:pPr>
      <w:r>
        <w:t>표 3-6. 최종 다섯 정책조건과 비교대상</w:t>
      </w:r>
      <w:bookmarkEnd w:id="62"/>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1020"/>
        <w:gridCol w:w="3515"/>
        <w:gridCol w:w="3402"/>
      </w:tblGrid>
      <w:tr>
        <w:trPr>
          <w:cantSplit/>
          <w:tblHeader/>
        </w:trPr>
        <w:tc>
          <w:tcPr>
            <w:tcW w:type="dxa" w:w="1020"/>
            <w:vAlign w:val="center"/>
            <w:shd w:fill="F1F1F1"/>
            <w:tcMar>
              <w:top w:w="65" w:type="dxa"/>
              <w:left w:w="65" w:type="dxa"/>
              <w:bottom w:w="65" w:type="dxa"/>
              <w:right w:w="65" w:type="dxa"/>
            </w:tcMar>
          </w:tcPr>
          <w:p>
            <w:pPr>
              <w:pStyle w:val="TableText"/>
              <w:keepNext/>
              <w:widowControl/>
              <w:jc w:val="center"/>
            </w:pPr>
            <w:r>
              <w:rPr>
                <w:b/>
                <w:sz w:val="18"/>
              </w:rPr>
              <w:t>조건</w:t>
            </w:r>
          </w:p>
        </w:tc>
        <w:tc>
          <w:tcPr>
            <w:tcW w:type="dxa" w:w="3515"/>
            <w:vAlign w:val="center"/>
            <w:shd w:fill="F1F1F1"/>
            <w:tcMar>
              <w:top w:w="65" w:type="dxa"/>
              <w:left w:w="65" w:type="dxa"/>
              <w:bottom w:w="65" w:type="dxa"/>
              <w:right w:w="65" w:type="dxa"/>
            </w:tcMar>
          </w:tcPr>
          <w:p>
            <w:pPr>
              <w:pStyle w:val="TableText"/>
              <w:keepNext/>
              <w:widowControl/>
              <w:jc w:val="center"/>
            </w:pPr>
            <w:r>
              <w:rPr>
                <w:b/>
                <w:sz w:val="18"/>
              </w:rPr>
              <w:t>생성 방식</w:t>
            </w:r>
          </w:p>
        </w:tc>
        <w:tc>
          <w:tcPr>
            <w:tcW w:type="dxa" w:w="3402"/>
            <w:vAlign w:val="center"/>
            <w:shd w:fill="F1F1F1"/>
            <w:tcMar>
              <w:top w:w="65" w:type="dxa"/>
              <w:left w:w="65" w:type="dxa"/>
              <w:bottom w:w="65" w:type="dxa"/>
              <w:right w:w="65" w:type="dxa"/>
            </w:tcMar>
          </w:tcPr>
          <w:p>
            <w:pPr>
              <w:pStyle w:val="TableText"/>
              <w:keepNext/>
              <w:widowControl/>
              <w:jc w:val="center"/>
            </w:pPr>
            <w:r>
              <w:rPr>
                <w:b/>
                <w:sz w:val="18"/>
              </w:rPr>
              <w:t>비교의 의미</w:t>
            </w:r>
          </w:p>
        </w:tc>
      </w:tr>
      <w:tr>
        <w:trPr>
          <w:cantSplit/>
        </w:trPr>
        <w:tc>
          <w:tcPr>
            <w:tcW w:type="dxa" w:w="1020"/>
            <w:vAlign w:val="center"/>
            <w:tcMar>
              <w:top w:w="65" w:type="dxa"/>
              <w:left w:w="65" w:type="dxa"/>
              <w:bottom w:w="65" w:type="dxa"/>
              <w:right w:w="65" w:type="dxa"/>
            </w:tcMar>
          </w:tcPr>
          <w:p>
            <w:pPr>
              <w:pStyle w:val="TableText"/>
              <w:keepNext/>
              <w:widowControl/>
              <w:jc w:val="left"/>
            </w:pPr>
            <w:r>
              <w:rPr>
                <w:b w:val="0"/>
                <w:sz w:val="18"/>
              </w:rPr>
              <w:t>C4</w:t>
            </w:r>
          </w:p>
        </w:tc>
        <w:tc>
          <w:tcPr>
            <w:tcW w:type="dxa" w:w="3515"/>
            <w:vAlign w:val="center"/>
            <w:tcMar>
              <w:top w:w="65" w:type="dxa"/>
              <w:left w:w="65" w:type="dxa"/>
              <w:bottom w:w="65" w:type="dxa"/>
              <w:right w:w="65" w:type="dxa"/>
            </w:tcMar>
          </w:tcPr>
          <w:p>
            <w:pPr>
              <w:pStyle w:val="TableText"/>
              <w:keepNext/>
              <w:widowControl/>
              <w:jc w:val="left"/>
            </w:pPr>
            <w:r>
              <w:rPr>
                <w:b w:val="0"/>
                <w:sz w:val="18"/>
              </w:rPr>
              <w:t>기업정보에서 직접 생성</w:t>
            </w:r>
          </w:p>
        </w:tc>
        <w:tc>
          <w:tcPr>
            <w:tcW w:type="dxa" w:w="3402"/>
            <w:vAlign w:val="center"/>
            <w:tcMar>
              <w:top w:w="65" w:type="dxa"/>
              <w:left w:w="65" w:type="dxa"/>
              <w:bottom w:w="65" w:type="dxa"/>
              <w:right w:w="65" w:type="dxa"/>
            </w:tcMar>
          </w:tcPr>
          <w:p>
            <w:pPr>
              <w:pStyle w:val="TableText"/>
              <w:keepNext/>
              <w:widowControl/>
              <w:jc w:val="left"/>
            </w:pPr>
            <w:r>
              <w:rPr>
                <w:b w:val="0"/>
                <w:sz w:val="18"/>
              </w:rPr>
              <w:t>첫 번째 권고의 기준</w:t>
            </w:r>
          </w:p>
        </w:tc>
      </w:tr>
      <w:tr>
        <w:trPr>
          <w:cantSplit/>
        </w:trPr>
        <w:tc>
          <w:tcPr>
            <w:tcW w:type="dxa" w:w="1020"/>
            <w:vAlign w:val="center"/>
            <w:tcMar>
              <w:top w:w="65" w:type="dxa"/>
              <w:left w:w="65" w:type="dxa"/>
              <w:bottom w:w="65" w:type="dxa"/>
              <w:right w:w="65" w:type="dxa"/>
            </w:tcMar>
          </w:tcPr>
          <w:p>
            <w:pPr>
              <w:pStyle w:val="TableText"/>
              <w:keepNext w:val="0"/>
              <w:widowControl/>
              <w:jc w:val="left"/>
            </w:pPr>
            <w:r>
              <w:rPr>
                <w:b w:val="0"/>
                <w:sz w:val="18"/>
              </w:rPr>
              <w:t>C5</w:t>
            </w:r>
          </w:p>
        </w:tc>
        <w:tc>
          <w:tcPr>
            <w:tcW w:type="dxa" w:w="3515"/>
            <w:vAlign w:val="center"/>
            <w:tcMar>
              <w:top w:w="65" w:type="dxa"/>
              <w:left w:w="65" w:type="dxa"/>
              <w:bottom w:w="65" w:type="dxa"/>
              <w:right w:w="65" w:type="dxa"/>
            </w:tcMar>
          </w:tcPr>
          <w:p>
            <w:pPr>
              <w:pStyle w:val="TableText"/>
              <w:keepNext w:val="0"/>
              <w:widowControl/>
              <w:jc w:val="left"/>
            </w:pPr>
            <w:r>
              <w:rPr>
                <w:b w:val="0"/>
                <w:sz w:val="18"/>
              </w:rPr>
              <w:t>같은 정보에 진단 scaffold를 추가하여 첫 생성</w:t>
            </w:r>
          </w:p>
        </w:tc>
        <w:tc>
          <w:tcPr>
            <w:tcW w:type="dxa" w:w="3402"/>
            <w:vAlign w:val="center"/>
            <w:tcMar>
              <w:top w:w="65" w:type="dxa"/>
              <w:left w:w="65" w:type="dxa"/>
              <w:bottom w:w="65" w:type="dxa"/>
              <w:right w:w="65" w:type="dxa"/>
            </w:tcMar>
          </w:tcPr>
          <w:p>
            <w:pPr>
              <w:pStyle w:val="TableText"/>
              <w:keepNext w:val="0"/>
              <w:widowControl/>
              <w:jc w:val="left"/>
            </w:pPr>
            <w:r>
              <w:rPr>
                <w:b w:val="0"/>
                <w:sz w:val="18"/>
              </w:rPr>
              <w:t>C4 대비 프롬프트 유도 효과</w:t>
            </w:r>
          </w:p>
        </w:tc>
      </w:tr>
      <w:tr>
        <w:trPr>
          <w:cantSplit/>
        </w:trPr>
        <w:tc>
          <w:tcPr>
            <w:tcW w:type="dxa" w:w="1020"/>
            <w:vAlign w:val="center"/>
            <w:tcMar>
              <w:top w:w="65" w:type="dxa"/>
              <w:left w:w="65" w:type="dxa"/>
              <w:bottom w:w="65" w:type="dxa"/>
              <w:right w:w="65" w:type="dxa"/>
            </w:tcMar>
          </w:tcPr>
          <w:p>
            <w:pPr>
              <w:pStyle w:val="TableText"/>
              <w:keepNext w:val="0"/>
              <w:widowControl/>
              <w:jc w:val="left"/>
            </w:pPr>
            <w:r>
              <w:rPr>
                <w:b w:val="0"/>
                <w:sz w:val="18"/>
              </w:rPr>
              <w:t>C4R</w:t>
            </w:r>
          </w:p>
        </w:tc>
        <w:tc>
          <w:tcPr>
            <w:tcW w:type="dxa" w:w="3515"/>
            <w:vAlign w:val="center"/>
            <w:tcMar>
              <w:top w:w="65" w:type="dxa"/>
              <w:left w:w="65" w:type="dxa"/>
              <w:bottom w:w="65" w:type="dxa"/>
              <w:right w:w="65" w:type="dxa"/>
            </w:tcMar>
          </w:tcPr>
          <w:p>
            <w:pPr>
              <w:pStyle w:val="TableText"/>
              <w:keepNext w:val="0"/>
              <w:widowControl/>
              <w:jc w:val="left"/>
            </w:pPr>
            <w:r>
              <w:rPr>
                <w:b w:val="0"/>
                <w:sz w:val="18"/>
              </w:rPr>
              <w:t>해당 Run의 동일 C4를 외부 참조 없이 재검토</w:t>
            </w:r>
          </w:p>
        </w:tc>
        <w:tc>
          <w:tcPr>
            <w:tcW w:type="dxa" w:w="3402"/>
            <w:vAlign w:val="center"/>
            <w:tcMar>
              <w:top w:w="65" w:type="dxa"/>
              <w:left w:w="65" w:type="dxa"/>
              <w:bottom w:w="65" w:type="dxa"/>
              <w:right w:w="65" w:type="dxa"/>
            </w:tcMar>
          </w:tcPr>
          <w:p>
            <w:pPr>
              <w:pStyle w:val="TableText"/>
              <w:keepNext w:val="0"/>
              <w:widowControl/>
              <w:jc w:val="left"/>
            </w:pPr>
            <w:r>
              <w:rPr>
                <w:b w:val="0"/>
                <w:sz w:val="18"/>
              </w:rPr>
              <w:t>초안을 다시 검토하는 효과</w:t>
            </w:r>
          </w:p>
        </w:tc>
      </w:tr>
      <w:tr>
        <w:trPr>
          <w:cantSplit/>
        </w:trPr>
        <w:tc>
          <w:tcPr>
            <w:tcW w:type="dxa" w:w="1020"/>
            <w:vAlign w:val="center"/>
            <w:tcMar>
              <w:top w:w="65" w:type="dxa"/>
              <w:left w:w="65" w:type="dxa"/>
              <w:bottom w:w="65" w:type="dxa"/>
              <w:right w:w="65" w:type="dxa"/>
            </w:tcMar>
          </w:tcPr>
          <w:p>
            <w:pPr>
              <w:pStyle w:val="TableText"/>
              <w:keepNext w:val="0"/>
              <w:widowControl/>
              <w:jc w:val="left"/>
            </w:pPr>
            <w:r>
              <w:rPr>
                <w:b w:val="0"/>
                <w:sz w:val="18"/>
              </w:rPr>
              <w:t>C6-E</w:t>
            </w:r>
          </w:p>
        </w:tc>
        <w:tc>
          <w:tcPr>
            <w:tcW w:type="dxa" w:w="3515"/>
            <w:vAlign w:val="center"/>
            <w:tcMar>
              <w:top w:w="65" w:type="dxa"/>
              <w:left w:w="65" w:type="dxa"/>
              <w:bottom w:w="65" w:type="dxa"/>
              <w:right w:w="65" w:type="dxa"/>
            </w:tcMar>
          </w:tcPr>
          <w:p>
            <w:pPr>
              <w:pStyle w:val="TableText"/>
              <w:keepNext w:val="0"/>
              <w:widowControl/>
              <w:jc w:val="left"/>
            </w:pPr>
            <w:r>
              <w:rPr>
                <w:b w:val="0"/>
                <w:sz w:val="18"/>
              </w:rPr>
              <w:t>동일 C4에 해당 기업의 C3-E 행동을 제공</w:t>
            </w:r>
          </w:p>
        </w:tc>
        <w:tc>
          <w:tcPr>
            <w:tcW w:type="dxa" w:w="3402"/>
            <w:vAlign w:val="center"/>
            <w:tcMar>
              <w:top w:w="65" w:type="dxa"/>
              <w:left w:w="65" w:type="dxa"/>
              <w:bottom w:w="65" w:type="dxa"/>
              <w:right w:w="65" w:type="dxa"/>
            </w:tcMar>
          </w:tcPr>
          <w:p>
            <w:pPr>
              <w:pStyle w:val="TableText"/>
              <w:keepNext w:val="0"/>
              <w:widowControl/>
              <w:jc w:val="left"/>
            </w:pPr>
            <w:r>
              <w:rPr>
                <w:b w:val="0"/>
                <w:sz w:val="18"/>
              </w:rPr>
              <w:t>C4R 대비 학습참조가 포함된 수정조건</w:t>
            </w:r>
          </w:p>
        </w:tc>
      </w:tr>
      <w:tr>
        <w:trPr>
          <w:cantSplit/>
        </w:trPr>
        <w:tc>
          <w:tcPr>
            <w:tcW w:type="dxa" w:w="1020"/>
            <w:vAlign w:val="center"/>
            <w:tcMar>
              <w:top w:w="65" w:type="dxa"/>
              <w:left w:w="65" w:type="dxa"/>
              <w:bottom w:w="65" w:type="dxa"/>
              <w:right w:w="65" w:type="dxa"/>
            </w:tcMar>
          </w:tcPr>
          <w:p>
            <w:pPr>
              <w:pStyle w:val="TableText"/>
              <w:keepNext w:val="0"/>
              <w:widowControl/>
              <w:jc w:val="left"/>
            </w:pPr>
            <w:r>
              <w:rPr>
                <w:b w:val="0"/>
                <w:sz w:val="18"/>
              </w:rPr>
              <w:t>C6-EX</w:t>
            </w:r>
          </w:p>
        </w:tc>
        <w:tc>
          <w:tcPr>
            <w:tcW w:type="dxa" w:w="3515"/>
            <w:vAlign w:val="center"/>
            <w:tcMar>
              <w:top w:w="65" w:type="dxa"/>
              <w:left w:w="65" w:type="dxa"/>
              <w:bottom w:w="65" w:type="dxa"/>
              <w:right w:w="65" w:type="dxa"/>
            </w:tcMar>
          </w:tcPr>
          <w:p>
            <w:pPr>
              <w:pStyle w:val="TableText"/>
              <w:keepNext w:val="0"/>
              <w:widowControl/>
              <w:jc w:val="left"/>
            </w:pPr>
            <w:r>
              <w:rPr>
                <w:b w:val="0"/>
                <w:sz w:val="18"/>
              </w:rPr>
              <w:t>동일 C4에 다른 기업으로부터 재배정한 참조를 제공</w:t>
            </w:r>
          </w:p>
        </w:tc>
        <w:tc>
          <w:tcPr>
            <w:tcW w:type="dxa" w:w="3402"/>
            <w:vAlign w:val="center"/>
            <w:tcMar>
              <w:top w:w="65" w:type="dxa"/>
              <w:left w:w="65" w:type="dxa"/>
              <w:bottom w:w="65" w:type="dxa"/>
              <w:right w:w="65" w:type="dxa"/>
            </w:tcMar>
          </w:tcPr>
          <w:p>
            <w:pPr>
              <w:pStyle w:val="TableText"/>
              <w:keepNext w:val="0"/>
              <w:widowControl/>
              <w:jc w:val="left"/>
            </w:pPr>
            <w:r>
              <w:rPr>
                <w:b w:val="0"/>
                <w:sz w:val="18"/>
              </w:rPr>
              <w:t>C6-E 대비 기업–참조 연결의 역할</w:t>
            </w:r>
          </w:p>
        </w:tc>
      </w:tr>
    </w:tbl>
    <w:p>
      <w:pPr>
        <w:pStyle w:val="SourceNote"/>
        <w:widowControl/>
      </w:pPr>
      <w:r>
        <w:t>자료: 최종 prompt 및 assignment 계약. C4R→C6-E의 연속 호출이 아니라 C4에서 각각 분기하는 조건이다. C5도 C4의 후속 응답이 아니다.</w:t>
      </w:r>
    </w:p>
    <w:p>
      <w:pPr>
        <w:widowControl/>
      </w:pPr>
      <w:r>
        <w:t>C6-E와 C6-EX에서는 참조 행동의 수치적 내용과 동일한 제시형식을 사용한다. 참조가 Oracle에 의해 최적이라고 알려주거나 참조의 사후 점수를 제공하지 않는다. 학습된 정책의 기업별 배정이 도움이 되는지를 보려면 단지 그럴듯한 행동을 더 보여준 효과와 구분해야 하므로, 참조의 주변분포를 유지하는 C6-EX를 대조로 사용한다.</w:t>
      </w:r>
    </w:p>
    <w:p>
      <w:pPr>
        <w:widowControl/>
      </w:pPr>
      <w:r>
        <w:t>C6-EX는 575개 기업의 C3-E 행동을 고정된 derangement로 재배정한다. 자신의 참조를 자신에게 돌려주는 donor 배정은 없지만, 여러 기업이 같은 행동을 선택하기 때문에 원래와 동일한 행동내용을 받는 경우는 남는다. 실제 같은 행동내용의 비율은 141/575, 약 24.5%이다. 이는 주변분포를 보존한 대조 설계의 특성이며, 이 충돌을 없애려고 사후에 다시 순열을 선택하지 않는다. 동일한 배정은 공급자와 행동예산 조건에 걸쳐 유지한다.</w:t>
      </w:r>
    </w:p>
    <w:p>
      <w:pPr>
        <w:widowControl/>
      </w:pPr>
      <w:r>
        <w:t>C6-E−C6-EX는 학습정책 참조가 아무 정보나 보여주는 것보다 좋은가라는 광범위한 질문과 같지 않다. 고정된 참조행동 분포 아래에서 기업과 행동을 원래대로 연결했을 때의 차이를 평가한다. 한 번의 고정 순열에 조건부인 결과이므로, 모든 무작위 참조 배정에 걸친 평균효과의 불확실성까지 포함했다고 주장하지 않는다.</w:t>
      </w:r>
    </w:p>
    <w:p>
      <w:bookmarkStart w:id="63" w:name="head_54"/>
      <w:pPr>
        <w:pStyle w:val="3"/>
        <w:widowControl/>
      </w:pPr>
      <w:r>
        <w:t>3.6.2 실제 제공정보의 차이</w:t>
      </w:r>
      <w:bookmarkEnd w:id="63"/>
    </w:p>
    <w:p>
      <w:pPr>
        <w:widowControl/>
      </w:pPr>
      <w:r>
        <w:t>최종 렌더러의 IC-a는 재무정보만이라는 추상적 명칭과 달리, 23개 파생 재무특징에 fiscal_year, log_assets, market을 포함한다. IC-b는 여기에 industry_class 하나를 추가하고, IC-c는 firm_name을 추가한다. 즉 산업정보를 비교할 때 연도와 기업규모가 함께 추가되는 설계가 아니다. 필드 집합은 IC-a 26개, IC-b 27개, IC-c 28개로 구분한다.</w:t>
      </w:r>
    </w:p>
    <w:p>
      <w:pPr>
        <w:widowControl/>
      </w:pPr>
      <w:r>
        <w:t>재무특징에는 부채·자본·유동성 비율, 수익성, 비용부담, 투자, 부채구성, 운전자본 및 전년 대비 변화가 포함된다. debt_to_assets의 분자는 총부채이지만, 단기·장기·사채 구성비의 분모는 이자부부채이므로 동일한 debt라는 단어를 쓰더라도 의미를 구분한다. 필요한 값이 없으면 null로 제시하며, 결측을 0으로 채우거나 Oracle 평가값을 입력으로 노출하지 않는다.</w:t>
      </w:r>
    </w:p>
    <w:p>
      <w:pPr>
        <w:widowControl/>
      </w:pPr>
      <w:r>
        <w:t>정보조건 비교는 C4/free8/B1에서 수행한다. 다른 정책조건까지 모든 정보수준을 교차한 실험이 아니므로, 이 결과만으로 자기 재검토나 참조의 정보조건별 효과를 일반화하지 않는다. 최종 실행의 기업명 공개 효과와 구형 인식 프로브 결과를 합쳐 사전학습 오염이 없었다고 결론내리지 않는다.</w:t>
      </w:r>
    </w:p>
    <w:p>
      <w:bookmarkStart w:id="64" w:name="cap_10"/>
      <w:pPr>
        <w:pStyle w:val="af"/>
        <w:widowControl/>
      </w:pPr>
      <w:r>
        <w:t>표 3-7. 정보조건별 실제 차이</w:t>
      </w:r>
      <w:bookmarkEnd w:id="64"/>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1134"/>
        <w:gridCol w:w="3969"/>
        <w:gridCol w:w="2835"/>
      </w:tblGrid>
      <w:tr>
        <w:trPr>
          <w:cantSplit/>
          <w:tblHeader/>
        </w:trPr>
        <w:tc>
          <w:tcPr>
            <w:tcW w:type="dxa" w:w="1134"/>
            <w:vAlign w:val="center"/>
            <w:shd w:fill="F1F1F1"/>
            <w:tcMar>
              <w:top w:w="65" w:type="dxa"/>
              <w:left w:w="65" w:type="dxa"/>
              <w:bottom w:w="65" w:type="dxa"/>
              <w:right w:w="65" w:type="dxa"/>
            </w:tcMar>
          </w:tcPr>
          <w:p>
            <w:pPr>
              <w:pStyle w:val="TableText"/>
              <w:keepNext/>
              <w:widowControl/>
              <w:jc w:val="center"/>
            </w:pPr>
            <w:r>
              <w:rPr>
                <w:b/>
                <w:sz w:val="18"/>
              </w:rPr>
              <w:t>조건</w:t>
            </w:r>
          </w:p>
        </w:tc>
        <w:tc>
          <w:tcPr>
            <w:tcW w:type="dxa" w:w="3969"/>
            <w:vAlign w:val="center"/>
            <w:shd w:fill="F1F1F1"/>
            <w:tcMar>
              <w:top w:w="65" w:type="dxa"/>
              <w:left w:w="65" w:type="dxa"/>
              <w:bottom w:w="65" w:type="dxa"/>
              <w:right w:w="65" w:type="dxa"/>
            </w:tcMar>
          </w:tcPr>
          <w:p>
            <w:pPr>
              <w:pStyle w:val="TableText"/>
              <w:keepNext/>
              <w:widowControl/>
              <w:jc w:val="center"/>
            </w:pPr>
            <w:r>
              <w:rPr>
                <w:b/>
                <w:sz w:val="18"/>
              </w:rPr>
              <w:t>필드 구성</w:t>
            </w:r>
          </w:p>
        </w:tc>
        <w:tc>
          <w:tcPr>
            <w:tcW w:type="dxa" w:w="2835"/>
            <w:vAlign w:val="center"/>
            <w:shd w:fill="F1F1F1"/>
            <w:tcMar>
              <w:top w:w="65" w:type="dxa"/>
              <w:left w:w="65" w:type="dxa"/>
              <w:bottom w:w="65" w:type="dxa"/>
              <w:right w:w="65" w:type="dxa"/>
            </w:tcMar>
          </w:tcPr>
          <w:p>
            <w:pPr>
              <w:pStyle w:val="TableText"/>
              <w:keepNext/>
              <w:widowControl/>
              <w:jc w:val="center"/>
            </w:pPr>
            <w:r>
              <w:rPr>
                <w:b/>
                <w:sz w:val="18"/>
              </w:rPr>
              <w:t>추가로 달라지는 정보</w:t>
            </w:r>
          </w:p>
        </w:tc>
      </w:tr>
      <w:tr>
        <w:trPr>
          <w:cantSplit/>
        </w:trPr>
        <w:tc>
          <w:tcPr>
            <w:tcW w:type="dxa" w:w="1134"/>
            <w:vAlign w:val="center"/>
            <w:tcMar>
              <w:top w:w="65" w:type="dxa"/>
              <w:left w:w="65" w:type="dxa"/>
              <w:bottom w:w="65" w:type="dxa"/>
              <w:right w:w="65" w:type="dxa"/>
            </w:tcMar>
          </w:tcPr>
          <w:p>
            <w:pPr>
              <w:pStyle w:val="TableText"/>
              <w:keepNext/>
              <w:widowControl/>
              <w:jc w:val="left"/>
            </w:pPr>
            <w:r>
              <w:rPr>
                <w:b w:val="0"/>
                <w:sz w:val="18"/>
              </w:rPr>
              <w:t>IC-a</w:t>
            </w:r>
          </w:p>
        </w:tc>
        <w:tc>
          <w:tcPr>
            <w:tcW w:type="dxa" w:w="3969"/>
            <w:vAlign w:val="center"/>
            <w:tcMar>
              <w:top w:w="65" w:type="dxa"/>
              <w:left w:w="65" w:type="dxa"/>
              <w:bottom w:w="65" w:type="dxa"/>
              <w:right w:w="65" w:type="dxa"/>
            </w:tcMar>
          </w:tcPr>
          <w:p>
            <w:pPr>
              <w:pStyle w:val="TableText"/>
              <w:keepNext/>
              <w:widowControl/>
              <w:jc w:val="left"/>
            </w:pPr>
            <w:r>
              <w:rPr>
                <w:b w:val="0"/>
                <w:sz w:val="18"/>
              </w:rPr>
              <w:t>23 재무특징 + 연도·log 자산·시장</w:t>
            </w:r>
          </w:p>
        </w:tc>
        <w:tc>
          <w:tcPr>
            <w:tcW w:type="dxa" w:w="2835"/>
            <w:vAlign w:val="center"/>
            <w:tcMar>
              <w:top w:w="65" w:type="dxa"/>
              <w:left w:w="65" w:type="dxa"/>
              <w:bottom w:w="65" w:type="dxa"/>
              <w:right w:w="65" w:type="dxa"/>
            </w:tcMar>
          </w:tcPr>
          <w:p>
            <w:pPr>
              <w:pStyle w:val="TableText"/>
              <w:keepNext/>
              <w:widowControl/>
              <w:jc w:val="left"/>
            </w:pPr>
            <w:r>
              <w:rPr>
                <w:b w:val="0"/>
                <w:sz w:val="18"/>
              </w:rPr>
              <w:t>기준 26개; 기업명과 업종코드 없음</w:t>
            </w:r>
          </w:p>
        </w:tc>
      </w:tr>
      <w:tr>
        <w:trPr>
          <w:cantSplit/>
        </w:trPr>
        <w:tc>
          <w:tcPr>
            <w:tcW w:type="dxa" w:w="1134"/>
            <w:vAlign w:val="center"/>
            <w:tcMar>
              <w:top w:w="65" w:type="dxa"/>
              <w:left w:w="65" w:type="dxa"/>
              <w:bottom w:w="65" w:type="dxa"/>
              <w:right w:w="65" w:type="dxa"/>
            </w:tcMar>
          </w:tcPr>
          <w:p>
            <w:pPr>
              <w:pStyle w:val="TableText"/>
              <w:keepNext w:val="0"/>
              <w:widowControl/>
              <w:jc w:val="left"/>
            </w:pPr>
            <w:r>
              <w:rPr>
                <w:b w:val="0"/>
                <w:sz w:val="18"/>
              </w:rPr>
              <w:t>IC-b</w:t>
            </w:r>
          </w:p>
        </w:tc>
        <w:tc>
          <w:tcPr>
            <w:tcW w:type="dxa" w:w="3969"/>
            <w:vAlign w:val="center"/>
            <w:tcMar>
              <w:top w:w="65" w:type="dxa"/>
              <w:left w:w="65" w:type="dxa"/>
              <w:bottom w:w="65" w:type="dxa"/>
              <w:right w:w="65" w:type="dxa"/>
            </w:tcMar>
          </w:tcPr>
          <w:p>
            <w:pPr>
              <w:pStyle w:val="TableText"/>
              <w:keepNext w:val="0"/>
              <w:widowControl/>
              <w:jc w:val="left"/>
            </w:pPr>
            <w:r>
              <w:rPr>
                <w:b w:val="0"/>
                <w:sz w:val="18"/>
              </w:rPr>
              <w:t>IC-a + industry_class</w:t>
            </w:r>
          </w:p>
        </w:tc>
        <w:tc>
          <w:tcPr>
            <w:tcW w:type="dxa" w:w="2835"/>
            <w:vAlign w:val="center"/>
            <w:tcMar>
              <w:top w:w="65" w:type="dxa"/>
              <w:left w:w="65" w:type="dxa"/>
              <w:bottom w:w="65" w:type="dxa"/>
              <w:right w:w="65" w:type="dxa"/>
            </w:tcMar>
          </w:tcPr>
          <w:p>
            <w:pPr>
              <w:pStyle w:val="TableText"/>
              <w:keepNext w:val="0"/>
              <w:widowControl/>
              <w:jc w:val="left"/>
            </w:pPr>
            <w:r>
              <w:rPr>
                <w:b w:val="0"/>
                <w:sz w:val="18"/>
              </w:rPr>
              <w:t>조회시점 OpenDART 업종코드 1개</w:t>
            </w:r>
          </w:p>
        </w:tc>
      </w:tr>
      <w:tr>
        <w:trPr>
          <w:cantSplit/>
        </w:trPr>
        <w:tc>
          <w:tcPr>
            <w:tcW w:type="dxa" w:w="1134"/>
            <w:vAlign w:val="center"/>
            <w:tcMar>
              <w:top w:w="65" w:type="dxa"/>
              <w:left w:w="65" w:type="dxa"/>
              <w:bottom w:w="65" w:type="dxa"/>
              <w:right w:w="65" w:type="dxa"/>
            </w:tcMar>
          </w:tcPr>
          <w:p>
            <w:pPr>
              <w:pStyle w:val="TableText"/>
              <w:keepNext w:val="0"/>
              <w:widowControl/>
              <w:jc w:val="left"/>
            </w:pPr>
            <w:r>
              <w:rPr>
                <w:b w:val="0"/>
                <w:sz w:val="18"/>
              </w:rPr>
              <w:t>IC-c</w:t>
            </w:r>
          </w:p>
        </w:tc>
        <w:tc>
          <w:tcPr>
            <w:tcW w:type="dxa" w:w="3969"/>
            <w:vAlign w:val="center"/>
            <w:tcMar>
              <w:top w:w="65" w:type="dxa"/>
              <w:left w:w="65" w:type="dxa"/>
              <w:bottom w:w="65" w:type="dxa"/>
              <w:right w:w="65" w:type="dxa"/>
            </w:tcMar>
          </w:tcPr>
          <w:p>
            <w:pPr>
              <w:pStyle w:val="TableText"/>
              <w:keepNext w:val="0"/>
              <w:widowControl/>
              <w:jc w:val="left"/>
            </w:pPr>
            <w:r>
              <w:rPr>
                <w:b w:val="0"/>
                <w:sz w:val="18"/>
              </w:rPr>
              <w:t>IC-b + firm_name</w:t>
            </w:r>
          </w:p>
        </w:tc>
        <w:tc>
          <w:tcPr>
            <w:tcW w:type="dxa" w:w="2835"/>
            <w:vAlign w:val="center"/>
            <w:tcMar>
              <w:top w:w="65" w:type="dxa"/>
              <w:left w:w="65" w:type="dxa"/>
              <w:bottom w:w="65" w:type="dxa"/>
              <w:right w:w="65" w:type="dxa"/>
            </w:tcMar>
          </w:tcPr>
          <w:p>
            <w:pPr>
              <w:pStyle w:val="TableText"/>
              <w:keepNext w:val="0"/>
              <w:widowControl/>
              <w:jc w:val="left"/>
            </w:pPr>
            <w:r>
              <w:rPr>
                <w:b w:val="0"/>
                <w:sz w:val="18"/>
              </w:rPr>
              <w:t>기업명 1개</w:t>
            </w:r>
          </w:p>
        </w:tc>
      </w:tr>
    </w:tbl>
    <w:p>
      <w:pPr>
        <w:pStyle w:val="SourceNote"/>
        <w:widowControl/>
      </w:pPr>
      <w:r>
        <w:t>자료: 최종 prompt_contract의 information_conditions와 feature_dictionary. IC-b−IC-a는 이 업종코드 표현을 추가한 대비이다.</w:t>
      </w:r>
    </w:p>
    <w:p>
      <w:bookmarkStart w:id="65" w:name="head_55"/>
      <w:pPr>
        <w:pStyle w:val="3"/>
        <w:widowControl/>
      </w:pPr>
      <w:r>
        <w:t>3.6.3 Main Run1과 Stability Run2</w:t>
      </w:r>
      <w:bookmarkEnd w:id="65"/>
    </w:p>
    <w:p>
      <w:bookmarkStart w:id="66" w:name="cap_11"/>
      <w:pPr>
        <w:pStyle w:val="af"/>
        <w:widowControl/>
      </w:pPr>
      <w:r>
        <w:t>표 3-8. 모델·regime 하나당 실행행렬</w:t>
      </w:r>
      <w:bookmarkEnd w:id="66"/>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907"/>
        <w:gridCol w:w="4535"/>
        <w:gridCol w:w="850"/>
        <w:gridCol w:w="1644"/>
      </w:tblGrid>
      <w:tr>
        <w:trPr>
          <w:cantSplit/>
          <w:tblHeader/>
        </w:trPr>
        <w:tc>
          <w:tcPr>
            <w:tcW w:type="dxa" w:w="907"/>
            <w:vAlign w:val="center"/>
            <w:shd w:fill="F1F1F1"/>
            <w:tcMar>
              <w:top w:w="65" w:type="dxa"/>
              <w:left w:w="65" w:type="dxa"/>
              <w:bottom w:w="65" w:type="dxa"/>
              <w:right w:w="65" w:type="dxa"/>
            </w:tcMar>
          </w:tcPr>
          <w:p>
            <w:pPr>
              <w:pStyle w:val="TableText"/>
              <w:keepNext/>
              <w:widowControl/>
              <w:jc w:val="center"/>
            </w:pPr>
            <w:r>
              <w:rPr>
                <w:b/>
                <w:sz w:val="18"/>
              </w:rPr>
              <w:t>실행</w:t>
            </w:r>
          </w:p>
        </w:tc>
        <w:tc>
          <w:tcPr>
            <w:tcW w:type="dxa" w:w="4535"/>
            <w:vAlign w:val="center"/>
            <w:shd w:fill="F1F1F1"/>
            <w:tcMar>
              <w:top w:w="65" w:type="dxa"/>
              <w:left w:w="65" w:type="dxa"/>
              <w:bottom w:w="65" w:type="dxa"/>
              <w:right w:w="65" w:type="dxa"/>
            </w:tcMar>
          </w:tcPr>
          <w:p>
            <w:pPr>
              <w:pStyle w:val="TableText"/>
              <w:keepNext/>
              <w:widowControl/>
              <w:jc w:val="center"/>
            </w:pPr>
            <w:r>
              <w:rPr>
                <w:b/>
                <w:sz w:val="18"/>
              </w:rPr>
              <w:t>조건 묶음</w:t>
            </w:r>
          </w:p>
        </w:tc>
        <w:tc>
          <w:tcPr>
            <w:tcW w:type="dxa" w:w="850"/>
            <w:vAlign w:val="center"/>
            <w:shd w:fill="F1F1F1"/>
            <w:tcMar>
              <w:top w:w="65" w:type="dxa"/>
              <w:left w:w="65" w:type="dxa"/>
              <w:bottom w:w="65" w:type="dxa"/>
              <w:right w:w="65" w:type="dxa"/>
            </w:tcMar>
          </w:tcPr>
          <w:p>
            <w:pPr>
              <w:pStyle w:val="TableText"/>
              <w:keepNext/>
              <w:widowControl/>
              <w:jc w:val="center"/>
            </w:pPr>
            <w:r>
              <w:rPr>
                <w:b/>
                <w:sz w:val="18"/>
              </w:rPr>
              <w:t>셀 수</w:t>
            </w:r>
          </w:p>
        </w:tc>
        <w:tc>
          <w:tcPr>
            <w:tcW w:type="dxa" w:w="1644"/>
            <w:vAlign w:val="center"/>
            <w:shd w:fill="F1F1F1"/>
            <w:tcMar>
              <w:top w:w="65" w:type="dxa"/>
              <w:left w:w="65" w:type="dxa"/>
              <w:bottom w:w="65" w:type="dxa"/>
              <w:right w:w="65" w:type="dxa"/>
            </w:tcMar>
          </w:tcPr>
          <w:p>
            <w:pPr>
              <w:pStyle w:val="TableText"/>
              <w:keepNext/>
              <w:widowControl/>
              <w:jc w:val="center"/>
            </w:pPr>
            <w:r>
              <w:rPr>
                <w:b/>
                <w:sz w:val="18"/>
              </w:rPr>
              <w:t>요청 수</w:t>
            </w:r>
          </w:p>
        </w:tc>
      </w:tr>
      <w:tr>
        <w:trPr>
          <w:cantSplit/>
        </w:trPr>
        <w:tc>
          <w:tcPr>
            <w:tcW w:type="dxa" w:w="907"/>
            <w:vAlign w:val="center"/>
            <w:tcMar>
              <w:top w:w="65" w:type="dxa"/>
              <w:left w:w="65" w:type="dxa"/>
              <w:bottom w:w="65" w:type="dxa"/>
              <w:right w:w="65" w:type="dxa"/>
            </w:tcMar>
          </w:tcPr>
          <w:p>
            <w:pPr>
              <w:pStyle w:val="TableText"/>
              <w:keepNext/>
              <w:widowControl/>
              <w:jc w:val="left"/>
            </w:pPr>
            <w:r>
              <w:rPr>
                <w:b w:val="0"/>
                <w:sz w:val="18"/>
              </w:rPr>
              <w:t>Run1</w:t>
            </w:r>
          </w:p>
        </w:tc>
        <w:tc>
          <w:tcPr>
            <w:tcW w:type="dxa" w:w="4535"/>
            <w:vAlign w:val="center"/>
            <w:tcMar>
              <w:top w:w="65" w:type="dxa"/>
              <w:left w:w="65" w:type="dxa"/>
              <w:bottom w:w="65" w:type="dxa"/>
              <w:right w:w="65" w:type="dxa"/>
            </w:tcMar>
          </w:tcPr>
          <w:p>
            <w:pPr>
              <w:pStyle w:val="TableText"/>
              <w:keepNext/>
              <w:widowControl/>
              <w:jc w:val="left"/>
            </w:pPr>
            <w:r>
              <w:rPr>
                <w:b w:val="0"/>
                <w:sz w:val="18"/>
              </w:rPr>
              <w:t>free8 / IC-b / B1 × 다섯 정책</w:t>
            </w:r>
          </w:p>
        </w:tc>
        <w:tc>
          <w:tcPr>
            <w:tcW w:type="dxa" w:w="850"/>
            <w:vAlign w:val="center"/>
            <w:tcMar>
              <w:top w:w="65" w:type="dxa"/>
              <w:left w:w="65" w:type="dxa"/>
              <w:bottom w:w="65" w:type="dxa"/>
              <w:right w:w="65" w:type="dxa"/>
            </w:tcMar>
          </w:tcPr>
          <w:p>
            <w:pPr>
              <w:pStyle w:val="TableText"/>
              <w:keepNext/>
              <w:widowControl/>
              <w:jc w:val="left"/>
            </w:pPr>
            <w:r>
              <w:rPr>
                <w:b w:val="0"/>
                <w:sz w:val="18"/>
              </w:rPr>
              <w:t>5</w:t>
            </w:r>
          </w:p>
        </w:tc>
        <w:tc>
          <w:tcPr>
            <w:tcW w:type="dxa" w:w="1644"/>
            <w:vAlign w:val="center"/>
            <w:tcMar>
              <w:top w:w="65" w:type="dxa"/>
              <w:left w:w="65" w:type="dxa"/>
              <w:bottom w:w="65" w:type="dxa"/>
              <w:right w:w="65" w:type="dxa"/>
            </w:tcMar>
          </w:tcPr>
          <w:p>
            <w:pPr>
              <w:pStyle w:val="TableText"/>
              <w:keepNext/>
              <w:widowControl/>
              <w:jc w:val="left"/>
            </w:pPr>
            <w:r>
              <w:rPr>
                <w:b w:val="0"/>
                <w:sz w:val="18"/>
              </w:rPr>
              <w:t>2,875</w:t>
            </w:r>
          </w:p>
        </w:tc>
      </w:tr>
      <w:tr>
        <w:trPr>
          <w:cantSplit/>
        </w:trPr>
        <w:tc>
          <w:tcPr>
            <w:tcW w:type="dxa" w:w="907"/>
            <w:vAlign w:val="center"/>
            <w:tcMar>
              <w:top w:w="65" w:type="dxa"/>
              <w:left w:w="65" w:type="dxa"/>
              <w:bottom w:w="65" w:type="dxa"/>
              <w:right w:w="65" w:type="dxa"/>
            </w:tcMar>
          </w:tcPr>
          <w:p>
            <w:pPr>
              <w:pStyle w:val="TableText"/>
              <w:keepNext w:val="0"/>
              <w:widowControl/>
              <w:jc w:val="left"/>
            </w:pPr>
            <w:r>
              <w:rPr>
                <w:b w:val="0"/>
                <w:sz w:val="18"/>
              </w:rPr>
              <w:t>Run1</w:t>
            </w:r>
          </w:p>
        </w:tc>
        <w:tc>
          <w:tcPr>
            <w:tcW w:type="dxa" w:w="4535"/>
            <w:vAlign w:val="center"/>
            <w:tcMar>
              <w:top w:w="65" w:type="dxa"/>
              <w:left w:w="65" w:type="dxa"/>
              <w:bottom w:w="65" w:type="dxa"/>
              <w:right w:w="65" w:type="dxa"/>
            </w:tcMar>
          </w:tcPr>
          <w:p>
            <w:pPr>
              <w:pStyle w:val="TableText"/>
              <w:keepNext w:val="0"/>
              <w:widowControl/>
              <w:jc w:val="left"/>
            </w:pPr>
            <w:r>
              <w:rPr>
                <w:b w:val="0"/>
                <w:sz w:val="18"/>
              </w:rPr>
              <w:t>free8 / IC-b / BINF × 다섯 정책</w:t>
            </w:r>
          </w:p>
        </w:tc>
        <w:tc>
          <w:tcPr>
            <w:tcW w:type="dxa" w:w="850"/>
            <w:vAlign w:val="center"/>
            <w:tcMar>
              <w:top w:w="65" w:type="dxa"/>
              <w:left w:w="65" w:type="dxa"/>
              <w:bottom w:w="65" w:type="dxa"/>
              <w:right w:w="65" w:type="dxa"/>
            </w:tcMar>
          </w:tcPr>
          <w:p>
            <w:pPr>
              <w:pStyle w:val="TableText"/>
              <w:keepNext w:val="0"/>
              <w:widowControl/>
              <w:jc w:val="left"/>
            </w:pPr>
            <w:r>
              <w:rPr>
                <w:b w:val="0"/>
                <w:sz w:val="18"/>
              </w:rPr>
              <w:t>5</w:t>
            </w:r>
          </w:p>
        </w:tc>
        <w:tc>
          <w:tcPr>
            <w:tcW w:type="dxa" w:w="1644"/>
            <w:vAlign w:val="center"/>
            <w:tcMar>
              <w:top w:w="65" w:type="dxa"/>
              <w:left w:w="65" w:type="dxa"/>
              <w:bottom w:w="65" w:type="dxa"/>
              <w:right w:w="65" w:type="dxa"/>
            </w:tcMar>
          </w:tcPr>
          <w:p>
            <w:pPr>
              <w:pStyle w:val="TableText"/>
              <w:keepNext w:val="0"/>
              <w:widowControl/>
              <w:jc w:val="left"/>
            </w:pPr>
            <w:r>
              <w:rPr>
                <w:b w:val="0"/>
                <w:sz w:val="18"/>
              </w:rPr>
              <w:t>2,875</w:t>
            </w:r>
          </w:p>
        </w:tc>
      </w:tr>
      <w:tr>
        <w:trPr>
          <w:cantSplit/>
        </w:trPr>
        <w:tc>
          <w:tcPr>
            <w:tcW w:type="dxa" w:w="907"/>
            <w:vAlign w:val="center"/>
            <w:tcMar>
              <w:top w:w="65" w:type="dxa"/>
              <w:left w:w="65" w:type="dxa"/>
              <w:bottom w:w="65" w:type="dxa"/>
              <w:right w:w="65" w:type="dxa"/>
            </w:tcMar>
          </w:tcPr>
          <w:p>
            <w:pPr>
              <w:pStyle w:val="TableText"/>
              <w:keepNext w:val="0"/>
              <w:widowControl/>
              <w:jc w:val="left"/>
            </w:pPr>
            <w:r>
              <w:rPr>
                <w:b w:val="0"/>
                <w:sz w:val="18"/>
              </w:rPr>
              <w:t>Run1</w:t>
            </w:r>
          </w:p>
        </w:tc>
        <w:tc>
          <w:tcPr>
            <w:tcW w:type="dxa" w:w="4535"/>
            <w:vAlign w:val="center"/>
            <w:tcMar>
              <w:top w:w="65" w:type="dxa"/>
              <w:left w:w="65" w:type="dxa"/>
              <w:bottom w:w="65" w:type="dxa"/>
              <w:right w:w="65" w:type="dxa"/>
            </w:tcMar>
          </w:tcPr>
          <w:p>
            <w:pPr>
              <w:pStyle w:val="TableText"/>
              <w:keepNext w:val="0"/>
              <w:widowControl/>
              <w:jc w:val="left"/>
            </w:pPr>
            <w:r>
              <w:rPr>
                <w:b w:val="0"/>
                <w:sz w:val="18"/>
              </w:rPr>
              <w:t>candidate9 / IC-b / B1 × C4·C4R·C6-E</w:t>
            </w:r>
          </w:p>
        </w:tc>
        <w:tc>
          <w:tcPr>
            <w:tcW w:type="dxa" w:w="850"/>
            <w:vAlign w:val="center"/>
            <w:tcMar>
              <w:top w:w="65" w:type="dxa"/>
              <w:left w:w="65" w:type="dxa"/>
              <w:bottom w:w="65" w:type="dxa"/>
              <w:right w:w="65" w:type="dxa"/>
            </w:tcMar>
          </w:tcPr>
          <w:p>
            <w:pPr>
              <w:pStyle w:val="TableText"/>
              <w:keepNext w:val="0"/>
              <w:widowControl/>
              <w:jc w:val="left"/>
            </w:pPr>
            <w:r>
              <w:rPr>
                <w:b w:val="0"/>
                <w:sz w:val="18"/>
              </w:rPr>
              <w:t>3</w:t>
            </w:r>
          </w:p>
        </w:tc>
        <w:tc>
          <w:tcPr>
            <w:tcW w:type="dxa" w:w="1644"/>
            <w:vAlign w:val="center"/>
            <w:tcMar>
              <w:top w:w="65" w:type="dxa"/>
              <w:left w:w="65" w:type="dxa"/>
              <w:bottom w:w="65" w:type="dxa"/>
              <w:right w:w="65" w:type="dxa"/>
            </w:tcMar>
          </w:tcPr>
          <w:p>
            <w:pPr>
              <w:pStyle w:val="TableText"/>
              <w:keepNext w:val="0"/>
              <w:widowControl/>
              <w:jc w:val="left"/>
            </w:pPr>
            <w:r>
              <w:rPr>
                <w:b w:val="0"/>
                <w:sz w:val="18"/>
              </w:rPr>
              <w:t>1,725</w:t>
            </w:r>
          </w:p>
        </w:tc>
      </w:tr>
      <w:tr>
        <w:trPr>
          <w:cantSplit/>
        </w:trPr>
        <w:tc>
          <w:tcPr>
            <w:tcW w:type="dxa" w:w="907"/>
            <w:vAlign w:val="center"/>
            <w:tcMar>
              <w:top w:w="65" w:type="dxa"/>
              <w:left w:w="65" w:type="dxa"/>
              <w:bottom w:w="65" w:type="dxa"/>
              <w:right w:w="65" w:type="dxa"/>
            </w:tcMar>
          </w:tcPr>
          <w:p>
            <w:pPr>
              <w:pStyle w:val="TableText"/>
              <w:keepNext w:val="0"/>
              <w:widowControl/>
              <w:jc w:val="left"/>
            </w:pPr>
            <w:r>
              <w:rPr>
                <w:b w:val="0"/>
                <w:sz w:val="18"/>
              </w:rPr>
              <w:t>Run1</w:t>
            </w:r>
          </w:p>
        </w:tc>
        <w:tc>
          <w:tcPr>
            <w:tcW w:type="dxa" w:w="4535"/>
            <w:vAlign w:val="center"/>
            <w:tcMar>
              <w:top w:w="65" w:type="dxa"/>
              <w:left w:w="65" w:type="dxa"/>
              <w:bottom w:w="65" w:type="dxa"/>
              <w:right w:w="65" w:type="dxa"/>
            </w:tcMar>
          </w:tcPr>
          <w:p>
            <w:pPr>
              <w:pStyle w:val="TableText"/>
              <w:keepNext w:val="0"/>
              <w:widowControl/>
              <w:jc w:val="left"/>
            </w:pPr>
            <w:r>
              <w:rPr>
                <w:b w:val="0"/>
                <w:sz w:val="18"/>
              </w:rPr>
              <w:t>free8 / B1 / C4 × IC-a·IC-c</w:t>
            </w:r>
          </w:p>
        </w:tc>
        <w:tc>
          <w:tcPr>
            <w:tcW w:type="dxa" w:w="850"/>
            <w:vAlign w:val="center"/>
            <w:tcMar>
              <w:top w:w="65" w:type="dxa"/>
              <w:left w:w="65" w:type="dxa"/>
              <w:bottom w:w="65" w:type="dxa"/>
              <w:right w:w="65" w:type="dxa"/>
            </w:tcMar>
          </w:tcPr>
          <w:p>
            <w:pPr>
              <w:pStyle w:val="TableText"/>
              <w:keepNext w:val="0"/>
              <w:widowControl/>
              <w:jc w:val="left"/>
            </w:pPr>
            <w:r>
              <w:rPr>
                <w:b w:val="0"/>
                <w:sz w:val="18"/>
              </w:rPr>
              <w:t>2</w:t>
            </w:r>
          </w:p>
        </w:tc>
        <w:tc>
          <w:tcPr>
            <w:tcW w:type="dxa" w:w="1644"/>
            <w:vAlign w:val="center"/>
            <w:tcMar>
              <w:top w:w="65" w:type="dxa"/>
              <w:left w:w="65" w:type="dxa"/>
              <w:bottom w:w="65" w:type="dxa"/>
              <w:right w:w="65" w:type="dxa"/>
            </w:tcMar>
          </w:tcPr>
          <w:p>
            <w:pPr>
              <w:pStyle w:val="TableText"/>
              <w:keepNext w:val="0"/>
              <w:widowControl/>
              <w:jc w:val="left"/>
            </w:pPr>
            <w:r>
              <w:rPr>
                <w:b w:val="0"/>
                <w:sz w:val="18"/>
              </w:rPr>
              <w:t>1,150</w:t>
            </w:r>
          </w:p>
        </w:tc>
      </w:tr>
      <w:tr>
        <w:trPr>
          <w:cantSplit/>
        </w:trPr>
        <w:tc>
          <w:tcPr>
            <w:tcW w:type="dxa" w:w="907"/>
            <w:vAlign w:val="center"/>
            <w:tcMar>
              <w:top w:w="65" w:type="dxa"/>
              <w:left w:w="65" w:type="dxa"/>
              <w:bottom w:w="65" w:type="dxa"/>
              <w:right w:w="65" w:type="dxa"/>
            </w:tcMar>
          </w:tcPr>
          <w:p>
            <w:pPr>
              <w:pStyle w:val="TableText"/>
              <w:keepNext w:val="0"/>
              <w:widowControl/>
              <w:jc w:val="left"/>
            </w:pPr>
            <w:r>
              <w:rPr>
                <w:b w:val="0"/>
                <w:sz w:val="18"/>
              </w:rPr>
              <w:t>Run2</w:t>
            </w:r>
          </w:p>
        </w:tc>
        <w:tc>
          <w:tcPr>
            <w:tcW w:type="dxa" w:w="4535"/>
            <w:vAlign w:val="center"/>
            <w:tcMar>
              <w:top w:w="65" w:type="dxa"/>
              <w:left w:w="65" w:type="dxa"/>
              <w:bottom w:w="65" w:type="dxa"/>
              <w:right w:w="65" w:type="dxa"/>
            </w:tcMar>
          </w:tcPr>
          <w:p>
            <w:pPr>
              <w:pStyle w:val="TableText"/>
              <w:keepNext w:val="0"/>
              <w:widowControl/>
              <w:jc w:val="left"/>
            </w:pPr>
            <w:r>
              <w:rPr>
                <w:b w:val="0"/>
                <w:sz w:val="18"/>
              </w:rPr>
              <w:t>free8 / IC-b / B1·BINF × C4·C4R·C6-E</w:t>
            </w:r>
          </w:p>
        </w:tc>
        <w:tc>
          <w:tcPr>
            <w:tcW w:type="dxa" w:w="850"/>
            <w:vAlign w:val="center"/>
            <w:tcMar>
              <w:top w:w="65" w:type="dxa"/>
              <w:left w:w="65" w:type="dxa"/>
              <w:bottom w:w="65" w:type="dxa"/>
              <w:right w:w="65" w:type="dxa"/>
            </w:tcMar>
          </w:tcPr>
          <w:p>
            <w:pPr>
              <w:pStyle w:val="TableText"/>
              <w:keepNext w:val="0"/>
              <w:widowControl/>
              <w:jc w:val="left"/>
            </w:pPr>
            <w:r>
              <w:rPr>
                <w:b w:val="0"/>
                <w:sz w:val="18"/>
              </w:rPr>
              <w:t>6</w:t>
            </w:r>
          </w:p>
        </w:tc>
        <w:tc>
          <w:tcPr>
            <w:tcW w:type="dxa" w:w="1644"/>
            <w:vAlign w:val="center"/>
            <w:tcMar>
              <w:top w:w="65" w:type="dxa"/>
              <w:left w:w="65" w:type="dxa"/>
              <w:bottom w:w="65" w:type="dxa"/>
              <w:right w:w="65" w:type="dxa"/>
            </w:tcMar>
          </w:tcPr>
          <w:p>
            <w:pPr>
              <w:pStyle w:val="TableText"/>
              <w:keepNext w:val="0"/>
              <w:widowControl/>
              <w:jc w:val="left"/>
            </w:pPr>
            <w:r>
              <w:rPr>
                <w:b w:val="0"/>
                <w:sz w:val="18"/>
              </w:rPr>
              <w:t>3,450</w:t>
            </w:r>
          </w:p>
        </w:tc>
      </w:tr>
      <w:tr>
        <w:trPr>
          <w:cantSplit/>
        </w:trPr>
        <w:tc>
          <w:tcPr>
            <w:tcW w:type="dxa" w:w="907"/>
            <w:vAlign w:val="center"/>
            <w:tcMar>
              <w:top w:w="65" w:type="dxa"/>
              <w:left w:w="65" w:type="dxa"/>
              <w:bottom w:w="65" w:type="dxa"/>
              <w:right w:w="65" w:type="dxa"/>
            </w:tcMar>
          </w:tcPr>
          <w:p>
            <w:pPr>
              <w:pStyle w:val="TableText"/>
              <w:keepNext w:val="0"/>
              <w:widowControl/>
              <w:jc w:val="left"/>
            </w:pPr>
            <w:r>
              <w:rPr>
                <w:b w:val="0"/>
                <w:sz w:val="18"/>
              </w:rPr>
              <w:t>합계</w:t>
            </w:r>
          </w:p>
        </w:tc>
        <w:tc>
          <w:tcPr>
            <w:tcW w:type="dxa" w:w="4535"/>
            <w:vAlign w:val="center"/>
            <w:tcMar>
              <w:top w:w="65" w:type="dxa"/>
              <w:left w:w="65" w:type="dxa"/>
              <w:bottom w:w="65" w:type="dxa"/>
              <w:right w:w="65" w:type="dxa"/>
            </w:tcMar>
          </w:tcPr>
          <w:p>
            <w:pPr>
              <w:pStyle w:val="TableText"/>
              <w:keepNext w:val="0"/>
              <w:widowControl/>
              <w:jc w:val="left"/>
            </w:pPr>
            <w:r>
              <w:rPr>
                <w:b w:val="0"/>
                <w:sz w:val="18"/>
              </w:rPr>
              <w:t>각 셀 575개 기업</w:t>
            </w:r>
          </w:p>
        </w:tc>
        <w:tc>
          <w:tcPr>
            <w:tcW w:type="dxa" w:w="850"/>
            <w:vAlign w:val="center"/>
            <w:tcMar>
              <w:top w:w="65" w:type="dxa"/>
              <w:left w:w="65" w:type="dxa"/>
              <w:bottom w:w="65" w:type="dxa"/>
              <w:right w:w="65" w:type="dxa"/>
            </w:tcMar>
          </w:tcPr>
          <w:p>
            <w:pPr>
              <w:pStyle w:val="TableText"/>
              <w:keepNext w:val="0"/>
              <w:widowControl/>
              <w:jc w:val="left"/>
            </w:pPr>
            <w:r>
              <w:rPr>
                <w:b w:val="0"/>
                <w:sz w:val="18"/>
              </w:rPr>
              <w:t>21</w:t>
            </w:r>
          </w:p>
        </w:tc>
        <w:tc>
          <w:tcPr>
            <w:tcW w:type="dxa" w:w="1644"/>
            <w:vAlign w:val="center"/>
            <w:tcMar>
              <w:top w:w="65" w:type="dxa"/>
              <w:left w:w="65" w:type="dxa"/>
              <w:bottom w:w="65" w:type="dxa"/>
              <w:right w:w="65" w:type="dxa"/>
            </w:tcMar>
          </w:tcPr>
          <w:p>
            <w:pPr>
              <w:pStyle w:val="TableText"/>
              <w:keepNext w:val="0"/>
              <w:widowControl/>
              <w:jc w:val="left"/>
            </w:pPr>
            <w:r>
              <w:rPr>
                <w:b w:val="0"/>
                <w:sz w:val="18"/>
              </w:rPr>
              <w:t>12,075</w:t>
            </w:r>
          </w:p>
        </w:tc>
      </w:tr>
    </w:tbl>
    <w:p>
      <w:pPr>
        <w:pStyle w:val="SourceNote"/>
        <w:widowControl/>
      </w:pPr>
      <w:r>
        <w:t>두 모델 합계 regime당 42셀·24,150요청. Baseline과 High를 합한 생성 요청은 48,300건이다. Repaired와 PP는 새 생성 요청이 아니다.</w:t>
      </w:r>
    </w:p>
    <w:p>
      <w:pPr>
        <w:widowControl/>
      </w:pPr>
      <w:r>
        <w:t>본실험 Run1의 모델별 15개 셀과 반복성 Run2의 6개 셀은 서로 다른 역할을 갖는다. C5와 C6-EX는 Run2가 없으므로, 반복된 C4·C4R·C6-E만 두 번 평균하고 나머지는 한 번의 결과를 사용하는 표는 조건별 추정량이 달라진다. 본문 정책가치는 Run1로 통일하고 Run2는 반복성 절에서 따로 비교한다.</w:t>
      </w:r>
    </w:p>
    <w:p>
      <w:pPr>
        <w:widowControl/>
      </w:pPr>
      <w:r>
        <w:t>Run2의 후속 조건은 Run1의 C4를 재사용하지 않고 자기 Run의 C4에서 분기한다. 한 기업의 반복 요청과 네 실행·분석 arm은 동일 기업에 대한 반복측정이지 표본 기업 수의 증가가 아니다. Stage8/9의 ITT 및 PP 행을 합산한 수를 총 API 호출 수로 보고하지 않는다.</w:t>
      </w:r>
    </w:p>
    <w:p>
      <w:bookmarkStart w:id="67" w:name="head_56"/>
      <w:pPr>
        <w:pStyle w:val="2"/>
        <w:widowControl/>
      </w:pPr>
      <w:r>
        <w:t>3.7 원응답과 네 행동층</w:t>
      </w:r>
      <w:bookmarkEnd w:id="67"/>
    </w:p>
    <w:p>
      <w:pPr>
        <w:widowControl/>
      </w:pPr>
      <w:r>
        <w:t>전송 성공과 정책적 사용 가능성은 별개이다. 공급자가 정상적으로 응답을 반환했더라도 JSON을 해석할 수 없거나 필요한 행동차원이 없거나 예산을 위반할 수 있다. 본 연구는 원응답을 삭제하지 않고 제안행동, 수용행동, ITT 평가행동 및 실현결과를 구분한다.</w:t>
      </w:r>
    </w:p>
    <w:p>
      <w:bookmarkStart w:id="68" w:name="cap_12"/>
      <w:pPr>
        <w:pStyle w:val="af"/>
        <w:widowControl/>
      </w:pPr>
      <w:r>
        <w:t>표 3-9. 행동층과 실패 처리</w:t>
      </w:r>
      <w:bookmarkEnd w:id="68"/>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1247"/>
        <w:gridCol w:w="3685"/>
        <w:gridCol w:w="3005"/>
      </w:tblGrid>
      <w:tr>
        <w:trPr>
          <w:cantSplit/>
          <w:tblHeader/>
        </w:trPr>
        <w:tc>
          <w:tcPr>
            <w:tcW w:type="dxa" w:w="1247"/>
            <w:vAlign w:val="center"/>
            <w:shd w:fill="F1F1F1"/>
            <w:tcMar>
              <w:top w:w="65" w:type="dxa"/>
              <w:left w:w="65" w:type="dxa"/>
              <w:bottom w:w="65" w:type="dxa"/>
              <w:right w:w="65" w:type="dxa"/>
            </w:tcMar>
          </w:tcPr>
          <w:p>
            <w:pPr>
              <w:pStyle w:val="TableText"/>
              <w:keepNext/>
              <w:widowControl/>
              <w:jc w:val="center"/>
            </w:pPr>
            <w:r>
              <w:rPr>
                <w:b/>
                <w:sz w:val="18"/>
              </w:rPr>
              <w:t>층</w:t>
            </w:r>
          </w:p>
        </w:tc>
        <w:tc>
          <w:tcPr>
            <w:tcW w:type="dxa" w:w="3685"/>
            <w:vAlign w:val="center"/>
            <w:shd w:fill="F1F1F1"/>
            <w:tcMar>
              <w:top w:w="65" w:type="dxa"/>
              <w:left w:w="65" w:type="dxa"/>
              <w:bottom w:w="65" w:type="dxa"/>
              <w:right w:w="65" w:type="dxa"/>
            </w:tcMar>
          </w:tcPr>
          <w:p>
            <w:pPr>
              <w:pStyle w:val="TableText"/>
              <w:keepNext/>
              <w:widowControl/>
              <w:jc w:val="center"/>
            </w:pPr>
            <w:r>
              <w:rPr>
                <w:b/>
                <w:sz w:val="18"/>
              </w:rPr>
              <w:t>의미</w:t>
            </w:r>
          </w:p>
        </w:tc>
        <w:tc>
          <w:tcPr>
            <w:tcW w:type="dxa" w:w="3005"/>
            <w:vAlign w:val="center"/>
            <w:shd w:fill="F1F1F1"/>
            <w:tcMar>
              <w:top w:w="65" w:type="dxa"/>
              <w:left w:w="65" w:type="dxa"/>
              <w:bottom w:w="65" w:type="dxa"/>
              <w:right w:w="65" w:type="dxa"/>
            </w:tcMar>
          </w:tcPr>
          <w:p>
            <w:pPr>
              <w:pStyle w:val="TableText"/>
              <w:keepNext/>
              <w:widowControl/>
              <w:jc w:val="center"/>
            </w:pPr>
            <w:r>
              <w:rPr>
                <w:b/>
                <w:sz w:val="18"/>
              </w:rPr>
              <w:t>불용 응답에서의 처리</w:t>
            </w:r>
          </w:p>
        </w:tc>
      </w:tr>
      <w:tr>
        <w:trPr>
          <w:cantSplit/>
        </w:trPr>
        <w:tc>
          <w:tcPr>
            <w:tcW w:type="dxa" w:w="1247"/>
            <w:vAlign w:val="center"/>
            <w:tcMar>
              <w:top w:w="65" w:type="dxa"/>
              <w:left w:w="65" w:type="dxa"/>
              <w:bottom w:w="65" w:type="dxa"/>
              <w:right w:w="65" w:type="dxa"/>
            </w:tcMar>
          </w:tcPr>
          <w:p>
            <w:pPr>
              <w:pStyle w:val="TableText"/>
              <w:keepNext/>
              <w:widowControl/>
              <w:jc w:val="left"/>
            </w:pPr>
            <w:r>
              <w:rPr>
                <w:b w:val="0"/>
                <w:sz w:val="18"/>
              </w:rPr>
              <w:t>Raw response</w:t>
            </w:r>
          </w:p>
        </w:tc>
        <w:tc>
          <w:tcPr>
            <w:tcW w:type="dxa" w:w="3685"/>
            <w:vAlign w:val="center"/>
            <w:tcMar>
              <w:top w:w="65" w:type="dxa"/>
              <w:left w:w="65" w:type="dxa"/>
              <w:bottom w:w="65" w:type="dxa"/>
              <w:right w:w="65" w:type="dxa"/>
            </w:tcMar>
          </w:tcPr>
          <w:p>
            <w:pPr>
              <w:pStyle w:val="TableText"/>
              <w:keepNext/>
              <w:widowControl/>
              <w:jc w:val="left"/>
            </w:pPr>
            <w:r>
              <w:rPr>
                <w:b w:val="0"/>
                <w:sz w:val="18"/>
              </w:rPr>
              <w:t>공급자가 반환한 원문과 메타데이터</w:t>
            </w:r>
          </w:p>
        </w:tc>
        <w:tc>
          <w:tcPr>
            <w:tcW w:type="dxa" w:w="3005"/>
            <w:vAlign w:val="center"/>
            <w:tcMar>
              <w:top w:w="65" w:type="dxa"/>
              <w:left w:w="65" w:type="dxa"/>
              <w:bottom w:w="65" w:type="dxa"/>
              <w:right w:w="65" w:type="dxa"/>
            </w:tcMar>
          </w:tcPr>
          <w:p>
            <w:pPr>
              <w:pStyle w:val="TableText"/>
              <w:keepNext/>
              <w:widowControl/>
              <w:jc w:val="left"/>
            </w:pPr>
            <w:r>
              <w:rPr>
                <w:b w:val="0"/>
                <w:sz w:val="18"/>
              </w:rPr>
              <w:t>원문·식별자·종료정보 보존</w:t>
            </w:r>
          </w:p>
        </w:tc>
      </w:tr>
      <w:tr>
        <w:trPr>
          <w:cantSplit/>
        </w:trPr>
        <w:tc>
          <w:tcPr>
            <w:tcW w:type="dxa" w:w="1247"/>
            <w:vAlign w:val="center"/>
            <w:tcMar>
              <w:top w:w="65" w:type="dxa"/>
              <w:left w:w="65" w:type="dxa"/>
              <w:bottom w:w="65" w:type="dxa"/>
              <w:right w:w="65" w:type="dxa"/>
            </w:tcMar>
          </w:tcPr>
          <w:p>
            <w:pPr>
              <w:pStyle w:val="TableText"/>
              <w:keepNext w:val="0"/>
              <w:widowControl/>
              <w:jc w:val="left"/>
            </w:pPr>
            <w:r>
              <w:rPr>
                <w:b w:val="0"/>
                <w:sz w:val="18"/>
              </w:rPr>
              <w:t>Proposed</w:t>
            </w:r>
          </w:p>
        </w:tc>
        <w:tc>
          <w:tcPr>
            <w:tcW w:type="dxa" w:w="3685"/>
            <w:vAlign w:val="center"/>
            <w:tcMar>
              <w:top w:w="65" w:type="dxa"/>
              <w:left w:w="65" w:type="dxa"/>
              <w:bottom w:w="65" w:type="dxa"/>
              <w:right w:w="65" w:type="dxa"/>
            </w:tcMar>
          </w:tcPr>
          <w:p>
            <w:pPr>
              <w:pStyle w:val="TableText"/>
              <w:keepNext w:val="0"/>
              <w:widowControl/>
              <w:jc w:val="left"/>
            </w:pPr>
            <w:r>
              <w:rPr>
                <w:b w:val="0"/>
                <w:sz w:val="18"/>
              </w:rPr>
              <w:t>원문에서 추출한 제안행동</w:t>
            </w:r>
          </w:p>
        </w:tc>
        <w:tc>
          <w:tcPr>
            <w:tcW w:type="dxa" w:w="3005"/>
            <w:vAlign w:val="center"/>
            <w:tcMar>
              <w:top w:w="65" w:type="dxa"/>
              <w:left w:w="65" w:type="dxa"/>
              <w:bottom w:w="65" w:type="dxa"/>
              <w:right w:w="65" w:type="dxa"/>
            </w:tcMar>
          </w:tcPr>
          <w:p>
            <w:pPr>
              <w:pStyle w:val="TableText"/>
              <w:keepNext w:val="0"/>
              <w:widowControl/>
              <w:jc w:val="left"/>
            </w:pPr>
            <w:r>
              <w:rPr>
                <w:b w:val="0"/>
                <w:sz w:val="18"/>
              </w:rPr>
              <w:t>파싱 실패면 미확정; 임의 값 생성 안 함</w:t>
            </w:r>
          </w:p>
        </w:tc>
      </w:tr>
      <w:tr>
        <w:trPr>
          <w:cantSplit/>
        </w:trPr>
        <w:tc>
          <w:tcPr>
            <w:tcW w:type="dxa" w:w="1247"/>
            <w:vAlign w:val="center"/>
            <w:tcMar>
              <w:top w:w="65" w:type="dxa"/>
              <w:left w:w="65" w:type="dxa"/>
              <w:bottom w:w="65" w:type="dxa"/>
              <w:right w:w="65" w:type="dxa"/>
            </w:tcMar>
          </w:tcPr>
          <w:p>
            <w:pPr>
              <w:pStyle w:val="TableText"/>
              <w:keepNext w:val="0"/>
              <w:widowControl/>
              <w:jc w:val="left"/>
            </w:pPr>
            <w:r>
              <w:rPr>
                <w:b w:val="0"/>
                <w:sz w:val="18"/>
              </w:rPr>
              <w:t>Accepted</w:t>
            </w:r>
          </w:p>
        </w:tc>
        <w:tc>
          <w:tcPr>
            <w:tcW w:type="dxa" w:w="3685"/>
            <w:vAlign w:val="center"/>
            <w:tcMar>
              <w:top w:w="65" w:type="dxa"/>
              <w:left w:w="65" w:type="dxa"/>
              <w:bottom w:w="65" w:type="dxa"/>
              <w:right w:w="65" w:type="dxa"/>
            </w:tcMar>
          </w:tcPr>
          <w:p>
            <w:pPr>
              <w:pStyle w:val="TableText"/>
              <w:keepNext w:val="0"/>
              <w:widowControl/>
              <w:jc w:val="left"/>
            </w:pPr>
            <w:r>
              <w:rPr>
                <w:b w:val="0"/>
                <w:sz w:val="18"/>
              </w:rPr>
              <w:t>Strict 계약을 통과한 행동</w:t>
            </w:r>
          </w:p>
        </w:tc>
        <w:tc>
          <w:tcPr>
            <w:tcW w:type="dxa" w:w="3005"/>
            <w:vAlign w:val="center"/>
            <w:tcMar>
              <w:top w:w="65" w:type="dxa"/>
              <w:left w:w="65" w:type="dxa"/>
              <w:bottom w:w="65" w:type="dxa"/>
              <w:right w:w="65" w:type="dxa"/>
            </w:tcMar>
          </w:tcPr>
          <w:p>
            <w:pPr>
              <w:pStyle w:val="TableText"/>
              <w:keepNext w:val="0"/>
              <w:widowControl/>
              <w:jc w:val="left"/>
            </w:pPr>
            <w:r>
              <w:rPr>
                <w:b w:val="0"/>
                <w:sz w:val="18"/>
              </w:rPr>
              <w:t>terminal unusable은 None</w:t>
            </w:r>
          </w:p>
        </w:tc>
      </w:tr>
      <w:tr>
        <w:trPr>
          <w:cantSplit/>
        </w:trPr>
        <w:tc>
          <w:tcPr>
            <w:tcW w:type="dxa" w:w="1247"/>
            <w:vAlign w:val="center"/>
            <w:tcMar>
              <w:top w:w="65" w:type="dxa"/>
              <w:left w:w="65" w:type="dxa"/>
              <w:bottom w:w="65" w:type="dxa"/>
              <w:right w:w="65" w:type="dxa"/>
            </w:tcMar>
          </w:tcPr>
          <w:p>
            <w:pPr>
              <w:pStyle w:val="TableText"/>
              <w:keepNext w:val="0"/>
              <w:widowControl/>
              <w:jc w:val="left"/>
            </w:pPr>
            <w:r>
              <w:rPr>
                <w:b w:val="0"/>
                <w:sz w:val="18"/>
              </w:rPr>
              <w:t>ITT</w:t>
            </w:r>
          </w:p>
        </w:tc>
        <w:tc>
          <w:tcPr>
            <w:tcW w:type="dxa" w:w="3685"/>
            <w:vAlign w:val="center"/>
            <w:tcMar>
              <w:top w:w="65" w:type="dxa"/>
              <w:left w:w="65" w:type="dxa"/>
              <w:bottom w:w="65" w:type="dxa"/>
              <w:right w:w="65" w:type="dxa"/>
            </w:tcMar>
          </w:tcPr>
          <w:p>
            <w:pPr>
              <w:pStyle w:val="TableText"/>
              <w:keepNext w:val="0"/>
              <w:widowControl/>
              <w:jc w:val="left"/>
            </w:pPr>
            <w:r>
              <w:rPr>
                <w:b w:val="0"/>
                <w:sz w:val="18"/>
              </w:rPr>
              <w:t>전체 할당 기업의 운영 평가행동</w:t>
            </w:r>
          </w:p>
        </w:tc>
        <w:tc>
          <w:tcPr>
            <w:tcW w:type="dxa" w:w="3005"/>
            <w:vAlign w:val="center"/>
            <w:tcMar>
              <w:top w:w="65" w:type="dxa"/>
              <w:left w:w="65" w:type="dxa"/>
              <w:bottom w:w="65" w:type="dxa"/>
              <w:right w:w="65" w:type="dxa"/>
            </w:tcMar>
          </w:tcPr>
          <w:p>
            <w:pPr>
              <w:pStyle w:val="TableText"/>
              <w:keepNext w:val="0"/>
              <w:widowControl/>
              <w:jc w:val="left"/>
            </w:pPr>
            <w:r>
              <w:rPr>
                <w:b w:val="0"/>
                <w:sz w:val="18"/>
              </w:rPr>
              <w:t>확정 불용 completion은 A0</w:t>
            </w:r>
          </w:p>
        </w:tc>
      </w:tr>
      <w:tr>
        <w:trPr>
          <w:cantSplit/>
        </w:trPr>
        <w:tc>
          <w:tcPr>
            <w:tcW w:type="dxa" w:w="1247"/>
            <w:vAlign w:val="center"/>
            <w:tcMar>
              <w:top w:w="65" w:type="dxa"/>
              <w:left w:w="65" w:type="dxa"/>
              <w:bottom w:w="65" w:type="dxa"/>
              <w:right w:w="65" w:type="dxa"/>
            </w:tcMar>
          </w:tcPr>
          <w:p>
            <w:pPr>
              <w:pStyle w:val="TableText"/>
              <w:keepNext w:val="0"/>
              <w:widowControl/>
              <w:jc w:val="left"/>
            </w:pPr>
            <w:r>
              <w:rPr>
                <w:b w:val="0"/>
                <w:sz w:val="18"/>
              </w:rPr>
              <w:t>Realized</w:t>
            </w:r>
          </w:p>
        </w:tc>
        <w:tc>
          <w:tcPr>
            <w:tcW w:type="dxa" w:w="3685"/>
            <w:vAlign w:val="center"/>
            <w:tcMar>
              <w:top w:w="65" w:type="dxa"/>
              <w:left w:w="65" w:type="dxa"/>
              <w:bottom w:w="65" w:type="dxa"/>
              <w:right w:w="65" w:type="dxa"/>
            </w:tcMar>
          </w:tcPr>
          <w:p>
            <w:pPr>
              <w:pStyle w:val="TableText"/>
              <w:keepNext w:val="0"/>
              <w:widowControl/>
              <w:jc w:val="left"/>
            </w:pPr>
            <w:r>
              <w:rPr>
                <w:b w:val="0"/>
                <w:sz w:val="18"/>
              </w:rPr>
              <w:t>Simulator에서 실제 전파된 효과</w:t>
            </w:r>
          </w:p>
        </w:tc>
        <w:tc>
          <w:tcPr>
            <w:tcW w:type="dxa" w:w="3005"/>
            <w:vAlign w:val="center"/>
            <w:tcMar>
              <w:top w:w="65" w:type="dxa"/>
              <w:left w:w="65" w:type="dxa"/>
              <w:bottom w:w="65" w:type="dxa"/>
              <w:right w:w="65" w:type="dxa"/>
            </w:tcMar>
          </w:tcPr>
          <w:p>
            <w:pPr>
              <w:pStyle w:val="TableText"/>
              <w:keepNext w:val="0"/>
              <w:widowControl/>
              <w:jc w:val="left"/>
            </w:pPr>
            <w:r>
              <w:rPr>
                <w:b w:val="0"/>
                <w:sz w:val="18"/>
              </w:rPr>
              <w:t>A0 또는 수용·수리 행동을 동일 계산경로에 적용</w:t>
            </w:r>
          </w:p>
        </w:tc>
      </w:tr>
    </w:tbl>
    <w:p>
      <w:pPr>
        <w:pStyle w:val="SourceNote"/>
        <w:widowControl/>
      </w:pPr>
      <w:r>
        <w:t>자료: 최종 응답·Stage8/9 의미론. infrastructure failure는 completion 자체가 확정되지 않은 상태이며 terminal unusable과 다르다.</w:t>
      </w:r>
    </w:p>
    <w:p>
      <w:pPr>
        <w:widowControl/>
      </w:pPr>
      <w:r>
        <w:t>엄격한 검사에서는 중복 JSON key를 임의로 덮어쓰지 않고 오류로 남기며, 범위 밖의 값을 clipping하거나 B1 초과 벡터를 재비례화해 정상 응답으로 바꾸지 않는다. 완료되었으나 사용할 수 없는 응답은 accepted=None, ITT=A0이다. 전송·인프라 문제로 완료 여부가 미확정인 요청은 이 처리에 바로 넣지 않고 재개·수집 절차에서 해결한다.</w:t>
      </w:r>
    </w:p>
    <w:p>
      <w:pPr>
        <w:widowControl/>
      </w:pPr>
      <w:r>
        <w:t>행동 수용률과 전체 응답 schema 적합률도 따로 보고한다. 행동값을 평가할 수 있는지와 진단·근거·설명까지 요구한 형식을 모두 충족했는지는 서로 다른 검사이다. 정책가치 분석에 사용한 canonical action-usability mask와 전체 schema audit를 섞어 하나의 오류율로 부르지 않는다. 검증 로그의 오류원인이 겹칠 때는 원인별 건수의 합이 불용 응답 수와 같지 않을 수 있다.</w:t>
      </w:r>
    </w:p>
    <w:p>
      <w:bookmarkStart w:id="69" w:name="head_57"/>
      <w:pPr>
        <w:pStyle w:val="2"/>
        <w:widowControl/>
      </w:pPr>
      <w:r>
        <w:t>3.8 Strict, Repaired와 PP</w:t>
      </w:r>
      <w:bookmarkEnd w:id="69"/>
    </w:p>
    <w:p>
      <w:bookmarkStart w:id="70" w:name="head_58"/>
      <w:pPr>
        <w:pStyle w:val="3"/>
        <w:widowControl/>
      </w:pPr>
      <w:r>
        <w:t>3.8.1 두 실행정책의 구분</w:t>
      </w:r>
      <w:bookmarkEnd w:id="70"/>
    </w:p>
    <w:p>
      <w:pPr>
        <w:widowControl/>
      </w:pPr>
      <w:r>
        <w:t>Strict ITT는 확정 불용 응답의 A0 처리까지 포함한 원래 운영규칙의 가치를 평가한다. Repaired ITT는 같은 원응답에 결정론적 처리규칙을 적용한 별도 실행정책이다. 재호출로 더 좋은 답을 선택하거나 Oracle 점수를 보고 보정하는 방식이 아니다. 형식 복구, 행동값만의 추출, 중복 key의 선택규칙 및 B1 강도 축소와 같은 개입은 원래 출력과 구분하여 보존한다.</w:t>
      </w:r>
    </w:p>
    <w:p>
      <w:pPr>
        <w:widowControl/>
      </w:pPr>
      <w:r>
        <w:t>이 변환은 ‘모든 응답이 처음부터 정상적이었다면 모델이 무엇을 의도했을까’의 관측치가 아니다. 중복 key 중 하나를 택하는 것은 선택규칙이고, 예산 초과 행동을 줄이는 것은 행동량을 변경하는 것이다. 따라서 Repaired−Strict는 특정 실행규칙 변경의 평가상 차이이며, 모델의 숨겨진 올바른 의도를 복원한 무편향 추정치라고 부르지 않는다.</w:t>
      </w:r>
    </w:p>
    <w:p>
      <w:pPr>
        <w:widowControl/>
      </w:pPr>
      <w:r>
        <w:t>재집계에서는 원래 strict usable인 응답을 repaired 결과와 같은 요청키로 연결하고 점수 불변성을 검사하였다. 이 집합의 Oracle-α 값은 두 regime와 두 모델 모두에서 변하지 않았다. 이미 정상인 응답을 포함해 전체 값을 재최적화한 분석이 아니라, 주로 불용 응답의 처리 차이가 드러나는 분석이라는 점을 수치로 확인하였다. 다만 상세한 수리 우선순위와 실행코드의 최종 동결 증빙은 결과 파일의 보존과 별도로 관리해야 한다.</w:t>
      </w:r>
    </w:p>
    <w:p>
      <w:bookmarkStart w:id="71" w:name="head_59"/>
      <w:pPr>
        <w:pStyle w:val="3"/>
        <w:widowControl/>
      </w:pPr>
      <w:r>
        <w:t>3.8.2 PP는 실행정책이 아니라 조건부 표본</w:t>
      </w:r>
      <w:bookmarkEnd w:id="71"/>
    </w:p>
    <w:p>
      <w:pPr>
        <w:widowControl/>
      </w:pPr>
      <w:r>
        <w:t>PP(per-protocol)는 세 번째 생성모델이나 별도의 새 응답 집합이 아니다. 대비에 필요한 모든 조건에서 strict usable인 동일 기업만 남기는 조건부 분석이다. 두 정책 p와 q를 비교할 때에는 Uᵢₚ=1이고 Uᵢq=1인 교집합에서 대응차이를 계산한다. 두 조건 각각의 usable 평균을 서로 다른 표본에서 구한 뒤 빼지 않는다.</w:t>
      </w:r>
    </w:p>
    <w:p>
      <w:pPr>
        <w:pStyle w:val="Equation"/>
        <w:keepNext/>
        <w:widowControl/>
      </w:pPr>
      <w:r>
        <w:t>S_PP(p,q) = {i : Uᵢₚ = 1, Uᵢq = 1}</w:t>
      </w:r>
    </w:p>
    <w:p>
      <w:pPr>
        <w:widowControl/>
      </w:pPr>
      <w:r>
        <w:t>High−Baseline은 두 regime의 같은 정책이 모두 strict usable인 기업을 사용한다. 추론설정과 수정효과의 상호작용은 네 개 셀 모두를 요구하며, 행동예산의 상호작용까지 포함하면 관련된 모든 셀의 공통 완전사례를 사용해야 한다. repaired usable로 마스크를 넓히면 기존 PP와 다른 집합이 되므로 이를 같은 이름으로 보고하지 않는다.</w:t>
      </w:r>
    </w:p>
    <w:p>
      <w:pPr>
        <w:widowControl/>
      </w:pPr>
      <w:r>
        <w:t>PP는 출력 유효성의 선택을 거친 표본이다. 예를 들어 재무특성이 다른 기업에서 오류 발생확률도 다르면 PP의 기업 구성은 전체 575개와 다를 수 있다. 따라서 PP에서 차이가 커졌다고 ‘형식오류를 제거한 순수 경제적 판단능력’이라고 단정하지 않는다. ITT와 PP는 서로 다른 질문에 답하며 둘을 함께 제시하는 이유는 운영성과와 조건부 행동 비교를 구분하기 위해서이다.</w:t>
      </w:r>
    </w:p>
    <w:p>
      <w:bookmarkStart w:id="72" w:name="head_60"/>
      <w:pPr>
        <w:pStyle w:val="2"/>
        <w:widowControl/>
      </w:pPr>
      <w:r>
        <w:t>3.9 대비, 불확실성과 반복성 분석</w:t>
      </w:r>
      <w:bookmarkEnd w:id="72"/>
    </w:p>
    <w:p>
      <w:bookmarkStart w:id="73" w:name="head_61"/>
      <w:pPr>
        <w:pStyle w:val="3"/>
        <w:widowControl/>
      </w:pPr>
      <w:r>
        <w:t>3.9.1 네 대비와 행동예산 상호작용</w:t>
      </w:r>
      <w:bookmarkEnd w:id="73"/>
    </w:p>
    <w:p>
      <w:pPr>
        <w:widowControl/>
      </w:pPr>
      <w:r>
        <w:t>중심 대비는 C4R−C4, C5−C4, C6-E−C4R, C6-E−C6-EX의 네 가지이다. 같은 모델, 같은 정보조건, 같은 행동공간, 같은 Run 및 같은 실행정책에서 비교한다. free8/IC-b의 B1과 BINF를 함께 보고하며, B1이 더 설명하기 쉬운 결과라는 이유로 BINF를 제외하지 않는다.</w:t>
      </w:r>
    </w:p>
    <w:p>
      <w:pPr>
        <w:widowControl/>
      </w:pPr>
      <w:r>
        <w:t>전체 수정효과 C6-E−C4는 동일한 기업 집합에서 자기 재검토 차이와 외부참조를 포함한 수정조건 차이의 합으로 나타낼 수 있다. 이 식은 대수적 분해이지 C4R을 실제로 거쳐 C6-E가 생성되었다는 순차적 매개모형이 아니다. PP에서 각 차이의 교집합이 다르면 같은 항등식으로 합산하지 않는다.</w:t>
      </w:r>
    </w:p>
    <w:p>
      <w:pPr>
        <w:pStyle w:val="Equation"/>
        <w:keepNext/>
        <w:widowControl/>
      </w:pPr>
      <w:r>
        <w:t>Δ(C6-E,C4) = Δ(C4R,C4) + Δ(C6-E,C4R)</w:t>
      </w:r>
    </w:p>
    <w:p>
      <w:pPr>
        <w:pStyle w:val="Equation"/>
        <w:keepNext/>
        <w:widowControl/>
      </w:pPr>
      <w:r>
        <w:t>Interaction_B = Δ_B1(p,q) − Δ_BINF(p,q)</w:t>
      </w:r>
    </w:p>
    <w:p>
      <w:pPr>
        <w:widowControl/>
      </w:pPr>
      <w:r>
        <w:t>High가 수정효과를 더 크게 만들었는지는 High에서 유의하고 Baseline에서 비유의라는 비교가 아니라, 같은 기업의 [High 대비]−[Baseline 대비]를 직접 계산하여 판단한다. 공급자 간 차이도 마찬가지이다. 한 공급자에서 유의하고 다른 공급자에서 유의하지 않다는 사실만으로 두 공급자의 효과 차이가 입증되지 않는다.</w:t>
      </w:r>
    </w:p>
    <w:p>
      <w:bookmarkStart w:id="74" w:name="head_62"/>
      <w:pPr>
        <w:pStyle w:val="3"/>
        <w:widowControl/>
      </w:pPr>
      <w:r>
        <w:t>3.9.2 기업 단위 bootstrap과 다중비교</w:t>
      </w:r>
      <w:bookmarkEnd w:id="74"/>
    </w:p>
    <w:p>
      <w:pPr>
        <w:widowControl/>
      </w:pPr>
      <w:r>
        <w:t>불확실성은 기업 단위 대응차이를 복원추출하는 bootstrap으로 평가한다. 원 Stage9의 중심 대비는 PCG64, 기준 seed 20260912, 10,000회 표본추출을 사용한다. 이번 재집계에서는 원래 행 순서와 정렬된 그룹 순서 및 Oracle별 난수 소비 순서를 재현하여 기존 평균과 95% bootstrap 구간을 대조하였다. 네 arm의 해당 구간은 수치오차 범위에서 재현되었다.</w:t>
      </w:r>
    </w:p>
    <w:p>
      <w:pPr>
        <w:widowControl/>
      </w:pPr>
      <w:r>
        <w:t>표의 tail probability는 bootstrap 평균분포가 0의 양쪽에 놓인 빈도에 plus-one을 적용해 계산한 양측 sign-tail 통계량이다. 이를 정확한 무작위배정 검정의 p값이나 별도로 귀무가설 아래 중심화한 bootstrap 검정과 동일시하지 않는다. 확정된 산출방식의 재현 가능한 불확실성 지표로 제시하고, 효과크기와 구간 및 방법상 한계를 함께 읽는다.</w:t>
      </w:r>
    </w:p>
    <w:p>
      <w:pPr>
        <w:pStyle w:val="Equation"/>
        <w:keepNext/>
        <w:widowControl/>
      </w:pPr>
      <w:r>
        <w:t>p_tail = min{1, 2[min(n(Δ*≤0), n(Δ*≥0))+1]/(B+1)}; B=10,000</w:t>
      </w:r>
    </w:p>
    <w:p>
      <w:pPr>
        <w:widowControl/>
      </w:pPr>
      <w:r>
        <w:t>Holm 조정은 모델·Oracle·생성 및 실행 arm 안에서 네 대비×두 예산의 8개를 하나의 family로 적용한다. 행동예산 상호작용 네 개는 별도 family로 둔다. 행동공간의 C4·C4R·C6-E 세 비교 및 정보조건 두 비교도 각각의 사전 정의된 묶음으로 보고한다. 불리한 결과를 제외하거나 유의한 셀만 모아 family를 다시 만들지 않는다.</w:t>
      </w:r>
    </w:p>
    <w:p>
      <w:pPr>
        <w:widowControl/>
      </w:pPr>
      <w:r>
        <w:t>이번에 새로 구성한 PP·실행규칙 민감도·추론 상호작용은 대비키를 SHA-256으로 변환한 결정론적 PCG64 하위 난수열로 10,000회 계산하였다. 중심 대비의 원래 bootstrap 재현과 추가 재집계의 난수열을 구분하여 분석 명세에 남겼다. 95% 구간은 각 대비의 미조정 구간이고 Holm 열은 tail probability의 조정값이다. 두 정보를 함께 보여주되 구간 자체가 동시 신뢰구간으로 바뀐 것처럼 해석하지 않는다.</w:t>
      </w:r>
    </w:p>
    <w:p>
      <w:pPr>
        <w:widowControl/>
      </w:pPr>
      <w:r>
        <w:t>이 불확실성은 최종 표본과 이미 선택된 정책 및 고정 참조배정에 조건부이다. RL configuration을 탐색한 불확실성, provider의 장기 모델 변경, 모든 가능한 참조 순열 및 현실에서의 실행오차를 포괄하지 않는다. 유의하지 않다는 사실은 동등성을 뜻하지 않으며, 구형 분석의 MDE 기반 동등성 한계를 새 실험에 자동 적용하지 않는다.</w:t>
      </w:r>
    </w:p>
    <w:p>
      <w:bookmarkStart w:id="75" w:name="head_63"/>
      <w:pPr>
        <w:pStyle w:val="3"/>
        <w:widowControl/>
      </w:pPr>
      <w:r>
        <w:t>3.9.3 네 종류의 반복성</w:t>
      </w:r>
      <w:bookmarkEnd w:id="75"/>
    </w:p>
    <w:p>
      <w:pPr>
        <w:widowControl/>
      </w:pPr>
      <w:r>
        <w:t>반복성은 Run1과 Run2의 평균 정책가치, 기업별 A0 대비 정책가치 순위, 수정조건의 기업별 증분효과, 구체적 행동벡터의 반복성으로 나누어 측정한다. 절대 Oracle 점수는 기업의 출발 신용상태가 두 실행에 공통으로 포함되므로 매우 높은 상관을 보일 수 있다. 따라서 절대점수 상관만으로 권고가 안정적이라고 판단하지 않는다.</w:t>
      </w:r>
    </w:p>
    <w:p>
      <w:pPr>
        <w:widowControl/>
      </w:pPr>
      <w:r>
        <w:t>자유작성 행동의 일치율은 실제 여덟 개 행동값으로 계산한다. candidate_id가 없는 자유작성 행에서 결측값끼리 같다는 이유로 일치했다고 세지 않는다. 두 실행에서 모두 strict usable인 기업을 연결한 뒤, 벡터 일치와 활성 차원집합 일치 및 정규화 L1 거리를 각각 확인한다. 이 공통 수용집합은 전체 기업과 다르므로 분모를 함께 제시한다.</w:t>
      </w:r>
    </w:p>
    <w:p>
      <w:bookmarkStart w:id="76" w:name="head_64"/>
      <w:pPr>
        <w:pStyle w:val="2"/>
        <w:widowControl/>
      </w:pPr>
      <w:r>
        <w:t>3.10 실행명세의 불일치, 비용과 재현성</w:t>
      </w:r>
      <w:bookmarkEnd w:id="76"/>
    </w:p>
    <w:p>
      <w:bookmarkStart w:id="77" w:name="head_65"/>
      <w:pPr>
        <w:pStyle w:val="3"/>
        <w:widowControl/>
      </w:pPr>
      <w:r>
        <w:t>3.10.1 부모 응답 분기규칙의 문서 간 차이</w:t>
      </w:r>
      <w:bookmarkEnd w:id="77"/>
    </w:p>
    <w:p>
      <w:pPr>
        <w:widowControl/>
      </w:pPr>
      <w:r>
        <w:t>최종 계획서 주석에는 C4가 완료되었더라도 unusable이면 dependent second-pass를 생략하고 해당 branch를 A0로 처리한다는 설명이 남아 있다. 반면 실행 전 pre-live prompt_contract에는 비어 있지 않은 공급자 원문이면 malformed JSON, refusal, truncated partial text도 그대로 JSON-escape하여 초안으로 전달할 수 있다고 명시되어 있다. 실제 요청의 parent lineage는 후자의 raw-draft 분기와 일치한다.</w:t>
      </w:r>
    </w:p>
    <w:p>
      <w:pPr>
        <w:widowControl/>
      </w:pPr>
      <w:r>
        <w:t>따라서 이 문제를 결과를 본 뒤 임의로 생긴 분기규칙이라고 단정하지 않는다. raw-draft 규칙이 live 전에 존재했다는 해시 증거가 있다. 동시에 계획서와 실행명세 가운데 어느 문서가 우선하는지에 대한 정식 개정·승인 기록은 제공된 자료에서 완결되지 않는다. 본문은 실제 실행(as-executed)을 주 집계로 공개하고, 계획서의 usable-parent gate를 적용한 경우의 결과를 별도 민감도 분석으로 보고한다.</w:t>
      </w:r>
    </w:p>
    <w:p>
      <w:pPr>
        <w:widowControl/>
      </w:pPr>
      <w:r>
        <w:t>민감도 분석은 원응답을 삭제하거나 실제 호출 이력을 바꾸지 않는다. 부모 C4가 strict unusable인 기업의 후속 결과를 A0로 치환하여 평가집계만 다시 계산한다. 이는 저장된 A0 점수를 사용한 오프라인 비교이며, 해당 게이트 아래에서 새로 생성될 응답을 관찰한 실험은 아니다.</w:t>
      </w:r>
    </w:p>
    <w:p>
      <w:bookmarkStart w:id="78" w:name="head_66"/>
      <w:pPr>
        <w:pStyle w:val="3"/>
        <w:widowControl/>
      </w:pPr>
      <w:r>
        <w:t>3.10.2 비용과 산출물의 추적</w:t>
      </w:r>
      <w:bookmarkEnd w:id="78"/>
    </w:p>
    <w:p>
      <w:pPr>
        <w:widowControl/>
      </w:pPr>
      <w:r>
        <w:t>비용은 공급자별로 대시보드의 잠정 귀속가정을 명시하고 분석한다. 요청 1건당 비용, 수용 가능한 행동 1건당 비용, 부모 초안을 포함한 최종 권고 비용은 다르다. C4R·C6-E·C6-EX의 독립적인 2단계 권고에는 C4 생성비가 추가로 필요하지만 실험에서는 C4를 여러 branch가 공유하였다. 따라서 전체 평균 요청단가를 그대로 최종 2단계 권고 단가라고 쓰지 않는다.</w:t>
      </w:r>
    </w:p>
    <w:p>
      <w:pPr>
        <w:widowControl/>
      </w:pPr>
      <w:r>
        <w:t>재현성은 계약·입력·원응답·평가결과·집계코드의 연결로 관리한다. 최종 결과 패키지는 5개 current-source 파일의 hash drift를 기록한다. metadata와 frozen V4.3 contract의 연결이 통과했다는 사실은 현재 보이는 코드가 과거 결과를 생성한 정확한 코드 스냅샷이라는 증명과 다르다. 본 분석은 집계코드와 입력 해시를 별도로 보존하지만, 과거 실행코드의 완전한 복원까지 완료했다고 주장하지 않는다.</w:t>
      </w:r>
    </w:p>
    <w:p>
      <w:bookmarkStart w:id="79" w:name="head_67"/>
      <w:pPr>
        <w:pStyle w:val="1"/>
        <w:widowControl/>
      </w:pPr>
      <w:r>
        <w:t>제4장 평가기반 검증과 학습 참조정책</w:t>
      </w:r>
      <w:bookmarkEnd w:id="79"/>
    </w:p>
    <w:p>
      <w:pPr>
        <w:widowControl/>
      </w:pPr>
      <w:r>
        <w:t>평가 하네스의 검증은 ‘높은 점수를 낸 정책이 좋은 정책이다’라는 결론에 선행한다. 본 장은 실제 신용등급과 Oracle의 정렬성, Simulator의 재무상태 전파, 최신 행동계약의 실행 일관성 및 현재 참조정책을 순서대로 다룬다. 개발 당시의 검증자료가 남아 있다는 사실과 최종 V4.3 실행환경에서 모든 검증을 다시 수행했다는 주장을 구분한다.</w:t>
      </w:r>
    </w:p>
    <w:p>
      <w:pPr>
        <w:widowControl/>
      </w:pPr>
      <w:r>
        <w:t>개발 단계 분석기록에는 등급 방향일치율과 회계항등식, Simulator 수준편향 등에 관한 상세한 증거가 존재한다. 그 내용을 삭제하여 검증 우선 문제의식을 잃지는 않되, 금리·상환·차환·CAPEX 의미론을 변경한 최신 계약의 검증으로 자동 승격하지 않는다. 이어지는 최신 후보별 비교와 C3-E 평가는 동결된 V4.3 평가파일을 사용하여 다시 집계한 결과이다.</w:t>
      </w:r>
    </w:p>
    <w:p>
      <w:bookmarkStart w:id="80" w:name="head_68"/>
      <w:pPr>
        <w:pStyle w:val="2"/>
        <w:widowControl/>
      </w:pPr>
      <w:r>
        <w:t>4.1 Oracle와 실제 신용등급의 정렬성</w:t>
      </w:r>
      <w:bookmarkEnd w:id="80"/>
    </w:p>
    <w:p>
      <w:pPr>
        <w:widowControl/>
      </w:pPr>
      <w:r>
        <w:t>Oracle가 실제 기업의 신용상태와 무관하다면 그 점수를 이용한 권고 비교의 의미도 제한된다. 원 개발 단계에서는 같은 시점의 기업 순서와 다음 해 등급변화의 방향을 구분하여 검토하였다. 같은 시점의 순위 정렬은 높은 신용평점을 받은 기업이 실제로도 우량한 순서에 놓이는지를 묻고, 선행 방향 비교는 전년 대비 신용평점의 변화가 이후 외부등급의 변화와 같은 방향인지를 묻는다.</w:t>
      </w:r>
    </w:p>
    <w:p>
      <w:pPr>
        <w:widowControl/>
      </w:pPr>
      <w:r>
        <w:t>Spearman 순위상관은 두 순서의 정렬성을 나타내며, 방향일치율은 실제로 등급이 변한 사례 가운데 Oracle가 같은 방향을 가리킨 비율이다. AUC는 개선과 악화를 구분하는 점수의 순서 정보를 이용한다. 이들은 권고 실행의 인과적 성공률이 아니다. 특히 방향일치율 72%를 ‘LLM 행동을 적용하면 72% 확률로 신용등급이 개선된다’로 해석할 수 없다.</w:t>
      </w:r>
    </w:p>
    <w:p>
      <w:bookmarkStart w:id="81" w:name="cap_13"/>
      <w:pPr>
        <w:pStyle w:val="af"/>
        <w:widowControl/>
      </w:pPr>
      <w:r>
        <w:t>표 4-1. 개발 단계 Oracle 정렬성 검증기록</w:t>
      </w:r>
      <w:bookmarkEnd w:id="81"/>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680"/>
        <w:gridCol w:w="1247"/>
        <w:gridCol w:w="1247"/>
        <w:gridCol w:w="1417"/>
        <w:gridCol w:w="2154"/>
        <w:gridCol w:w="1191"/>
      </w:tblGrid>
      <w:tr>
        <w:trPr>
          <w:cantSplit/>
          <w:tblHeader/>
        </w:trPr>
        <w:tc>
          <w:tcPr>
            <w:tcW w:type="dxa" w:w="680"/>
            <w:vAlign w:val="center"/>
            <w:shd w:fill="F1F1F1"/>
            <w:tcMar>
              <w:top w:w="65" w:type="dxa"/>
              <w:left w:w="65" w:type="dxa"/>
              <w:bottom w:w="65" w:type="dxa"/>
              <w:right w:w="65" w:type="dxa"/>
            </w:tcMar>
          </w:tcPr>
          <w:p>
            <w:pPr>
              <w:pStyle w:val="TableText"/>
              <w:keepNext/>
              <w:widowControl/>
              <w:jc w:val="center"/>
            </w:pPr>
            <w:r>
              <w:rPr>
                <w:b/>
                <w:sz w:val="17"/>
              </w:rPr>
              <w:t>Oracle</w:t>
            </w:r>
          </w:p>
        </w:tc>
        <w:tc>
          <w:tcPr>
            <w:tcW w:type="dxa" w:w="1247"/>
            <w:vAlign w:val="center"/>
            <w:shd w:fill="F1F1F1"/>
            <w:tcMar>
              <w:top w:w="65" w:type="dxa"/>
              <w:left w:w="65" w:type="dxa"/>
              <w:bottom w:w="65" w:type="dxa"/>
              <w:right w:w="65" w:type="dxa"/>
            </w:tcMar>
          </w:tcPr>
          <w:p>
            <w:pPr>
              <w:pStyle w:val="TableText"/>
              <w:keepNext/>
              <w:widowControl/>
              <w:jc w:val="center"/>
            </w:pPr>
            <w:r>
              <w:rPr>
                <w:b/>
                <w:sz w:val="17"/>
              </w:rPr>
              <w:t>동시점 ρ</w:t>
            </w:r>
          </w:p>
        </w:tc>
        <w:tc>
          <w:tcPr>
            <w:tcW w:type="dxa" w:w="1247"/>
            <w:vAlign w:val="center"/>
            <w:shd w:fill="F1F1F1"/>
            <w:tcMar>
              <w:top w:w="65" w:type="dxa"/>
              <w:left w:w="65" w:type="dxa"/>
              <w:bottom w:w="65" w:type="dxa"/>
              <w:right w:w="65" w:type="dxa"/>
            </w:tcMar>
          </w:tcPr>
          <w:p>
            <w:pPr>
              <w:pStyle w:val="TableText"/>
              <w:keepNext/>
              <w:widowControl/>
              <w:jc w:val="center"/>
            </w:pPr>
            <w:r>
              <w:rPr>
                <w:b/>
                <w:sz w:val="17"/>
              </w:rPr>
              <w:t>선행 ρ</w:t>
            </w:r>
          </w:p>
        </w:tc>
        <w:tc>
          <w:tcPr>
            <w:tcW w:type="dxa" w:w="1417"/>
            <w:vAlign w:val="center"/>
            <w:shd w:fill="F1F1F1"/>
            <w:tcMar>
              <w:top w:w="65" w:type="dxa"/>
              <w:left w:w="65" w:type="dxa"/>
              <w:bottom w:w="65" w:type="dxa"/>
              <w:right w:w="65" w:type="dxa"/>
            </w:tcMar>
          </w:tcPr>
          <w:p>
            <w:pPr>
              <w:pStyle w:val="TableText"/>
              <w:keepNext/>
              <w:widowControl/>
              <w:jc w:val="center"/>
            </w:pPr>
            <w:r>
              <w:rPr>
                <w:b/>
                <w:sz w:val="17"/>
              </w:rPr>
              <w:t>방향일치율</w:t>
            </w:r>
          </w:p>
        </w:tc>
        <w:tc>
          <w:tcPr>
            <w:tcW w:type="dxa" w:w="2154"/>
            <w:vAlign w:val="center"/>
            <w:shd w:fill="F1F1F1"/>
            <w:tcMar>
              <w:top w:w="65" w:type="dxa"/>
              <w:left w:w="65" w:type="dxa"/>
              <w:bottom w:w="65" w:type="dxa"/>
              <w:right w:w="65" w:type="dxa"/>
            </w:tcMar>
          </w:tcPr>
          <w:p>
            <w:pPr>
              <w:pStyle w:val="TableText"/>
              <w:keepNext/>
              <w:widowControl/>
              <w:jc w:val="center"/>
            </w:pPr>
            <w:r>
              <w:rPr>
                <w:b/>
                <w:sz w:val="17"/>
              </w:rPr>
              <w:t>95% 구간</w:t>
            </w:r>
          </w:p>
        </w:tc>
        <w:tc>
          <w:tcPr>
            <w:tcW w:type="dxa" w:w="1191"/>
            <w:vAlign w:val="center"/>
            <w:shd w:fill="F1F1F1"/>
            <w:tcMar>
              <w:top w:w="65" w:type="dxa"/>
              <w:left w:w="65" w:type="dxa"/>
              <w:bottom w:w="65" w:type="dxa"/>
              <w:right w:w="65" w:type="dxa"/>
            </w:tcMar>
          </w:tcPr>
          <w:p>
            <w:pPr>
              <w:pStyle w:val="TableText"/>
              <w:keepNext/>
              <w:widowControl/>
              <w:jc w:val="center"/>
            </w:pPr>
            <w:r>
              <w:rPr>
                <w:b/>
                <w:sz w:val="17"/>
              </w:rPr>
              <w:t>AUC</w:t>
            </w:r>
          </w:p>
        </w:tc>
      </w:tr>
      <w:tr>
        <w:trPr>
          <w:cantSplit/>
        </w:trPr>
        <w:tc>
          <w:tcPr>
            <w:tcW w:type="dxa" w:w="680"/>
            <w:vAlign w:val="center"/>
            <w:tcMar>
              <w:top w:w="65" w:type="dxa"/>
              <w:left w:w="65" w:type="dxa"/>
              <w:bottom w:w="65" w:type="dxa"/>
              <w:right w:w="65" w:type="dxa"/>
            </w:tcMar>
          </w:tcPr>
          <w:p>
            <w:pPr>
              <w:pStyle w:val="TableText"/>
              <w:keepNext/>
              <w:widowControl/>
              <w:jc w:val="left"/>
            </w:pPr>
            <w:r>
              <w:rPr>
                <w:b w:val="0"/>
                <w:sz w:val="17"/>
              </w:rPr>
              <w:t>α</w:t>
            </w:r>
          </w:p>
        </w:tc>
        <w:tc>
          <w:tcPr>
            <w:tcW w:type="dxa" w:w="1247"/>
            <w:vAlign w:val="center"/>
            <w:tcMar>
              <w:top w:w="65" w:type="dxa"/>
              <w:left w:w="65" w:type="dxa"/>
              <w:bottom w:w="65" w:type="dxa"/>
              <w:right w:w="65" w:type="dxa"/>
            </w:tcMar>
          </w:tcPr>
          <w:p>
            <w:pPr>
              <w:pStyle w:val="TableText"/>
              <w:keepNext/>
              <w:widowControl/>
              <w:jc w:val="left"/>
            </w:pPr>
            <w:r>
              <w:rPr>
                <w:b w:val="0"/>
                <w:sz w:val="17"/>
              </w:rPr>
              <w:t>0.678</w:t>
            </w:r>
          </w:p>
        </w:tc>
        <w:tc>
          <w:tcPr>
            <w:tcW w:type="dxa" w:w="1247"/>
            <w:vAlign w:val="center"/>
            <w:tcMar>
              <w:top w:w="65" w:type="dxa"/>
              <w:left w:w="65" w:type="dxa"/>
              <w:bottom w:w="65" w:type="dxa"/>
              <w:right w:w="65" w:type="dxa"/>
            </w:tcMar>
          </w:tcPr>
          <w:p>
            <w:pPr>
              <w:pStyle w:val="TableText"/>
              <w:keepNext/>
              <w:widowControl/>
              <w:jc w:val="left"/>
            </w:pPr>
            <w:r>
              <w:rPr>
                <w:b w:val="0"/>
                <w:sz w:val="17"/>
              </w:rPr>
              <w:t>0.500</w:t>
            </w:r>
          </w:p>
        </w:tc>
        <w:tc>
          <w:tcPr>
            <w:tcW w:type="dxa" w:w="1417"/>
            <w:vAlign w:val="center"/>
            <w:tcMar>
              <w:top w:w="65" w:type="dxa"/>
              <w:left w:w="65" w:type="dxa"/>
              <w:bottom w:w="65" w:type="dxa"/>
              <w:right w:w="65" w:type="dxa"/>
            </w:tcMar>
          </w:tcPr>
          <w:p>
            <w:pPr>
              <w:pStyle w:val="TableText"/>
              <w:keepNext/>
              <w:widowControl/>
              <w:jc w:val="left"/>
            </w:pPr>
            <w:r>
              <w:rPr>
                <w:b w:val="0"/>
                <w:sz w:val="17"/>
              </w:rPr>
              <w:t>72.0%</w:t>
            </w:r>
          </w:p>
        </w:tc>
        <w:tc>
          <w:tcPr>
            <w:tcW w:type="dxa" w:w="2154"/>
            <w:vAlign w:val="center"/>
            <w:tcMar>
              <w:top w:w="65" w:type="dxa"/>
              <w:left w:w="65" w:type="dxa"/>
              <w:bottom w:w="65" w:type="dxa"/>
              <w:right w:w="65" w:type="dxa"/>
            </w:tcMar>
          </w:tcPr>
          <w:p>
            <w:pPr>
              <w:pStyle w:val="TableText"/>
              <w:keepNext/>
              <w:widowControl/>
              <w:jc w:val="left"/>
            </w:pPr>
            <w:r>
              <w:rPr>
                <w:b w:val="0"/>
                <w:sz w:val="17"/>
              </w:rPr>
              <w:t>[64.7, 78.4]</w:t>
            </w:r>
          </w:p>
        </w:tc>
        <w:tc>
          <w:tcPr>
            <w:tcW w:type="dxa" w:w="1191"/>
            <w:vAlign w:val="center"/>
            <w:tcMar>
              <w:top w:w="65" w:type="dxa"/>
              <w:left w:w="65" w:type="dxa"/>
              <w:bottom w:w="65" w:type="dxa"/>
              <w:right w:w="65" w:type="dxa"/>
            </w:tcMar>
          </w:tcPr>
          <w:p>
            <w:pPr>
              <w:pStyle w:val="TableText"/>
              <w:keepNext/>
              <w:widowControl/>
              <w:jc w:val="left"/>
            </w:pPr>
            <w:r>
              <w:rPr>
                <w:b w:val="0"/>
                <w:sz w:val="17"/>
              </w:rPr>
              <w:t>0.803</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7"/>
              </w:rPr>
              <w:t>β</w:t>
            </w:r>
          </w:p>
        </w:tc>
        <w:tc>
          <w:tcPr>
            <w:tcW w:type="dxa" w:w="1247"/>
            <w:vAlign w:val="center"/>
            <w:tcMar>
              <w:top w:w="65" w:type="dxa"/>
              <w:left w:w="65" w:type="dxa"/>
              <w:bottom w:w="65" w:type="dxa"/>
              <w:right w:w="65" w:type="dxa"/>
            </w:tcMar>
          </w:tcPr>
          <w:p>
            <w:pPr>
              <w:pStyle w:val="TableText"/>
              <w:keepNext w:val="0"/>
              <w:widowControl/>
              <w:jc w:val="left"/>
            </w:pPr>
            <w:r>
              <w:rPr>
                <w:b w:val="0"/>
                <w:sz w:val="17"/>
              </w:rPr>
              <w:t>0.700</w:t>
            </w:r>
          </w:p>
        </w:tc>
        <w:tc>
          <w:tcPr>
            <w:tcW w:type="dxa" w:w="1247"/>
            <w:vAlign w:val="center"/>
            <w:tcMar>
              <w:top w:w="65" w:type="dxa"/>
              <w:left w:w="65" w:type="dxa"/>
              <w:bottom w:w="65" w:type="dxa"/>
              <w:right w:w="65" w:type="dxa"/>
            </w:tcMar>
          </w:tcPr>
          <w:p>
            <w:pPr>
              <w:pStyle w:val="TableText"/>
              <w:keepNext w:val="0"/>
              <w:widowControl/>
              <w:jc w:val="left"/>
            </w:pPr>
            <w:r>
              <w:rPr>
                <w:b w:val="0"/>
                <w:sz w:val="17"/>
              </w:rPr>
              <w:t>0.355</w:t>
            </w:r>
          </w:p>
        </w:tc>
        <w:tc>
          <w:tcPr>
            <w:tcW w:type="dxa" w:w="1417"/>
            <w:vAlign w:val="center"/>
            <w:tcMar>
              <w:top w:w="65" w:type="dxa"/>
              <w:left w:w="65" w:type="dxa"/>
              <w:bottom w:w="65" w:type="dxa"/>
              <w:right w:w="65" w:type="dxa"/>
            </w:tcMar>
          </w:tcPr>
          <w:p>
            <w:pPr>
              <w:pStyle w:val="TableText"/>
              <w:keepNext w:val="0"/>
              <w:widowControl/>
              <w:jc w:val="left"/>
            </w:pPr>
            <w:r>
              <w:rPr>
                <w:b w:val="0"/>
                <w:sz w:val="17"/>
              </w:rPr>
              <w:t>72.0%</w:t>
            </w:r>
          </w:p>
        </w:tc>
        <w:tc>
          <w:tcPr>
            <w:tcW w:type="dxa" w:w="2154"/>
            <w:vAlign w:val="center"/>
            <w:tcMar>
              <w:top w:w="65" w:type="dxa"/>
              <w:left w:w="65" w:type="dxa"/>
              <w:bottom w:w="65" w:type="dxa"/>
              <w:right w:w="65" w:type="dxa"/>
            </w:tcMar>
          </w:tcPr>
          <w:p>
            <w:pPr>
              <w:pStyle w:val="TableText"/>
              <w:keepNext w:val="0"/>
              <w:widowControl/>
              <w:jc w:val="left"/>
            </w:pPr>
            <w:r>
              <w:rPr>
                <w:b w:val="0"/>
                <w:sz w:val="17"/>
              </w:rPr>
              <w:t>[64.7, 78.4]</w:t>
            </w:r>
          </w:p>
        </w:tc>
        <w:tc>
          <w:tcPr>
            <w:tcW w:type="dxa" w:w="1191"/>
            <w:vAlign w:val="center"/>
            <w:tcMar>
              <w:top w:w="65" w:type="dxa"/>
              <w:left w:w="65" w:type="dxa"/>
              <w:bottom w:w="65" w:type="dxa"/>
              <w:right w:w="65" w:type="dxa"/>
            </w:tcMar>
          </w:tcPr>
          <w:p>
            <w:pPr>
              <w:pStyle w:val="TableText"/>
              <w:keepNext w:val="0"/>
              <w:widowControl/>
              <w:jc w:val="left"/>
            </w:pPr>
            <w:r>
              <w:rPr>
                <w:b w:val="0"/>
                <w:sz w:val="17"/>
              </w:rPr>
              <w:t>0.722</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7"/>
              </w:rPr>
              <w:t>γ</w:t>
            </w:r>
          </w:p>
        </w:tc>
        <w:tc>
          <w:tcPr>
            <w:tcW w:type="dxa" w:w="1247"/>
            <w:vAlign w:val="center"/>
            <w:tcMar>
              <w:top w:w="65" w:type="dxa"/>
              <w:left w:w="65" w:type="dxa"/>
              <w:bottom w:w="65" w:type="dxa"/>
              <w:right w:w="65" w:type="dxa"/>
            </w:tcMar>
          </w:tcPr>
          <w:p>
            <w:pPr>
              <w:pStyle w:val="TableText"/>
              <w:keepNext w:val="0"/>
              <w:widowControl/>
              <w:jc w:val="left"/>
            </w:pPr>
            <w:r>
              <w:rPr>
                <w:b w:val="0"/>
                <w:sz w:val="17"/>
              </w:rPr>
              <w:t>0.776</w:t>
            </w:r>
          </w:p>
        </w:tc>
        <w:tc>
          <w:tcPr>
            <w:tcW w:type="dxa" w:w="1247"/>
            <w:vAlign w:val="center"/>
            <w:tcMar>
              <w:top w:w="65" w:type="dxa"/>
              <w:left w:w="65" w:type="dxa"/>
              <w:bottom w:w="65" w:type="dxa"/>
              <w:right w:w="65" w:type="dxa"/>
            </w:tcMar>
          </w:tcPr>
          <w:p>
            <w:pPr>
              <w:pStyle w:val="TableText"/>
              <w:keepNext w:val="0"/>
              <w:widowControl/>
              <w:jc w:val="left"/>
            </w:pPr>
            <w:r>
              <w:rPr>
                <w:b w:val="0"/>
                <w:sz w:val="17"/>
              </w:rPr>
              <w:t>0.361</w:t>
            </w:r>
          </w:p>
        </w:tc>
        <w:tc>
          <w:tcPr>
            <w:tcW w:type="dxa" w:w="1417"/>
            <w:vAlign w:val="center"/>
            <w:tcMar>
              <w:top w:w="65" w:type="dxa"/>
              <w:left w:w="65" w:type="dxa"/>
              <w:bottom w:w="65" w:type="dxa"/>
              <w:right w:w="65" w:type="dxa"/>
            </w:tcMar>
          </w:tcPr>
          <w:p>
            <w:pPr>
              <w:pStyle w:val="TableText"/>
              <w:keepNext w:val="0"/>
              <w:widowControl/>
              <w:jc w:val="left"/>
            </w:pPr>
            <w:r>
              <w:rPr>
                <w:b w:val="0"/>
                <w:sz w:val="17"/>
              </w:rPr>
              <w:t>65.2%</w:t>
            </w:r>
          </w:p>
        </w:tc>
        <w:tc>
          <w:tcPr>
            <w:tcW w:type="dxa" w:w="2154"/>
            <w:vAlign w:val="center"/>
            <w:tcMar>
              <w:top w:w="65" w:type="dxa"/>
              <w:left w:w="65" w:type="dxa"/>
              <w:bottom w:w="65" w:type="dxa"/>
              <w:right w:w="65" w:type="dxa"/>
            </w:tcMar>
          </w:tcPr>
          <w:p>
            <w:pPr>
              <w:pStyle w:val="TableText"/>
              <w:keepNext w:val="0"/>
              <w:widowControl/>
              <w:jc w:val="left"/>
            </w:pPr>
            <w:r>
              <w:rPr>
                <w:b w:val="0"/>
                <w:sz w:val="17"/>
              </w:rPr>
              <w:t>[57.6, 72.1]</w:t>
            </w:r>
          </w:p>
        </w:tc>
        <w:tc>
          <w:tcPr>
            <w:tcW w:type="dxa" w:w="1191"/>
            <w:vAlign w:val="center"/>
            <w:tcMar>
              <w:top w:w="65" w:type="dxa"/>
              <w:left w:w="65" w:type="dxa"/>
              <w:bottom w:w="65" w:type="dxa"/>
              <w:right w:w="65" w:type="dxa"/>
            </w:tcMar>
          </w:tcPr>
          <w:p>
            <w:pPr>
              <w:pStyle w:val="TableText"/>
              <w:keepNext w:val="0"/>
              <w:widowControl/>
              <w:jc w:val="left"/>
            </w:pPr>
            <w:r>
              <w:rPr>
                <w:b w:val="0"/>
                <w:sz w:val="17"/>
              </w:rPr>
              <w:t>0.719</w:t>
            </w:r>
          </w:p>
        </w:tc>
      </w:tr>
    </w:tbl>
    <w:p>
      <w:pPr>
        <w:pStyle w:val="SourceNote"/>
        <w:widowControl/>
      </w:pPr>
      <w:r>
        <w:t>자료: 개발 단계 분석기록 표 4-1의 개발·시간외 검증기록. 방향일치율은 실제 등급이 이동한 161개 사례를 대상으로 하며 구간은 Wilson 95%이다. 본 분석에서 최종 Oracle 실행코드로 새로 추정한 값은 아니다.</w:t>
      </w:r>
    </w:p>
    <w:p>
      <w:pPr>
        <w:widowControl/>
      </w:pPr>
      <w:r>
        <w:t>세 Oracle는 개발 검증기록에서 실제 등급의 순서 및 변화방향과 양의 정렬성을 보였다. α는 비교적 단순한 구간형 구조이면서 방향 비교에서 유용한 정보를 제공하였기 때문에 주 평가자로 사용되었다. 그러나 기업의 등급을 정렬하는 능력이 작은 관리행동의 효과까지 동일하게 구분한다는 보장은 없다. 실제 행동별 점수의 동률과 Oracle 간 선호 차이는 제4.3절에서 별도로 확인한다.</w:t>
      </w:r>
    </w:p>
    <w:p>
      <w:pPr>
        <w:widowControl/>
      </w:pPr>
      <w:r>
        <w:t>현재 남아 있는 한계는 원 검증을 산출한 입력·코드·Oracle 스냅샷과 최종 실행파일의 완전한 대응이다. 본 분석은 개발 검증 수치를 보존하고 출처를 명시하지만, 그 숫자가 V4.3의 모든 변경 이후에도 동일하게 재산출되었다고 선언하지 않는다. 이 구분을 유지하는 것이 검증 결과를 과도하게 넓혀 해석하지 않는 방법이다.</w:t>
      </w:r>
    </w:p>
    <w:p>
      <w:bookmarkStart w:id="82" w:name="head_69"/>
      <w:pPr>
        <w:pStyle w:val="2"/>
        <w:widowControl/>
      </w:pPr>
      <w:r>
        <w:t>4.2 Simulator 검증의 범위와 최신 실행 점검</w:t>
      </w:r>
      <w:bookmarkEnd w:id="82"/>
    </w:p>
    <w:p>
      <w:bookmarkStart w:id="83" w:name="head_70"/>
      <w:pPr>
        <w:pStyle w:val="3"/>
        <w:widowControl/>
      </w:pPr>
      <w:r>
        <w:t>4.2.1 회계적 일관성과 과거 상태 재현</w:t>
      </w:r>
      <w:bookmarkEnd w:id="83"/>
    </w:p>
    <w:p>
      <w:pPr>
        <w:widowControl/>
      </w:pPr>
      <w:r>
        <w:t>개발 단계의 시뮬레이션 검사는 회계항등식과 비정상 값, 행 정렬의 일관성을 확인하였다. 원 기록의 31,590개 시뮬레이션 상태에서 자산=부채+자본의 최대 상대오차는 4.66×10⁻¹⁶, 자산=유동자산+비유동자산 오차는 0으로 보고되었다. 관측전이 3,159행에서 행 누락 및 비정상 값이 없었다는 결과도 함께 남아 있다.</w:t>
      </w:r>
    </w:p>
    <w:p>
      <w:pPr>
        <w:widowControl/>
      </w:pPr>
      <w:r>
        <w:t>이 검사는 계산체계가 정해진 항등식을 지키는지에 관한 증거이다. 현실의 재무제표를 정확하게 예측한다거나 자금조달이 실제로 가능하다는 증거는 아니다. 과거 관측행동을 다시 적용한 재현 비교에서는 회사채·장기차입금·단기차입금·총자산을 비교하였고, 총자산 대비 중앙 절대오차가 가장 큰 항목은 총자산의 8.83%였다. 현재 계약은 행동의 정의가 바뀌었으므로 이 전체 검증의 최신 재실행 여부를 별도로 남겨야 한다.</w:t>
      </w:r>
    </w:p>
    <w:p>
      <w:bookmarkStart w:id="84" w:name="head_71"/>
      <w:pPr>
        <w:pStyle w:val="3"/>
        <w:widowControl/>
      </w:pPr>
      <w:r>
        <w:t>4.2.2 수준, 기업 순위와 변화방향의 분리</w:t>
      </w:r>
      <w:bookmarkEnd w:id="84"/>
    </w:p>
    <w:p>
      <w:pPr>
        <w:widowControl/>
      </w:pPr>
      <w:r>
        <w:t>원 연구의 초기 B2는 관측행동을 적용한 Simulator 신용평점의 변화방향을 다음 해 실제 등급이동과 연결한 지표이며, OOT 값은 55.0%였다. 이 하나의 값에는 행동 복원오차, 재무전파오차, Oracle의 점수화, 분석대상 및 시차의 차이가 섞여 있다. 따라서 Simulator 자체의 검증 성능을 단독으로 나타내는 수치로 사용하지 않는다.</w:t>
      </w:r>
    </w:p>
    <w:p>
      <w:pPr>
        <w:widowControl/>
      </w:pPr>
      <w:r>
        <w:t>검사 3은 비교대상을 같은 Oracle 점수로 맞춘 뒤 세 질문을 분리하였다. P1은 Simulator 상태와 실제 관측상태 사이의 점수 수준차이, P2는 기업 순위의 일치, P3는 개발기간의 점수차이를 보정한 후 전년 대비 변화방향의 일치이다. 이 구분은 수준예측에 실패한 모형이 상대비교에는 어떤 정보를 남기는지를 점검한다.</w:t>
      </w:r>
    </w:p>
    <w:p>
      <w:bookmarkStart w:id="85" w:name="cap_14"/>
      <w:pPr>
        <w:pStyle w:val="af"/>
        <w:widowControl/>
      </w:pPr>
      <w:r>
        <w:t>표 4-2. 개발 단계 Simulator 검사 3의 기간별 결과</w:t>
      </w:r>
      <w:bookmarkEnd w:id="85"/>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2494"/>
        <w:gridCol w:w="1814"/>
        <w:gridCol w:w="1814"/>
        <w:gridCol w:w="1814"/>
      </w:tblGrid>
      <w:tr>
        <w:trPr>
          <w:cantSplit/>
          <w:tblHeader/>
        </w:trPr>
        <w:tc>
          <w:tcPr>
            <w:tcW w:type="dxa" w:w="2494"/>
            <w:vAlign w:val="center"/>
            <w:shd w:fill="F1F1F1"/>
            <w:tcMar>
              <w:top w:w="65" w:type="dxa"/>
              <w:left w:w="65" w:type="dxa"/>
              <w:bottom w:w="65" w:type="dxa"/>
              <w:right w:w="65" w:type="dxa"/>
            </w:tcMar>
          </w:tcPr>
          <w:p>
            <w:pPr>
              <w:pStyle w:val="TableText"/>
              <w:keepNext/>
              <w:widowControl/>
              <w:jc w:val="center"/>
            </w:pPr>
            <w:r>
              <w:rPr>
                <w:b/>
                <w:sz w:val="18"/>
              </w:rPr>
              <w:t>지표</w:t>
            </w:r>
          </w:p>
        </w:tc>
        <w:tc>
          <w:tcPr>
            <w:tcW w:type="dxa" w:w="1814"/>
            <w:vAlign w:val="center"/>
            <w:shd w:fill="F1F1F1"/>
            <w:tcMar>
              <w:top w:w="65" w:type="dxa"/>
              <w:left w:w="65" w:type="dxa"/>
              <w:bottom w:w="65" w:type="dxa"/>
              <w:right w:w="65" w:type="dxa"/>
            </w:tcMar>
          </w:tcPr>
          <w:p>
            <w:pPr>
              <w:pStyle w:val="TableText"/>
              <w:keepNext/>
              <w:widowControl/>
              <w:jc w:val="center"/>
            </w:pPr>
            <w:r>
              <w:rPr>
                <w:b/>
                <w:sz w:val="18"/>
              </w:rPr>
              <w:t>DEV</w:t>
            </w:r>
          </w:p>
        </w:tc>
        <w:tc>
          <w:tcPr>
            <w:tcW w:type="dxa" w:w="1814"/>
            <w:vAlign w:val="center"/>
            <w:shd w:fill="F1F1F1"/>
            <w:tcMar>
              <w:top w:w="65" w:type="dxa"/>
              <w:left w:w="65" w:type="dxa"/>
              <w:bottom w:w="65" w:type="dxa"/>
              <w:right w:w="65" w:type="dxa"/>
            </w:tcMar>
          </w:tcPr>
          <w:p>
            <w:pPr>
              <w:pStyle w:val="TableText"/>
              <w:keepNext/>
              <w:widowControl/>
              <w:jc w:val="center"/>
            </w:pPr>
            <w:r>
              <w:rPr>
                <w:b/>
                <w:sz w:val="18"/>
              </w:rPr>
              <w:t>OOT</w:t>
            </w:r>
          </w:p>
        </w:tc>
        <w:tc>
          <w:tcPr>
            <w:tcW w:type="dxa" w:w="1814"/>
            <w:vAlign w:val="center"/>
            <w:shd w:fill="F1F1F1"/>
            <w:tcMar>
              <w:top w:w="65" w:type="dxa"/>
              <w:left w:w="65" w:type="dxa"/>
              <w:bottom w:w="65" w:type="dxa"/>
              <w:right w:w="65" w:type="dxa"/>
            </w:tcMar>
          </w:tcPr>
          <w:p>
            <w:pPr>
              <w:pStyle w:val="TableText"/>
              <w:keepNext/>
              <w:widowControl/>
              <w:jc w:val="center"/>
            </w:pPr>
            <w:r>
              <w:rPr>
                <w:b/>
                <w:sz w:val="18"/>
              </w:rPr>
              <w:t>POST</w:t>
            </w:r>
          </w:p>
        </w:tc>
      </w:tr>
      <w:tr>
        <w:trPr>
          <w:cantSplit/>
        </w:trPr>
        <w:tc>
          <w:tcPr>
            <w:tcW w:type="dxa" w:w="2494"/>
            <w:vAlign w:val="center"/>
            <w:tcMar>
              <w:top w:w="65" w:type="dxa"/>
              <w:left w:w="65" w:type="dxa"/>
              <w:bottom w:w="65" w:type="dxa"/>
              <w:right w:w="65" w:type="dxa"/>
            </w:tcMar>
          </w:tcPr>
          <w:p>
            <w:pPr>
              <w:pStyle w:val="TableText"/>
              <w:keepNext/>
              <w:widowControl/>
              <w:jc w:val="left"/>
            </w:pPr>
            <w:r>
              <w:rPr>
                <w:b w:val="0"/>
                <w:sz w:val="18"/>
              </w:rPr>
              <w:t>점수차이 중앙값</w:t>
            </w:r>
          </w:p>
        </w:tc>
        <w:tc>
          <w:tcPr>
            <w:tcW w:type="dxa" w:w="1814"/>
            <w:vAlign w:val="center"/>
            <w:tcMar>
              <w:top w:w="65" w:type="dxa"/>
              <w:left w:w="65" w:type="dxa"/>
              <w:bottom w:w="65" w:type="dxa"/>
              <w:right w:w="65" w:type="dxa"/>
            </w:tcMar>
          </w:tcPr>
          <w:p>
            <w:pPr>
              <w:pStyle w:val="TableText"/>
              <w:keepNext/>
              <w:widowControl/>
              <w:jc w:val="left"/>
            </w:pPr>
            <w:r>
              <w:rPr>
                <w:b w:val="0"/>
                <w:sz w:val="18"/>
              </w:rPr>
              <w:t>10.842 (975)</w:t>
            </w:r>
          </w:p>
        </w:tc>
        <w:tc>
          <w:tcPr>
            <w:tcW w:type="dxa" w:w="1814"/>
            <w:vAlign w:val="center"/>
            <w:tcMar>
              <w:top w:w="65" w:type="dxa"/>
              <w:left w:w="65" w:type="dxa"/>
              <w:bottom w:w="65" w:type="dxa"/>
              <w:right w:w="65" w:type="dxa"/>
            </w:tcMar>
          </w:tcPr>
          <w:p>
            <w:pPr>
              <w:pStyle w:val="TableText"/>
              <w:keepNext/>
              <w:widowControl/>
              <w:jc w:val="left"/>
            </w:pPr>
            <w:r>
              <w:rPr>
                <w:b w:val="0"/>
                <w:sz w:val="18"/>
              </w:rPr>
              <w:t>10.700 (925)</w:t>
            </w:r>
          </w:p>
        </w:tc>
        <w:tc>
          <w:tcPr>
            <w:tcW w:type="dxa" w:w="1814"/>
            <w:vAlign w:val="center"/>
            <w:tcMar>
              <w:top w:w="65" w:type="dxa"/>
              <w:left w:w="65" w:type="dxa"/>
              <w:bottom w:w="65" w:type="dxa"/>
              <w:right w:w="65" w:type="dxa"/>
            </w:tcMar>
          </w:tcPr>
          <w:p>
            <w:pPr>
              <w:pStyle w:val="TableText"/>
              <w:keepNext/>
              <w:widowControl/>
              <w:jc w:val="left"/>
            </w:pPr>
            <w:r>
              <w:rPr>
                <w:b w:val="0"/>
                <w:sz w:val="18"/>
              </w:rPr>
              <w:t>11.155 (424)</w:t>
            </w:r>
          </w:p>
        </w:tc>
      </w:tr>
      <w:tr>
        <w:trPr>
          <w:cantSplit/>
        </w:trPr>
        <w:tc>
          <w:tcPr>
            <w:tcW w:type="dxa" w:w="2494"/>
            <w:vAlign w:val="center"/>
            <w:tcMar>
              <w:top w:w="65" w:type="dxa"/>
              <w:left w:w="65" w:type="dxa"/>
              <w:bottom w:w="65" w:type="dxa"/>
              <w:right w:w="65" w:type="dxa"/>
            </w:tcMar>
          </w:tcPr>
          <w:p>
            <w:pPr>
              <w:pStyle w:val="TableText"/>
              <w:keepNext w:val="0"/>
              <w:widowControl/>
              <w:jc w:val="left"/>
            </w:pPr>
            <w:r>
              <w:rPr>
                <w:b w:val="0"/>
                <w:sz w:val="18"/>
              </w:rPr>
              <w:t>기업 순위상관 ρ</w:t>
            </w:r>
          </w:p>
        </w:tc>
        <w:tc>
          <w:tcPr>
            <w:tcW w:type="dxa" w:w="1814"/>
            <w:vAlign w:val="center"/>
            <w:tcMar>
              <w:top w:w="65" w:type="dxa"/>
              <w:left w:w="65" w:type="dxa"/>
              <w:bottom w:w="65" w:type="dxa"/>
              <w:right w:w="65" w:type="dxa"/>
            </w:tcMar>
          </w:tcPr>
          <w:p>
            <w:pPr>
              <w:pStyle w:val="TableText"/>
              <w:keepNext w:val="0"/>
              <w:widowControl/>
              <w:jc w:val="left"/>
            </w:pPr>
            <w:r>
              <w:rPr>
                <w:b w:val="0"/>
                <w:sz w:val="18"/>
              </w:rPr>
              <w:t>0.907 (975)</w:t>
            </w:r>
          </w:p>
        </w:tc>
        <w:tc>
          <w:tcPr>
            <w:tcW w:type="dxa" w:w="1814"/>
            <w:vAlign w:val="center"/>
            <w:tcMar>
              <w:top w:w="65" w:type="dxa"/>
              <w:left w:w="65" w:type="dxa"/>
              <w:bottom w:w="65" w:type="dxa"/>
              <w:right w:w="65" w:type="dxa"/>
            </w:tcMar>
          </w:tcPr>
          <w:p>
            <w:pPr>
              <w:pStyle w:val="TableText"/>
              <w:keepNext w:val="0"/>
              <w:widowControl/>
              <w:jc w:val="left"/>
            </w:pPr>
            <w:r>
              <w:rPr>
                <w:b w:val="0"/>
                <w:sz w:val="18"/>
              </w:rPr>
              <w:t>0.903 (925)</w:t>
            </w:r>
          </w:p>
        </w:tc>
        <w:tc>
          <w:tcPr>
            <w:tcW w:type="dxa" w:w="1814"/>
            <w:vAlign w:val="center"/>
            <w:tcMar>
              <w:top w:w="65" w:type="dxa"/>
              <w:left w:w="65" w:type="dxa"/>
              <w:bottom w:w="65" w:type="dxa"/>
              <w:right w:w="65" w:type="dxa"/>
            </w:tcMar>
          </w:tcPr>
          <w:p>
            <w:pPr>
              <w:pStyle w:val="TableText"/>
              <w:keepNext w:val="0"/>
              <w:widowControl/>
              <w:jc w:val="left"/>
            </w:pPr>
            <w:r>
              <w:rPr>
                <w:b w:val="0"/>
                <w:sz w:val="18"/>
              </w:rPr>
              <w:t>0.892 (424)</w:t>
            </w:r>
          </w:p>
        </w:tc>
      </w:tr>
      <w:tr>
        <w:trPr>
          <w:cantSplit/>
        </w:trPr>
        <w:tc>
          <w:tcPr>
            <w:tcW w:type="dxa" w:w="2494"/>
            <w:vAlign w:val="center"/>
            <w:tcMar>
              <w:top w:w="65" w:type="dxa"/>
              <w:left w:w="65" w:type="dxa"/>
              <w:bottom w:w="65" w:type="dxa"/>
              <w:right w:w="65" w:type="dxa"/>
            </w:tcMar>
          </w:tcPr>
          <w:p>
            <w:pPr>
              <w:pStyle w:val="TableText"/>
              <w:keepNext w:val="0"/>
              <w:widowControl/>
              <w:jc w:val="left"/>
            </w:pPr>
            <w:r>
              <w:rPr>
                <w:b w:val="0"/>
                <w:sz w:val="18"/>
              </w:rPr>
              <w:t>보정 후 방향일치율</w:t>
            </w:r>
          </w:p>
        </w:tc>
        <w:tc>
          <w:tcPr>
            <w:tcW w:type="dxa" w:w="1814"/>
            <w:vAlign w:val="center"/>
            <w:tcMar>
              <w:top w:w="65" w:type="dxa"/>
              <w:left w:w="65" w:type="dxa"/>
              <w:bottom w:w="65" w:type="dxa"/>
              <w:right w:w="65" w:type="dxa"/>
            </w:tcMar>
          </w:tcPr>
          <w:p>
            <w:pPr>
              <w:pStyle w:val="TableText"/>
              <w:keepNext w:val="0"/>
              <w:widowControl/>
              <w:jc w:val="left"/>
            </w:pPr>
            <w:r>
              <w:rPr>
                <w:b w:val="0"/>
                <w:sz w:val="18"/>
              </w:rPr>
              <w:t>71.2% (698)</w:t>
            </w:r>
          </w:p>
        </w:tc>
        <w:tc>
          <w:tcPr>
            <w:tcW w:type="dxa" w:w="1814"/>
            <w:vAlign w:val="center"/>
            <w:tcMar>
              <w:top w:w="65" w:type="dxa"/>
              <w:left w:w="65" w:type="dxa"/>
              <w:bottom w:w="65" w:type="dxa"/>
              <w:right w:w="65" w:type="dxa"/>
            </w:tcMar>
          </w:tcPr>
          <w:p>
            <w:pPr>
              <w:pStyle w:val="TableText"/>
              <w:keepNext w:val="0"/>
              <w:widowControl/>
              <w:jc w:val="left"/>
            </w:pPr>
            <w:r>
              <w:rPr>
                <w:b w:val="0"/>
                <w:sz w:val="18"/>
              </w:rPr>
              <w:t>71.7% (657)</w:t>
            </w:r>
          </w:p>
        </w:tc>
        <w:tc>
          <w:tcPr>
            <w:tcW w:type="dxa" w:w="1814"/>
            <w:vAlign w:val="center"/>
            <w:tcMar>
              <w:top w:w="65" w:type="dxa"/>
              <w:left w:w="65" w:type="dxa"/>
              <w:bottom w:w="65" w:type="dxa"/>
              <w:right w:w="65" w:type="dxa"/>
            </w:tcMar>
          </w:tcPr>
          <w:p>
            <w:pPr>
              <w:pStyle w:val="TableText"/>
              <w:keepNext w:val="0"/>
              <w:widowControl/>
              <w:jc w:val="left"/>
            </w:pPr>
            <w:r>
              <w:rPr>
                <w:b w:val="0"/>
                <w:sz w:val="18"/>
              </w:rPr>
              <w:t>73.6% (273)</w:t>
            </w:r>
          </w:p>
        </w:tc>
      </w:tr>
      <w:tr>
        <w:trPr>
          <w:cantSplit/>
        </w:trPr>
        <w:tc>
          <w:tcPr>
            <w:tcW w:type="dxa" w:w="2494"/>
            <w:vAlign w:val="center"/>
            <w:tcMar>
              <w:top w:w="65" w:type="dxa"/>
              <w:left w:w="65" w:type="dxa"/>
              <w:bottom w:w="65" w:type="dxa"/>
              <w:right w:w="65" w:type="dxa"/>
            </w:tcMar>
          </w:tcPr>
          <w:p>
            <w:pPr>
              <w:pStyle w:val="TableText"/>
              <w:keepNext w:val="0"/>
              <w:widowControl/>
              <w:jc w:val="left"/>
            </w:pPr>
            <w:r>
              <w:rPr>
                <w:b w:val="0"/>
                <w:sz w:val="18"/>
              </w:rPr>
              <w:t>방향일치율 95% 구간</w:t>
            </w:r>
          </w:p>
        </w:tc>
        <w:tc>
          <w:tcPr>
            <w:tcW w:type="dxa" w:w="1814"/>
            <w:vAlign w:val="center"/>
            <w:tcMar>
              <w:top w:w="65" w:type="dxa"/>
              <w:left w:w="65" w:type="dxa"/>
              <w:bottom w:w="65" w:type="dxa"/>
              <w:right w:w="65" w:type="dxa"/>
            </w:tcMar>
          </w:tcPr>
          <w:p>
            <w:pPr>
              <w:pStyle w:val="TableText"/>
              <w:keepNext w:val="0"/>
              <w:widowControl/>
              <w:jc w:val="left"/>
            </w:pPr>
            <w:r>
              <w:rPr>
                <w:b w:val="0"/>
                <w:sz w:val="18"/>
              </w:rPr>
              <w:t>[67.7, 74.4]</w:t>
            </w:r>
          </w:p>
        </w:tc>
        <w:tc>
          <w:tcPr>
            <w:tcW w:type="dxa" w:w="1814"/>
            <w:vAlign w:val="center"/>
            <w:tcMar>
              <w:top w:w="65" w:type="dxa"/>
              <w:left w:w="65" w:type="dxa"/>
              <w:bottom w:w="65" w:type="dxa"/>
              <w:right w:w="65" w:type="dxa"/>
            </w:tcMar>
          </w:tcPr>
          <w:p>
            <w:pPr>
              <w:pStyle w:val="TableText"/>
              <w:keepNext w:val="0"/>
              <w:widowControl/>
              <w:jc w:val="left"/>
            </w:pPr>
            <w:r>
              <w:rPr>
                <w:b w:val="0"/>
                <w:sz w:val="18"/>
              </w:rPr>
              <w:t>[68.1, 75.0]</w:t>
            </w:r>
          </w:p>
        </w:tc>
        <w:tc>
          <w:tcPr>
            <w:tcW w:type="dxa" w:w="1814"/>
            <w:vAlign w:val="center"/>
            <w:tcMar>
              <w:top w:w="65" w:type="dxa"/>
              <w:left w:w="65" w:type="dxa"/>
              <w:bottom w:w="65" w:type="dxa"/>
              <w:right w:w="65" w:type="dxa"/>
            </w:tcMar>
          </w:tcPr>
          <w:p>
            <w:pPr>
              <w:pStyle w:val="TableText"/>
              <w:keepNext w:val="0"/>
              <w:widowControl/>
              <w:jc w:val="left"/>
            </w:pPr>
            <w:r>
              <w:rPr>
                <w:b w:val="0"/>
                <w:sz w:val="18"/>
              </w:rPr>
              <w:t>[68.1, 78.5]</w:t>
            </w:r>
          </w:p>
        </w:tc>
      </w:tr>
    </w:tbl>
    <w:p>
      <w:pPr>
        <w:pStyle w:val="SourceNote"/>
        <w:widowControl/>
      </w:pPr>
      <w:r>
        <w:t>자료: 개발 단계 분석기록 표 4-2. 괄호는 사례 수이다. DEV 도착연도≤2019, OOT=2020–2023, POST=2024이며, P3의 보정값 10.8418은 DEV 중앙값이다. 이 표는 개발 검증기록으로 보존한다.</w:t>
      </w:r>
    </w:p>
    <w:p>
      <w:pPr>
        <w:widowControl/>
      </w:pPr>
      <w:r>
        <w:t>개발 기록에서 Simulator 점수는 관측 재무상태의 점수보다 중앙값 약 10.8점 높았고, 전체 사례의 97.6%에서 더 높았다. 반면 OOT 기업 순위상관은 0.903, 보정 후 방향일치율은 71.7%였다. 수준오차가 존재하더라도 일부 순위와 방향 정보가 남았다는 해석은 가능하지만, 모든 관리행동의 상대효과가 정확하다는 결론으로 이어지지는 않는다.</w:t>
      </w:r>
    </w:p>
    <w:p>
      <w:pPr>
        <w:widowControl/>
      </w:pPr>
      <w:r>
        <w:t>cash plug는 자금부족을 신규 단기차입으로 보충하기 때문에 낙관적 상태를 만들 수 있는 구조적 요인이다. 그러나 관측된 약 10.8점의 차이 전체가 cash plug 하나 때문에 발생했다고 확정하려면 다른 가정을 통제한 별도 대조가 필요하다. 본 논문은 구조적 원인 후보와 실제 귀속이 입증된 효과를 구분하며, 전체 수준차이를 임의의 단일 원인으로 설명하지 않는다.</w:t>
      </w:r>
    </w:p>
    <w:p>
      <w:pPr>
        <w:widowControl/>
      </w:pPr>
      <w:r>
        <w:t>동일 기업의 정책과 A0를 비교하면 공통적인 수준오차는 줄일 수 있다. 다만 상환행동이 자금부족을 바꾸거나 성장성 투자를 줄여 현금경로를 바꾸는 경우처럼, 오차가 행동에 의존한다면 차이에도 잔여오차가 남는다. 이에 따라 본 연구는 실제 다음 해 등급이나 절대 신용평점 예측보다, 명시된 평가환경 안의 정책 차이를 분석대상으로 제한한다.</w:t>
      </w:r>
    </w:p>
    <w:p>
      <w:bookmarkStart w:id="86" w:name="head_72"/>
      <w:pPr>
        <w:pStyle w:val="3"/>
        <w:widowControl/>
      </w:pPr>
      <w:r>
        <w:t>4.2.3 V4.3 의미론 fixture와 증거의 경계</w:t>
      </w:r>
      <w:bookmarkEnd w:id="86"/>
    </w:p>
    <w:p>
      <w:pPr>
        <w:widowControl/>
      </w:pPr>
      <w:r>
        <w:t>최신 pre-live 패키지는 실제 Simulator에서 Oracle-α·β·γ와 Stage9를 거치는 의미론 fixture를 포함한다. 이 fixture는 제안·수용·ITT·실현의 분리, terminal unusable의 A0 처리, C6-E·C6-EX 조건 및 주요 대비 계산을 연결하여 확인한 실행 점검이다. 저장된 검증결과는 이 경로의 통과를 기록한다.</w:t>
      </w:r>
    </w:p>
    <w:p>
      <w:pPr>
        <w:widowControl/>
      </w:pPr>
      <w:r>
        <w:t>다만 한 개 기업과 제한된 논리 요청을 사용하는 fixture는 전체 575개 기업에 대한 과거 상태 재현이나 외부등급 검증을 대신하지 않는다. 통과 여부는 해당 예제와 검사 범위에서의 구현 정합성을 의미한다. 따라서 개발 단계의 empirical validation, 최신 semantic fixture 및 최종 후보별 payoff 진단을 서로 다른 검증층으로 제시한다.</w:t>
      </w:r>
    </w:p>
    <w:p>
      <w:bookmarkStart w:id="87" w:name="cap_15"/>
      <w:pPr>
        <w:pStyle w:val="af"/>
        <w:widowControl/>
      </w:pPr>
      <w:r>
        <w:t>표 4-3. 현재 확보된 검증층과 해석 가능한 범위</w:t>
      </w:r>
      <w:bookmarkEnd w:id="87"/>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1587"/>
        <w:gridCol w:w="3175"/>
        <w:gridCol w:w="3175"/>
      </w:tblGrid>
      <w:tr>
        <w:trPr>
          <w:cantSplit/>
          <w:tblHeader/>
        </w:trPr>
        <w:tc>
          <w:tcPr>
            <w:tcW w:type="dxa" w:w="1587"/>
            <w:vAlign w:val="center"/>
            <w:shd w:fill="F1F1F1"/>
            <w:tcMar>
              <w:top w:w="65" w:type="dxa"/>
              <w:left w:w="65" w:type="dxa"/>
              <w:bottom w:w="65" w:type="dxa"/>
              <w:right w:w="65" w:type="dxa"/>
            </w:tcMar>
          </w:tcPr>
          <w:p>
            <w:pPr>
              <w:pStyle w:val="TableText"/>
              <w:keepNext/>
              <w:widowControl/>
              <w:jc w:val="center"/>
            </w:pPr>
            <w:r>
              <w:rPr>
                <w:b/>
                <w:sz w:val="18"/>
              </w:rPr>
              <w:t>검증층</w:t>
            </w:r>
          </w:p>
        </w:tc>
        <w:tc>
          <w:tcPr>
            <w:tcW w:type="dxa" w:w="3175"/>
            <w:vAlign w:val="center"/>
            <w:shd w:fill="F1F1F1"/>
            <w:tcMar>
              <w:top w:w="65" w:type="dxa"/>
              <w:left w:w="65" w:type="dxa"/>
              <w:bottom w:w="65" w:type="dxa"/>
              <w:right w:w="65" w:type="dxa"/>
            </w:tcMar>
          </w:tcPr>
          <w:p>
            <w:pPr>
              <w:pStyle w:val="TableText"/>
              <w:keepNext/>
              <w:widowControl/>
              <w:jc w:val="center"/>
            </w:pPr>
            <w:r>
              <w:rPr>
                <w:b/>
                <w:sz w:val="18"/>
              </w:rPr>
              <w:t>확인하는 내용</w:t>
            </w:r>
          </w:p>
        </w:tc>
        <w:tc>
          <w:tcPr>
            <w:tcW w:type="dxa" w:w="3175"/>
            <w:vAlign w:val="center"/>
            <w:shd w:fill="F1F1F1"/>
            <w:tcMar>
              <w:top w:w="65" w:type="dxa"/>
              <w:left w:w="65" w:type="dxa"/>
              <w:bottom w:w="65" w:type="dxa"/>
              <w:right w:w="65" w:type="dxa"/>
            </w:tcMar>
          </w:tcPr>
          <w:p>
            <w:pPr>
              <w:pStyle w:val="TableText"/>
              <w:keepNext/>
              <w:widowControl/>
              <w:jc w:val="center"/>
            </w:pPr>
            <w:r>
              <w:rPr>
                <w:b/>
                <w:sz w:val="18"/>
              </w:rPr>
              <w:t>확인하지 못하는 내용</w:t>
            </w:r>
          </w:p>
        </w:tc>
      </w:tr>
      <w:tr>
        <w:trPr>
          <w:cantSplit/>
        </w:trPr>
        <w:tc>
          <w:tcPr>
            <w:tcW w:type="dxa" w:w="1587"/>
            <w:vAlign w:val="center"/>
            <w:tcMar>
              <w:top w:w="65" w:type="dxa"/>
              <w:left w:w="65" w:type="dxa"/>
              <w:bottom w:w="65" w:type="dxa"/>
              <w:right w:w="65" w:type="dxa"/>
            </w:tcMar>
          </w:tcPr>
          <w:p>
            <w:pPr>
              <w:pStyle w:val="TableText"/>
              <w:keepNext/>
              <w:widowControl/>
              <w:jc w:val="left"/>
            </w:pPr>
            <w:r>
              <w:rPr>
                <w:b w:val="0"/>
                <w:sz w:val="18"/>
              </w:rPr>
              <w:t>개발 실증검증</w:t>
            </w:r>
          </w:p>
        </w:tc>
        <w:tc>
          <w:tcPr>
            <w:tcW w:type="dxa" w:w="3175"/>
            <w:vAlign w:val="center"/>
            <w:tcMar>
              <w:top w:w="65" w:type="dxa"/>
              <w:left w:w="65" w:type="dxa"/>
              <w:bottom w:w="65" w:type="dxa"/>
              <w:right w:w="65" w:type="dxa"/>
            </w:tcMar>
          </w:tcPr>
          <w:p>
            <w:pPr>
              <w:pStyle w:val="TableText"/>
              <w:keepNext/>
              <w:widowControl/>
              <w:jc w:val="left"/>
            </w:pPr>
            <w:r>
              <w:rPr>
                <w:b w:val="0"/>
                <w:sz w:val="18"/>
              </w:rPr>
              <w:t>과거 Oracle 정렬성·상태 재현·수준편향</w:t>
            </w:r>
          </w:p>
        </w:tc>
        <w:tc>
          <w:tcPr>
            <w:tcW w:type="dxa" w:w="3175"/>
            <w:vAlign w:val="center"/>
            <w:tcMar>
              <w:top w:w="65" w:type="dxa"/>
              <w:left w:w="65" w:type="dxa"/>
              <w:bottom w:w="65" w:type="dxa"/>
              <w:right w:w="65" w:type="dxa"/>
            </w:tcMar>
          </w:tcPr>
          <w:p>
            <w:pPr>
              <w:pStyle w:val="TableText"/>
              <w:keepNext/>
              <w:widowControl/>
              <w:jc w:val="left"/>
            </w:pPr>
            <w:r>
              <w:rPr>
                <w:b w:val="0"/>
                <w:sz w:val="18"/>
              </w:rPr>
              <w:t>모든 V4.3 변경 후 같은 수치가 재현됐는지</w:t>
            </w:r>
          </w:p>
        </w:tc>
      </w:tr>
      <w:tr>
        <w:trPr>
          <w:cantSplit/>
        </w:trPr>
        <w:tc>
          <w:tcPr>
            <w:tcW w:type="dxa" w:w="1587"/>
            <w:vAlign w:val="center"/>
            <w:tcMar>
              <w:top w:w="65" w:type="dxa"/>
              <w:left w:w="65" w:type="dxa"/>
              <w:bottom w:w="65" w:type="dxa"/>
              <w:right w:w="65" w:type="dxa"/>
            </w:tcMar>
          </w:tcPr>
          <w:p>
            <w:pPr>
              <w:pStyle w:val="TableText"/>
              <w:keepNext w:val="0"/>
              <w:widowControl/>
              <w:jc w:val="left"/>
            </w:pPr>
            <w:r>
              <w:rPr>
                <w:b w:val="0"/>
                <w:sz w:val="18"/>
              </w:rPr>
              <w:t>Pre-live fixture</w:t>
            </w:r>
          </w:p>
        </w:tc>
        <w:tc>
          <w:tcPr>
            <w:tcW w:type="dxa" w:w="3175"/>
            <w:vAlign w:val="center"/>
            <w:tcMar>
              <w:top w:w="65" w:type="dxa"/>
              <w:left w:w="65" w:type="dxa"/>
              <w:bottom w:w="65" w:type="dxa"/>
              <w:right w:w="65" w:type="dxa"/>
            </w:tcMar>
          </w:tcPr>
          <w:p>
            <w:pPr>
              <w:pStyle w:val="TableText"/>
              <w:keepNext w:val="0"/>
              <w:widowControl/>
              <w:jc w:val="left"/>
            </w:pPr>
            <w:r>
              <w:rPr>
                <w:b w:val="0"/>
                <w:sz w:val="18"/>
              </w:rPr>
              <w:t>실제 Simulator→Oracle→집계의 제한 사례 정합성</w:t>
            </w:r>
          </w:p>
        </w:tc>
        <w:tc>
          <w:tcPr>
            <w:tcW w:type="dxa" w:w="3175"/>
            <w:vAlign w:val="center"/>
            <w:tcMar>
              <w:top w:w="65" w:type="dxa"/>
              <w:left w:w="65" w:type="dxa"/>
              <w:bottom w:w="65" w:type="dxa"/>
              <w:right w:w="65" w:type="dxa"/>
            </w:tcMar>
          </w:tcPr>
          <w:p>
            <w:pPr>
              <w:pStyle w:val="TableText"/>
              <w:keepNext w:val="0"/>
              <w:widowControl/>
              <w:jc w:val="left"/>
            </w:pPr>
            <w:r>
              <w:rPr>
                <w:b w:val="0"/>
                <w:sz w:val="18"/>
              </w:rPr>
              <w:t>전체 기업에서의 현실 예측력·실행가능성</w:t>
            </w:r>
          </w:p>
        </w:tc>
      </w:tr>
      <w:tr>
        <w:trPr>
          <w:cantSplit/>
        </w:trPr>
        <w:tc>
          <w:tcPr>
            <w:tcW w:type="dxa" w:w="1587"/>
            <w:vAlign w:val="center"/>
            <w:tcMar>
              <w:top w:w="65" w:type="dxa"/>
              <w:left w:w="65" w:type="dxa"/>
              <w:bottom w:w="65" w:type="dxa"/>
              <w:right w:w="65" w:type="dxa"/>
            </w:tcMar>
          </w:tcPr>
          <w:p>
            <w:pPr>
              <w:pStyle w:val="TableText"/>
              <w:keepNext w:val="0"/>
              <w:widowControl/>
              <w:jc w:val="left"/>
            </w:pPr>
            <w:r>
              <w:rPr>
                <w:b w:val="0"/>
                <w:sz w:val="18"/>
              </w:rPr>
              <w:t>동결 9후보 payoff</w:t>
            </w:r>
          </w:p>
        </w:tc>
        <w:tc>
          <w:tcPr>
            <w:tcW w:type="dxa" w:w="3175"/>
            <w:vAlign w:val="center"/>
            <w:tcMar>
              <w:top w:w="65" w:type="dxa"/>
              <w:left w:w="65" w:type="dxa"/>
              <w:bottom w:w="65" w:type="dxa"/>
              <w:right w:w="65" w:type="dxa"/>
            </w:tcMar>
          </w:tcPr>
          <w:p>
            <w:pPr>
              <w:pStyle w:val="TableText"/>
              <w:keepNext w:val="0"/>
              <w:widowControl/>
              <w:jc w:val="left"/>
            </w:pPr>
            <w:r>
              <w:rPr>
                <w:b w:val="0"/>
                <w:sz w:val="18"/>
              </w:rPr>
              <w:t>575기업에서 최신 행동별 점수·동률·참조 순위</w:t>
            </w:r>
          </w:p>
        </w:tc>
        <w:tc>
          <w:tcPr>
            <w:tcW w:type="dxa" w:w="3175"/>
            <w:vAlign w:val="center"/>
            <w:tcMar>
              <w:top w:w="65" w:type="dxa"/>
              <w:left w:w="65" w:type="dxa"/>
              <w:bottom w:w="65" w:type="dxa"/>
              <w:right w:w="65" w:type="dxa"/>
            </w:tcMar>
          </w:tcPr>
          <w:p>
            <w:pPr>
              <w:pStyle w:val="TableText"/>
              <w:keepNext w:val="0"/>
              <w:widowControl/>
              <w:jc w:val="left"/>
            </w:pPr>
            <w:r>
              <w:rPr>
                <w:b w:val="0"/>
                <w:sz w:val="18"/>
              </w:rPr>
              <w:t>사후 ceiling을 실제로 선택할 수 있는지</w:t>
            </w:r>
          </w:p>
        </w:tc>
      </w:tr>
      <w:tr>
        <w:trPr>
          <w:cantSplit/>
        </w:trPr>
        <w:tc>
          <w:tcPr>
            <w:tcW w:type="dxa" w:w="1587"/>
            <w:vAlign w:val="center"/>
            <w:tcMar>
              <w:top w:w="65" w:type="dxa"/>
              <w:left w:w="65" w:type="dxa"/>
              <w:bottom w:w="65" w:type="dxa"/>
              <w:right w:w="65" w:type="dxa"/>
            </w:tcMar>
          </w:tcPr>
          <w:p>
            <w:pPr>
              <w:pStyle w:val="TableText"/>
              <w:keepNext w:val="0"/>
              <w:widowControl/>
              <w:jc w:val="left"/>
            </w:pPr>
            <w:r>
              <w:rPr>
                <w:b w:val="0"/>
                <w:sz w:val="18"/>
              </w:rPr>
              <w:t>LLM 결과 무결성</w:t>
            </w:r>
          </w:p>
        </w:tc>
        <w:tc>
          <w:tcPr>
            <w:tcW w:type="dxa" w:w="3175"/>
            <w:vAlign w:val="center"/>
            <w:tcMar>
              <w:top w:w="65" w:type="dxa"/>
              <w:left w:w="65" w:type="dxa"/>
              <w:bottom w:w="65" w:type="dxa"/>
              <w:right w:w="65" w:type="dxa"/>
            </w:tcMar>
          </w:tcPr>
          <w:p>
            <w:pPr>
              <w:pStyle w:val="TableText"/>
              <w:keepNext w:val="0"/>
              <w:widowControl/>
              <w:jc w:val="left"/>
            </w:pPr>
            <w:r>
              <w:rPr>
                <w:b w:val="0"/>
                <w:sz w:val="18"/>
              </w:rPr>
              <w:t>요청키·조건·기업·행동·결과의 연결</w:t>
            </w:r>
          </w:p>
        </w:tc>
        <w:tc>
          <w:tcPr>
            <w:tcW w:type="dxa" w:w="3175"/>
            <w:vAlign w:val="center"/>
            <w:tcMar>
              <w:top w:w="65" w:type="dxa"/>
              <w:left w:w="65" w:type="dxa"/>
              <w:bottom w:w="65" w:type="dxa"/>
              <w:right w:w="65" w:type="dxa"/>
            </w:tcMar>
          </w:tcPr>
          <w:p>
            <w:pPr>
              <w:pStyle w:val="TableText"/>
              <w:keepNext w:val="0"/>
              <w:widowControl/>
              <w:jc w:val="left"/>
            </w:pPr>
            <w:r>
              <w:rPr>
                <w:b w:val="0"/>
                <w:sz w:val="18"/>
              </w:rPr>
              <w:t>자연어 근거의 완전한 사실성·실제 신용개선</w:t>
            </w:r>
          </w:p>
        </w:tc>
      </w:tr>
    </w:tbl>
    <w:p>
      <w:pPr>
        <w:pStyle w:val="SourceNote"/>
        <w:widowControl/>
      </w:pPr>
      <w:r>
        <w:t>자료: 원 검증표, pre-live semantic fixture, 최종 Stage6/Stage9 및 무결성 audit. 검사 범위를 넘어서 PASS라는 표기를 일반화하지 않는다.</w:t>
      </w:r>
    </w:p>
    <w:p>
      <w:bookmarkStart w:id="88" w:name="head_73"/>
      <w:pPr>
        <w:pStyle w:val="2"/>
        <w:widowControl/>
      </w:pPr>
      <w:r>
        <w:t>4.3 최신 아홉 행동에서 Oracle의 구별력</w:t>
      </w:r>
      <w:bookmarkEnd w:id="88"/>
    </w:p>
    <w:p>
      <w:pPr>
        <w:widowControl/>
      </w:pPr>
      <w:r>
        <w:t>동결된 V4.3 Stage6에는 575개 기업에 9개 후보를 적용한 5,175개 기업–행동 조합이 존재한다. 이 표면을 사용하여 Oracle별 최대점수 동률, A0가 최적인 기업 및 평가자 간 최적행동 일치를 다시 계산하였다. 구형 후보집합에서 얻은 2.6%의 최적행동 일치율이나 11개 행동의 동률 수치를 이 표에 재사용하지 않았다.</w:t>
      </w:r>
    </w:p>
    <w:p>
      <w:pPr>
        <w:widowControl/>
      </w:pPr>
      <w:r>
        <w:t>α는 일부 재무변화가 같은 점수구간에 머물면 행동을 다르게 적용해도 같은 점수를 줄 수 있다. β는 연속적인 평가에 가까워 동률이 상대적으로 적고, γ도 학습된 트리 분할에 따라 동률이 발생한다. 어떤 Oracle에서 변화가 0이라는 사실이 모든 재무항목이 동일했다는 뜻은 아니므로 행동값과 평가값을 구분한다.</w:t>
      </w:r>
    </w:p>
    <w:p>
      <w:bookmarkStart w:id="89" w:name="cap_16"/>
      <w:pPr>
        <w:pStyle w:val="af"/>
        <w:widowControl/>
      </w:pPr>
      <w:r>
        <w:t>표 4-4. V4.3 후보별 점수의 동률과 A0 최적 여부</w:t>
      </w:r>
      <w:bookmarkEnd w:id="89"/>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680"/>
        <w:gridCol w:w="1814"/>
        <w:gridCol w:w="1814"/>
        <w:gridCol w:w="1814"/>
        <w:gridCol w:w="1814"/>
      </w:tblGrid>
      <w:tr>
        <w:trPr>
          <w:cantSplit/>
          <w:tblHeader/>
        </w:trPr>
        <w:tc>
          <w:tcPr>
            <w:tcW w:type="dxa" w:w="680"/>
            <w:vAlign w:val="center"/>
            <w:shd w:fill="F1F1F1"/>
            <w:tcMar>
              <w:top w:w="65" w:type="dxa"/>
              <w:left w:w="65" w:type="dxa"/>
              <w:bottom w:w="65" w:type="dxa"/>
              <w:right w:w="65" w:type="dxa"/>
            </w:tcMar>
          </w:tcPr>
          <w:p>
            <w:pPr>
              <w:pStyle w:val="TableText"/>
              <w:keepNext/>
              <w:widowControl/>
              <w:jc w:val="center"/>
            </w:pPr>
            <w:r>
              <w:rPr>
                <w:b/>
                <w:sz w:val="18"/>
              </w:rPr>
              <w:t>Oracle</w:t>
            </w:r>
          </w:p>
        </w:tc>
        <w:tc>
          <w:tcPr>
            <w:tcW w:type="dxa" w:w="1814"/>
            <w:vAlign w:val="center"/>
            <w:shd w:fill="F1F1F1"/>
            <w:tcMar>
              <w:top w:w="65" w:type="dxa"/>
              <w:left w:w="65" w:type="dxa"/>
              <w:bottom w:w="65" w:type="dxa"/>
              <w:right w:w="65" w:type="dxa"/>
            </w:tcMar>
          </w:tcPr>
          <w:p>
            <w:pPr>
              <w:pStyle w:val="TableText"/>
              <w:keepNext/>
              <w:widowControl/>
              <w:jc w:val="center"/>
            </w:pPr>
            <w:r>
              <w:rPr>
                <w:b/>
                <w:sz w:val="18"/>
              </w:rPr>
              <w:t>복수 최대행동</w:t>
            </w:r>
          </w:p>
        </w:tc>
        <w:tc>
          <w:tcPr>
            <w:tcW w:type="dxa" w:w="1814"/>
            <w:vAlign w:val="center"/>
            <w:shd w:fill="F1F1F1"/>
            <w:tcMar>
              <w:top w:w="65" w:type="dxa"/>
              <w:left w:w="65" w:type="dxa"/>
              <w:bottom w:w="65" w:type="dxa"/>
              <w:right w:w="65" w:type="dxa"/>
            </w:tcMar>
          </w:tcPr>
          <w:p>
            <w:pPr>
              <w:pStyle w:val="TableText"/>
              <w:keepNext/>
              <w:widowControl/>
              <w:jc w:val="center"/>
            </w:pPr>
            <w:r>
              <w:rPr>
                <w:b/>
                <w:sz w:val="18"/>
              </w:rPr>
              <w:t>9개 전부 동률</w:t>
            </w:r>
          </w:p>
        </w:tc>
        <w:tc>
          <w:tcPr>
            <w:tcW w:type="dxa" w:w="1814"/>
            <w:vAlign w:val="center"/>
            <w:shd w:fill="F1F1F1"/>
            <w:tcMar>
              <w:top w:w="65" w:type="dxa"/>
              <w:left w:w="65" w:type="dxa"/>
              <w:bottom w:w="65" w:type="dxa"/>
              <w:right w:w="65" w:type="dxa"/>
            </w:tcMar>
          </w:tcPr>
          <w:p>
            <w:pPr>
              <w:pStyle w:val="TableText"/>
              <w:keepNext/>
              <w:widowControl/>
              <w:jc w:val="center"/>
            </w:pPr>
            <w:r>
              <w:rPr>
                <w:b/>
                <w:sz w:val="18"/>
              </w:rPr>
              <w:t>A0가 최대</w:t>
            </w:r>
          </w:p>
        </w:tc>
        <w:tc>
          <w:tcPr>
            <w:tcW w:type="dxa" w:w="1814"/>
            <w:vAlign w:val="center"/>
            <w:shd w:fill="F1F1F1"/>
            <w:tcMar>
              <w:top w:w="65" w:type="dxa"/>
              <w:left w:w="65" w:type="dxa"/>
              <w:bottom w:w="65" w:type="dxa"/>
              <w:right w:w="65" w:type="dxa"/>
            </w:tcMar>
          </w:tcPr>
          <w:p>
            <w:pPr>
              <w:pStyle w:val="TableText"/>
              <w:keepNext/>
              <w:widowControl/>
              <w:jc w:val="center"/>
            </w:pPr>
            <w:r>
              <w:rPr>
                <w:b/>
                <w:sz w:val="18"/>
              </w:rPr>
              <w:t>기업 내 SD 평균</w:t>
            </w:r>
          </w:p>
        </w:tc>
      </w:tr>
      <w:tr>
        <w:trPr>
          <w:cantSplit/>
        </w:trPr>
        <w:tc>
          <w:tcPr>
            <w:tcW w:type="dxa" w:w="680"/>
            <w:vAlign w:val="center"/>
            <w:tcMar>
              <w:top w:w="65" w:type="dxa"/>
              <w:left w:w="65" w:type="dxa"/>
              <w:bottom w:w="65" w:type="dxa"/>
              <w:right w:w="65" w:type="dxa"/>
            </w:tcMar>
          </w:tcPr>
          <w:p>
            <w:pPr>
              <w:pStyle w:val="TableText"/>
              <w:keepNext/>
              <w:widowControl/>
              <w:jc w:val="left"/>
            </w:pPr>
            <w:r>
              <w:rPr>
                <w:b w:val="0"/>
                <w:sz w:val="18"/>
              </w:rPr>
              <w:t>α</w:t>
            </w:r>
          </w:p>
        </w:tc>
        <w:tc>
          <w:tcPr>
            <w:tcW w:type="dxa" w:w="1814"/>
            <w:vAlign w:val="center"/>
            <w:tcMar>
              <w:top w:w="65" w:type="dxa"/>
              <w:left w:w="65" w:type="dxa"/>
              <w:bottom w:w="65" w:type="dxa"/>
              <w:right w:w="65" w:type="dxa"/>
            </w:tcMar>
          </w:tcPr>
          <w:p>
            <w:pPr>
              <w:pStyle w:val="TableText"/>
              <w:keepNext/>
              <w:widowControl/>
              <w:jc w:val="left"/>
            </w:pPr>
            <w:r>
              <w:rPr>
                <w:b w:val="0"/>
                <w:sz w:val="18"/>
              </w:rPr>
              <w:t>348 (60.5%)</w:t>
            </w:r>
          </w:p>
        </w:tc>
        <w:tc>
          <w:tcPr>
            <w:tcW w:type="dxa" w:w="1814"/>
            <w:vAlign w:val="center"/>
            <w:tcMar>
              <w:top w:w="65" w:type="dxa"/>
              <w:left w:w="65" w:type="dxa"/>
              <w:bottom w:w="65" w:type="dxa"/>
              <w:right w:w="65" w:type="dxa"/>
            </w:tcMar>
          </w:tcPr>
          <w:p>
            <w:pPr>
              <w:pStyle w:val="TableText"/>
              <w:keepNext/>
              <w:widowControl/>
              <w:jc w:val="left"/>
            </w:pPr>
            <w:r>
              <w:rPr>
                <w:b w:val="0"/>
                <w:sz w:val="18"/>
              </w:rPr>
              <w:t>164 (28.5%)</w:t>
            </w:r>
          </w:p>
        </w:tc>
        <w:tc>
          <w:tcPr>
            <w:tcW w:type="dxa" w:w="1814"/>
            <w:vAlign w:val="center"/>
            <w:tcMar>
              <w:top w:w="65" w:type="dxa"/>
              <w:left w:w="65" w:type="dxa"/>
              <w:bottom w:w="65" w:type="dxa"/>
              <w:right w:w="65" w:type="dxa"/>
            </w:tcMar>
          </w:tcPr>
          <w:p>
            <w:pPr>
              <w:pStyle w:val="TableText"/>
              <w:keepNext/>
              <w:widowControl/>
              <w:jc w:val="left"/>
            </w:pPr>
            <w:r>
              <w:rPr>
                <w:b w:val="0"/>
                <w:sz w:val="18"/>
              </w:rPr>
              <w:t>187 (32.5%)</w:t>
            </w:r>
          </w:p>
        </w:tc>
        <w:tc>
          <w:tcPr>
            <w:tcW w:type="dxa" w:w="1814"/>
            <w:vAlign w:val="center"/>
            <w:tcMar>
              <w:top w:w="65" w:type="dxa"/>
              <w:left w:w="65" w:type="dxa"/>
              <w:bottom w:w="65" w:type="dxa"/>
              <w:right w:w="65" w:type="dxa"/>
            </w:tcMar>
          </w:tcPr>
          <w:p>
            <w:pPr>
              <w:pStyle w:val="TableText"/>
              <w:keepNext/>
              <w:widowControl/>
              <w:jc w:val="left"/>
            </w:pPr>
            <w:r>
              <w:rPr>
                <w:b w:val="0"/>
                <w:sz w:val="18"/>
              </w:rPr>
              <w:t>0.6013</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β</w:t>
            </w:r>
          </w:p>
        </w:tc>
        <w:tc>
          <w:tcPr>
            <w:tcW w:type="dxa" w:w="1814"/>
            <w:vAlign w:val="center"/>
            <w:tcMar>
              <w:top w:w="65" w:type="dxa"/>
              <w:left w:w="65" w:type="dxa"/>
              <w:bottom w:w="65" w:type="dxa"/>
              <w:right w:w="65" w:type="dxa"/>
            </w:tcMar>
          </w:tcPr>
          <w:p>
            <w:pPr>
              <w:pStyle w:val="TableText"/>
              <w:keepNext w:val="0"/>
              <w:widowControl/>
              <w:jc w:val="left"/>
            </w:pPr>
            <w:r>
              <w:rPr>
                <w:b w:val="0"/>
                <w:sz w:val="18"/>
              </w:rPr>
              <w:t>1 (0.2%)</w:t>
            </w:r>
          </w:p>
        </w:tc>
        <w:tc>
          <w:tcPr>
            <w:tcW w:type="dxa" w:w="1814"/>
            <w:vAlign w:val="center"/>
            <w:tcMar>
              <w:top w:w="65" w:type="dxa"/>
              <w:left w:w="65" w:type="dxa"/>
              <w:bottom w:w="65" w:type="dxa"/>
              <w:right w:w="65" w:type="dxa"/>
            </w:tcMar>
          </w:tcPr>
          <w:p>
            <w:pPr>
              <w:pStyle w:val="TableText"/>
              <w:keepNext w:val="0"/>
              <w:widowControl/>
              <w:jc w:val="left"/>
            </w:pPr>
            <w:r>
              <w:rPr>
                <w:b w:val="0"/>
                <w:sz w:val="18"/>
              </w:rPr>
              <w:t>1 (0.2%)</w:t>
            </w:r>
          </w:p>
        </w:tc>
        <w:tc>
          <w:tcPr>
            <w:tcW w:type="dxa" w:w="1814"/>
            <w:vAlign w:val="center"/>
            <w:tcMar>
              <w:top w:w="65" w:type="dxa"/>
              <w:left w:w="65" w:type="dxa"/>
              <w:bottom w:w="65" w:type="dxa"/>
              <w:right w:w="65" w:type="dxa"/>
            </w:tcMar>
          </w:tcPr>
          <w:p>
            <w:pPr>
              <w:pStyle w:val="TableText"/>
              <w:keepNext w:val="0"/>
              <w:widowControl/>
              <w:jc w:val="left"/>
            </w:pPr>
            <w:r>
              <w:rPr>
                <w:b w:val="0"/>
                <w:sz w:val="18"/>
              </w:rPr>
              <w:t>1 (0.2%)</w:t>
            </w:r>
          </w:p>
        </w:tc>
        <w:tc>
          <w:tcPr>
            <w:tcW w:type="dxa" w:w="1814"/>
            <w:vAlign w:val="center"/>
            <w:tcMar>
              <w:top w:w="65" w:type="dxa"/>
              <w:left w:w="65" w:type="dxa"/>
              <w:bottom w:w="65" w:type="dxa"/>
              <w:right w:w="65" w:type="dxa"/>
            </w:tcMar>
          </w:tcPr>
          <w:p>
            <w:pPr>
              <w:pStyle w:val="TableText"/>
              <w:keepNext w:val="0"/>
              <w:widowControl/>
              <w:jc w:val="left"/>
            </w:pPr>
            <w:r>
              <w:rPr>
                <w:b w:val="0"/>
                <w:sz w:val="18"/>
              </w:rPr>
              <w:t>0.1533</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γ</w:t>
            </w:r>
          </w:p>
        </w:tc>
        <w:tc>
          <w:tcPr>
            <w:tcW w:type="dxa" w:w="1814"/>
            <w:vAlign w:val="center"/>
            <w:tcMar>
              <w:top w:w="65" w:type="dxa"/>
              <w:left w:w="65" w:type="dxa"/>
              <w:bottom w:w="65" w:type="dxa"/>
              <w:right w:w="65" w:type="dxa"/>
            </w:tcMar>
          </w:tcPr>
          <w:p>
            <w:pPr>
              <w:pStyle w:val="TableText"/>
              <w:keepNext w:val="0"/>
              <w:widowControl/>
              <w:jc w:val="left"/>
            </w:pPr>
            <w:r>
              <w:rPr>
                <w:b w:val="0"/>
                <w:sz w:val="18"/>
              </w:rPr>
              <w:t>257 (44.7%)</w:t>
            </w:r>
          </w:p>
        </w:tc>
        <w:tc>
          <w:tcPr>
            <w:tcW w:type="dxa" w:w="1814"/>
            <w:vAlign w:val="center"/>
            <w:tcMar>
              <w:top w:w="65" w:type="dxa"/>
              <w:left w:w="65" w:type="dxa"/>
              <w:bottom w:w="65" w:type="dxa"/>
              <w:right w:w="65" w:type="dxa"/>
            </w:tcMar>
          </w:tcPr>
          <w:p>
            <w:pPr>
              <w:pStyle w:val="TableText"/>
              <w:keepNext w:val="0"/>
              <w:widowControl/>
              <w:jc w:val="left"/>
            </w:pPr>
            <w:r>
              <w:rPr>
                <w:b w:val="0"/>
                <w:sz w:val="18"/>
              </w:rPr>
              <w:t>88 (15.3%)</w:t>
            </w:r>
          </w:p>
        </w:tc>
        <w:tc>
          <w:tcPr>
            <w:tcW w:type="dxa" w:w="1814"/>
            <w:vAlign w:val="center"/>
            <w:tcMar>
              <w:top w:w="65" w:type="dxa"/>
              <w:left w:w="65" w:type="dxa"/>
              <w:bottom w:w="65" w:type="dxa"/>
              <w:right w:w="65" w:type="dxa"/>
            </w:tcMar>
          </w:tcPr>
          <w:p>
            <w:pPr>
              <w:pStyle w:val="TableText"/>
              <w:keepNext w:val="0"/>
              <w:widowControl/>
              <w:jc w:val="left"/>
            </w:pPr>
            <w:r>
              <w:rPr>
                <w:b w:val="0"/>
                <w:sz w:val="18"/>
              </w:rPr>
              <w:t>173 (30.1%)</w:t>
            </w:r>
          </w:p>
        </w:tc>
        <w:tc>
          <w:tcPr>
            <w:tcW w:type="dxa" w:w="1814"/>
            <w:vAlign w:val="center"/>
            <w:tcMar>
              <w:top w:w="65" w:type="dxa"/>
              <w:left w:w="65" w:type="dxa"/>
              <w:bottom w:w="65" w:type="dxa"/>
              <w:right w:w="65" w:type="dxa"/>
            </w:tcMar>
          </w:tcPr>
          <w:p>
            <w:pPr>
              <w:pStyle w:val="TableText"/>
              <w:keepNext w:val="0"/>
              <w:widowControl/>
              <w:jc w:val="left"/>
            </w:pPr>
            <w:r>
              <w:rPr>
                <w:b w:val="0"/>
                <w:sz w:val="18"/>
              </w:rPr>
              <w:t>0.2493</w:t>
            </w:r>
          </w:p>
        </w:tc>
      </w:tr>
    </w:tbl>
    <w:p>
      <w:pPr>
        <w:pStyle w:val="SourceNote"/>
        <w:widowControl/>
      </w:pPr>
      <w:r>
        <w:t>자료: 최종 Stage6 기업–후보 payoff 재집계, N=575. 복수 최대행동과 A0 최대는 동률을 포함한다. 마지막 열은 기업마다 9개 점수의 표준편차를 계산한 뒤 평균한 값이며 Oracle 간 척도가 다르다.</w:t>
      </w:r>
    </w:p>
    <w:p>
      <w:pPr>
        <w:widowControl/>
      </w:pPr>
      <w:r>
        <w:t>동률일 때 canonical 순서의 첫 행동을 택해 세 Oracle의 argmax를 비교하면 85개 기업, 14.8%에서 일치한다. 그러나 세 Oracle의 최대행동 집합에 적어도 하나의 공통행동이 존재하는 기업은 261개, 45.4%이다. 이 차이는 평가자 불일치의 일부가 점수 경계와 동률 선택규칙에 민감함을 보여준다. ‘최적행동 일치율’이라는 한 표현으로 두 지표를 섞지 않는다.</w:t>
      </w:r>
    </w:p>
    <w:p>
      <w:pPr>
        <w:widowControl/>
      </w:pPr>
      <w:r>
        <w:t>이 결과는 서로 다른 평가모형을 유지하는 이유를 뒷받침한다. 한 모형의 높은 평균점수만으로 정책이 보편적으로 우월하다고 판단하면 평가구조의 선호가 정책의 일반적 품질로 오인될 수 있다. 동시에 낮은 argmax 일치율 자체가 모형이 쓸모없다는 의미도 아니다. 어떤 행동 차이를 구분하고 어느 지점에서 동률을 주는지를 공개하는 것이 중요하다.</w:t>
      </w:r>
    </w:p>
    <w:p>
      <w:bookmarkStart w:id="90" w:name="head_74"/>
      <w:pPr>
        <w:pStyle w:val="2"/>
        <w:widowControl/>
      </w:pPr>
      <w:r>
        <w:t>4.4 최종 비교정책의 공통 평가표면</w:t>
      </w:r>
      <w:bookmarkEnd w:id="90"/>
    </w:p>
    <w:p>
      <w:pPr>
        <w:widowControl/>
      </w:pPr>
      <w:r>
        <w:t>비교정책은 A0, 각 단일행동의 고정 적용, 균등 무작위 후보의 기대값 C1, 동결된 약점 개선 휴리스틱 C2, 학습 참조 C3-E 및 사후 후보 ceiling으로 구성한다. C1은 임의의 한 번 추첨 결과가 아니라 각 기업의 9개 후보 점수 평균이다. 각 Oracle의 ceiling은 그 Oracle에서 기업별로 최대값을 주는 후보를 선택한 값이므로, 세 Oracle에서 같은 행동이 선택되었다는 뜻은 아니다.</w:t>
      </w:r>
    </w:p>
    <w:p>
      <w:pPr>
        <w:widowControl/>
      </w:pPr>
      <w:r>
        <w:t>다음 표는 모든 정책에 같은 575개 기업과 같은 최신 A0를 적용하여 계산한 평균 증분가치이다. 구형 학습기간의 관측행동 C_obs를 2024년의 실제 관측된 2025년 성과인 것처럼 추가하지 않았다. 최선 고정정책은 α 기준으로 OE이며, 구형 후보체계의 MX2를 그대로 사용하지 않는다.</w:t>
      </w:r>
    </w:p>
    <w:p>
      <w:bookmarkStart w:id="91" w:name="cap_17"/>
      <w:pPr>
        <w:pStyle w:val="af"/>
        <w:widowControl/>
      </w:pPr>
      <w:r>
        <w:t>표 4-5. 최신 비교정책의 A0 대비 평균 정책가치</w:t>
      </w:r>
      <w:bookmarkEnd w:id="91"/>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2324"/>
        <w:gridCol w:w="1871"/>
        <w:gridCol w:w="1871"/>
        <w:gridCol w:w="1871"/>
      </w:tblGrid>
      <w:tr>
        <w:trPr>
          <w:cantSplit/>
          <w:tblHeader/>
        </w:trPr>
        <w:tc>
          <w:tcPr>
            <w:tcW w:type="dxa" w:w="2324"/>
            <w:vAlign w:val="center"/>
            <w:shd w:fill="F1F1F1"/>
            <w:tcMar>
              <w:top w:w="65" w:type="dxa"/>
              <w:left w:w="65" w:type="dxa"/>
              <w:bottom w:w="65" w:type="dxa"/>
              <w:right w:w="65" w:type="dxa"/>
            </w:tcMar>
          </w:tcPr>
          <w:p>
            <w:pPr>
              <w:pStyle w:val="TableText"/>
              <w:keepNext/>
              <w:widowControl/>
              <w:jc w:val="center"/>
            </w:pPr>
            <w:r>
              <w:rPr>
                <w:b/>
                <w:sz w:val="18"/>
              </w:rPr>
              <w:t>정책</w:t>
            </w:r>
          </w:p>
        </w:tc>
        <w:tc>
          <w:tcPr>
            <w:tcW w:type="dxa" w:w="1871"/>
            <w:vAlign w:val="center"/>
            <w:shd w:fill="F1F1F1"/>
            <w:tcMar>
              <w:top w:w="65" w:type="dxa"/>
              <w:left w:w="65" w:type="dxa"/>
              <w:bottom w:w="65" w:type="dxa"/>
              <w:right w:w="65" w:type="dxa"/>
            </w:tcMar>
          </w:tcPr>
          <w:p>
            <w:pPr>
              <w:pStyle w:val="TableText"/>
              <w:keepNext/>
              <w:widowControl/>
              <w:jc w:val="center"/>
            </w:pPr>
            <w:r>
              <w:rPr>
                <w:b/>
                <w:sz w:val="18"/>
              </w:rPr>
              <w:t>Oracle-α</w:t>
            </w:r>
          </w:p>
        </w:tc>
        <w:tc>
          <w:tcPr>
            <w:tcW w:type="dxa" w:w="1871"/>
            <w:vAlign w:val="center"/>
            <w:shd w:fill="F1F1F1"/>
            <w:tcMar>
              <w:top w:w="65" w:type="dxa"/>
              <w:left w:w="65" w:type="dxa"/>
              <w:bottom w:w="65" w:type="dxa"/>
              <w:right w:w="65" w:type="dxa"/>
            </w:tcMar>
          </w:tcPr>
          <w:p>
            <w:pPr>
              <w:pStyle w:val="TableText"/>
              <w:keepNext/>
              <w:widowControl/>
              <w:jc w:val="center"/>
            </w:pPr>
            <w:r>
              <w:rPr>
                <w:b/>
                <w:sz w:val="18"/>
              </w:rPr>
              <w:t>Oracle-β</w:t>
            </w:r>
          </w:p>
        </w:tc>
        <w:tc>
          <w:tcPr>
            <w:tcW w:type="dxa" w:w="1871"/>
            <w:vAlign w:val="center"/>
            <w:shd w:fill="F1F1F1"/>
            <w:tcMar>
              <w:top w:w="65" w:type="dxa"/>
              <w:left w:w="65" w:type="dxa"/>
              <w:bottom w:w="65" w:type="dxa"/>
              <w:right w:w="65" w:type="dxa"/>
            </w:tcMar>
          </w:tcPr>
          <w:p>
            <w:pPr>
              <w:pStyle w:val="TableText"/>
              <w:keepNext/>
              <w:widowControl/>
              <w:jc w:val="center"/>
            </w:pPr>
            <w:r>
              <w:rPr>
                <w:b/>
                <w:sz w:val="18"/>
              </w:rPr>
              <w:t>Oracle-γ</w:t>
            </w:r>
          </w:p>
        </w:tc>
      </w:tr>
      <w:tr>
        <w:trPr>
          <w:cantSplit/>
        </w:trPr>
        <w:tc>
          <w:tcPr>
            <w:tcW w:type="dxa" w:w="2324"/>
            <w:vAlign w:val="center"/>
            <w:tcMar>
              <w:top w:w="65" w:type="dxa"/>
              <w:left w:w="65" w:type="dxa"/>
              <w:bottom w:w="65" w:type="dxa"/>
              <w:right w:w="65" w:type="dxa"/>
            </w:tcMar>
          </w:tcPr>
          <w:p>
            <w:pPr>
              <w:pStyle w:val="TableText"/>
              <w:keepNext/>
              <w:widowControl/>
              <w:jc w:val="left"/>
            </w:pPr>
            <w:r>
              <w:rPr>
                <w:b w:val="0"/>
                <w:sz w:val="18"/>
              </w:rPr>
              <w:t>A0</w:t>
            </w:r>
          </w:p>
        </w:tc>
        <w:tc>
          <w:tcPr>
            <w:tcW w:type="dxa" w:w="1871"/>
            <w:vAlign w:val="center"/>
            <w:tcMar>
              <w:top w:w="65" w:type="dxa"/>
              <w:left w:w="65" w:type="dxa"/>
              <w:bottom w:w="65" w:type="dxa"/>
              <w:right w:w="65" w:type="dxa"/>
            </w:tcMar>
          </w:tcPr>
          <w:p>
            <w:pPr>
              <w:pStyle w:val="TableText"/>
              <w:keepNext/>
              <w:widowControl/>
              <w:jc w:val="left"/>
            </w:pPr>
            <w:r>
              <w:rPr>
                <w:b w:val="0"/>
                <w:sz w:val="18"/>
              </w:rPr>
              <w:t>+0.0000</w:t>
            </w:r>
          </w:p>
        </w:tc>
        <w:tc>
          <w:tcPr>
            <w:tcW w:type="dxa" w:w="1871"/>
            <w:vAlign w:val="center"/>
            <w:tcMar>
              <w:top w:w="65" w:type="dxa"/>
              <w:left w:w="65" w:type="dxa"/>
              <w:bottom w:w="65" w:type="dxa"/>
              <w:right w:w="65" w:type="dxa"/>
            </w:tcMar>
          </w:tcPr>
          <w:p>
            <w:pPr>
              <w:pStyle w:val="TableText"/>
              <w:keepNext/>
              <w:widowControl/>
              <w:jc w:val="left"/>
            </w:pPr>
            <w:r>
              <w:rPr>
                <w:b w:val="0"/>
                <w:sz w:val="18"/>
              </w:rPr>
              <w:t>+0.0000</w:t>
            </w:r>
          </w:p>
        </w:tc>
        <w:tc>
          <w:tcPr>
            <w:tcW w:type="dxa" w:w="1871"/>
            <w:vAlign w:val="center"/>
            <w:tcMar>
              <w:top w:w="65" w:type="dxa"/>
              <w:left w:w="65" w:type="dxa"/>
              <w:bottom w:w="65" w:type="dxa"/>
              <w:right w:w="65" w:type="dxa"/>
            </w:tcMar>
          </w:tcPr>
          <w:p>
            <w:pPr>
              <w:pStyle w:val="TableText"/>
              <w:keepNext/>
              <w:widowControl/>
              <w:jc w:val="left"/>
            </w:pPr>
            <w:r>
              <w:rPr>
                <w:b w:val="0"/>
                <w:sz w:val="18"/>
              </w:rPr>
              <w:t>+0.0000</w:t>
            </w:r>
          </w:p>
        </w:tc>
      </w:tr>
      <w:tr>
        <w:trPr>
          <w:cantSplit/>
        </w:trPr>
        <w:tc>
          <w:tcPr>
            <w:tcW w:type="dxa" w:w="2324"/>
            <w:vAlign w:val="center"/>
            <w:tcMar>
              <w:top w:w="65" w:type="dxa"/>
              <w:left w:w="65" w:type="dxa"/>
              <w:bottom w:w="65" w:type="dxa"/>
              <w:right w:w="65" w:type="dxa"/>
            </w:tcMar>
          </w:tcPr>
          <w:p>
            <w:pPr>
              <w:pStyle w:val="TableText"/>
              <w:keepNext w:val="0"/>
              <w:widowControl/>
              <w:jc w:val="left"/>
            </w:pPr>
            <w:r>
              <w:rPr>
                <w:b w:val="0"/>
                <w:sz w:val="18"/>
              </w:rPr>
              <w:t>C1 (균등기대)</w:t>
            </w:r>
          </w:p>
        </w:tc>
        <w:tc>
          <w:tcPr>
            <w:tcW w:type="dxa" w:w="1871"/>
            <w:vAlign w:val="center"/>
            <w:tcMar>
              <w:top w:w="65" w:type="dxa"/>
              <w:left w:w="65" w:type="dxa"/>
              <w:bottom w:w="65" w:type="dxa"/>
              <w:right w:w="65" w:type="dxa"/>
            </w:tcMar>
          </w:tcPr>
          <w:p>
            <w:pPr>
              <w:pStyle w:val="TableText"/>
              <w:keepNext w:val="0"/>
              <w:widowControl/>
              <w:jc w:val="left"/>
            </w:pPr>
            <w:r>
              <w:rPr>
                <w:b w:val="0"/>
                <w:sz w:val="18"/>
              </w:rPr>
              <w:t>+0.3529</w:t>
            </w:r>
          </w:p>
        </w:tc>
        <w:tc>
          <w:tcPr>
            <w:tcW w:type="dxa" w:w="1871"/>
            <w:vAlign w:val="center"/>
            <w:tcMar>
              <w:top w:w="65" w:type="dxa"/>
              <w:left w:w="65" w:type="dxa"/>
              <w:bottom w:w="65" w:type="dxa"/>
              <w:right w:w="65" w:type="dxa"/>
            </w:tcMar>
          </w:tcPr>
          <w:p>
            <w:pPr>
              <w:pStyle w:val="TableText"/>
              <w:keepNext w:val="0"/>
              <w:widowControl/>
              <w:jc w:val="left"/>
            </w:pPr>
            <w:r>
              <w:rPr>
                <w:b w:val="0"/>
                <w:sz w:val="18"/>
              </w:rPr>
              <w:t>+0.0542</w:t>
            </w:r>
          </w:p>
        </w:tc>
        <w:tc>
          <w:tcPr>
            <w:tcW w:type="dxa" w:w="1871"/>
            <w:vAlign w:val="center"/>
            <w:tcMar>
              <w:top w:w="65" w:type="dxa"/>
              <w:left w:w="65" w:type="dxa"/>
              <w:bottom w:w="65" w:type="dxa"/>
              <w:right w:w="65" w:type="dxa"/>
            </w:tcMar>
          </w:tcPr>
          <w:p>
            <w:pPr>
              <w:pStyle w:val="TableText"/>
              <w:keepNext w:val="0"/>
              <w:widowControl/>
              <w:jc w:val="left"/>
            </w:pPr>
            <w:r>
              <w:rPr>
                <w:b w:val="0"/>
                <w:sz w:val="18"/>
              </w:rPr>
              <w:t>+0.1081</w:t>
            </w:r>
          </w:p>
        </w:tc>
      </w:tr>
      <w:tr>
        <w:trPr>
          <w:cantSplit/>
        </w:trPr>
        <w:tc>
          <w:tcPr>
            <w:tcW w:type="dxa" w:w="2324"/>
            <w:vAlign w:val="center"/>
            <w:tcMar>
              <w:top w:w="65" w:type="dxa"/>
              <w:left w:w="65" w:type="dxa"/>
              <w:bottom w:w="65" w:type="dxa"/>
              <w:right w:w="65" w:type="dxa"/>
            </w:tcMar>
          </w:tcPr>
          <w:p>
            <w:pPr>
              <w:pStyle w:val="TableText"/>
              <w:keepNext w:val="0"/>
              <w:widowControl/>
              <w:jc w:val="left"/>
            </w:pPr>
            <w:r>
              <w:rPr>
                <w:b w:val="0"/>
                <w:sz w:val="18"/>
              </w:rPr>
              <w:t>C2</w:t>
            </w:r>
          </w:p>
        </w:tc>
        <w:tc>
          <w:tcPr>
            <w:tcW w:type="dxa" w:w="1871"/>
            <w:vAlign w:val="center"/>
            <w:tcMar>
              <w:top w:w="65" w:type="dxa"/>
              <w:left w:w="65" w:type="dxa"/>
              <w:bottom w:w="65" w:type="dxa"/>
              <w:right w:w="65" w:type="dxa"/>
            </w:tcMar>
          </w:tcPr>
          <w:p>
            <w:pPr>
              <w:pStyle w:val="TableText"/>
              <w:keepNext w:val="0"/>
              <w:widowControl/>
              <w:jc w:val="left"/>
            </w:pPr>
            <w:r>
              <w:rPr>
                <w:b w:val="0"/>
                <w:sz w:val="18"/>
              </w:rPr>
              <w:t>+0.6069</w:t>
            </w:r>
          </w:p>
        </w:tc>
        <w:tc>
          <w:tcPr>
            <w:tcW w:type="dxa" w:w="1871"/>
            <w:vAlign w:val="center"/>
            <w:tcMar>
              <w:top w:w="65" w:type="dxa"/>
              <w:left w:w="65" w:type="dxa"/>
              <w:bottom w:w="65" w:type="dxa"/>
              <w:right w:w="65" w:type="dxa"/>
            </w:tcMar>
          </w:tcPr>
          <w:p>
            <w:pPr>
              <w:pStyle w:val="TableText"/>
              <w:keepNext w:val="0"/>
              <w:widowControl/>
              <w:jc w:val="left"/>
            </w:pPr>
            <w:r>
              <w:rPr>
                <w:b w:val="0"/>
                <w:sz w:val="18"/>
              </w:rPr>
              <w:t>+0.2059</w:t>
            </w:r>
          </w:p>
        </w:tc>
        <w:tc>
          <w:tcPr>
            <w:tcW w:type="dxa" w:w="1871"/>
            <w:vAlign w:val="center"/>
            <w:tcMar>
              <w:top w:w="65" w:type="dxa"/>
              <w:left w:w="65" w:type="dxa"/>
              <w:bottom w:w="65" w:type="dxa"/>
              <w:right w:w="65" w:type="dxa"/>
            </w:tcMar>
          </w:tcPr>
          <w:p>
            <w:pPr>
              <w:pStyle w:val="TableText"/>
              <w:keepNext w:val="0"/>
              <w:widowControl/>
              <w:jc w:val="left"/>
            </w:pPr>
            <w:r>
              <w:rPr>
                <w:b w:val="0"/>
                <w:sz w:val="18"/>
              </w:rPr>
              <w:t>+0.1849</w:t>
            </w:r>
          </w:p>
        </w:tc>
      </w:tr>
      <w:tr>
        <w:trPr>
          <w:cantSplit/>
        </w:trPr>
        <w:tc>
          <w:tcPr>
            <w:tcW w:type="dxa" w:w="2324"/>
            <w:vAlign w:val="center"/>
            <w:tcMar>
              <w:top w:w="65" w:type="dxa"/>
              <w:left w:w="65" w:type="dxa"/>
              <w:bottom w:w="65" w:type="dxa"/>
              <w:right w:w="65" w:type="dxa"/>
            </w:tcMar>
          </w:tcPr>
          <w:p>
            <w:pPr>
              <w:pStyle w:val="TableText"/>
              <w:keepNext w:val="0"/>
              <w:widowControl/>
              <w:jc w:val="left"/>
            </w:pPr>
            <w:r>
              <w:rPr>
                <w:b w:val="0"/>
                <w:sz w:val="18"/>
              </w:rPr>
              <w:t>DL</w:t>
            </w:r>
          </w:p>
        </w:tc>
        <w:tc>
          <w:tcPr>
            <w:tcW w:type="dxa" w:w="1871"/>
            <w:vAlign w:val="center"/>
            <w:tcMar>
              <w:top w:w="65" w:type="dxa"/>
              <w:left w:w="65" w:type="dxa"/>
              <w:bottom w:w="65" w:type="dxa"/>
              <w:right w:w="65" w:type="dxa"/>
            </w:tcMar>
          </w:tcPr>
          <w:p>
            <w:pPr>
              <w:pStyle w:val="TableText"/>
              <w:keepNext w:val="0"/>
              <w:widowControl/>
              <w:jc w:val="left"/>
            </w:pPr>
            <w:r>
              <w:rPr>
                <w:b w:val="0"/>
                <w:sz w:val="18"/>
              </w:rPr>
              <w:t>+0.1815</w:t>
            </w:r>
          </w:p>
        </w:tc>
        <w:tc>
          <w:tcPr>
            <w:tcW w:type="dxa" w:w="1871"/>
            <w:vAlign w:val="center"/>
            <w:tcMar>
              <w:top w:w="65" w:type="dxa"/>
              <w:left w:w="65" w:type="dxa"/>
              <w:bottom w:w="65" w:type="dxa"/>
              <w:right w:w="65" w:type="dxa"/>
            </w:tcMar>
          </w:tcPr>
          <w:p>
            <w:pPr>
              <w:pStyle w:val="TableText"/>
              <w:keepNext w:val="0"/>
              <w:widowControl/>
              <w:jc w:val="left"/>
            </w:pPr>
            <w:r>
              <w:rPr>
                <w:b w:val="0"/>
                <w:sz w:val="18"/>
              </w:rPr>
              <w:t>-0.0347</w:t>
            </w:r>
          </w:p>
        </w:tc>
        <w:tc>
          <w:tcPr>
            <w:tcW w:type="dxa" w:w="1871"/>
            <w:vAlign w:val="center"/>
            <w:tcMar>
              <w:top w:w="65" w:type="dxa"/>
              <w:left w:w="65" w:type="dxa"/>
              <w:bottom w:w="65" w:type="dxa"/>
              <w:right w:w="65" w:type="dxa"/>
            </w:tcMar>
          </w:tcPr>
          <w:p>
            <w:pPr>
              <w:pStyle w:val="TableText"/>
              <w:keepNext w:val="0"/>
              <w:widowControl/>
              <w:jc w:val="left"/>
            </w:pPr>
            <w:r>
              <w:rPr>
                <w:b w:val="0"/>
                <w:sz w:val="18"/>
              </w:rPr>
              <w:t>+0.1345</w:t>
            </w:r>
          </w:p>
        </w:tc>
      </w:tr>
      <w:tr>
        <w:trPr>
          <w:cantSplit/>
        </w:trPr>
        <w:tc>
          <w:tcPr>
            <w:tcW w:type="dxa" w:w="2324"/>
            <w:vAlign w:val="center"/>
            <w:tcMar>
              <w:top w:w="65" w:type="dxa"/>
              <w:left w:w="65" w:type="dxa"/>
              <w:bottom w:w="65" w:type="dxa"/>
              <w:right w:w="65" w:type="dxa"/>
            </w:tcMar>
          </w:tcPr>
          <w:p>
            <w:pPr>
              <w:pStyle w:val="TableText"/>
              <w:keepNext w:val="0"/>
              <w:widowControl/>
              <w:jc w:val="left"/>
            </w:pPr>
            <w:r>
              <w:rPr>
                <w:b w:val="0"/>
                <w:sz w:val="18"/>
              </w:rPr>
              <w:t>RF</w:t>
            </w:r>
          </w:p>
        </w:tc>
        <w:tc>
          <w:tcPr>
            <w:tcW w:type="dxa" w:w="1871"/>
            <w:vAlign w:val="center"/>
            <w:tcMar>
              <w:top w:w="65" w:type="dxa"/>
              <w:left w:w="65" w:type="dxa"/>
              <w:bottom w:w="65" w:type="dxa"/>
              <w:right w:w="65" w:type="dxa"/>
            </w:tcMar>
          </w:tcPr>
          <w:p>
            <w:pPr>
              <w:pStyle w:val="TableText"/>
              <w:keepNext w:val="0"/>
              <w:widowControl/>
              <w:jc w:val="left"/>
            </w:pPr>
            <w:r>
              <w:rPr>
                <w:b w:val="0"/>
                <w:sz w:val="18"/>
              </w:rPr>
              <w:t>+0.6633</w:t>
            </w:r>
          </w:p>
        </w:tc>
        <w:tc>
          <w:tcPr>
            <w:tcW w:type="dxa" w:w="1871"/>
            <w:vAlign w:val="center"/>
            <w:tcMar>
              <w:top w:w="65" w:type="dxa"/>
              <w:left w:w="65" w:type="dxa"/>
              <w:bottom w:w="65" w:type="dxa"/>
              <w:right w:w="65" w:type="dxa"/>
            </w:tcMar>
          </w:tcPr>
          <w:p>
            <w:pPr>
              <w:pStyle w:val="TableText"/>
              <w:keepNext w:val="0"/>
              <w:widowControl/>
              <w:jc w:val="left"/>
            </w:pPr>
            <w:r>
              <w:rPr>
                <w:b w:val="0"/>
                <w:sz w:val="18"/>
              </w:rPr>
              <w:t>+0.0761</w:t>
            </w:r>
          </w:p>
        </w:tc>
        <w:tc>
          <w:tcPr>
            <w:tcW w:type="dxa" w:w="1871"/>
            <w:vAlign w:val="center"/>
            <w:tcMar>
              <w:top w:w="65" w:type="dxa"/>
              <w:left w:w="65" w:type="dxa"/>
              <w:bottom w:w="65" w:type="dxa"/>
              <w:right w:w="65" w:type="dxa"/>
            </w:tcMar>
          </w:tcPr>
          <w:p>
            <w:pPr>
              <w:pStyle w:val="TableText"/>
              <w:keepNext w:val="0"/>
              <w:widowControl/>
              <w:jc w:val="left"/>
            </w:pPr>
            <w:r>
              <w:rPr>
                <w:b w:val="0"/>
                <w:sz w:val="18"/>
              </w:rPr>
              <w:t>+0.1542</w:t>
            </w:r>
          </w:p>
        </w:tc>
      </w:tr>
      <w:tr>
        <w:trPr>
          <w:cantSplit/>
        </w:trPr>
        <w:tc>
          <w:tcPr>
            <w:tcW w:type="dxa" w:w="2324"/>
            <w:vAlign w:val="center"/>
            <w:tcMar>
              <w:top w:w="65" w:type="dxa"/>
              <w:left w:w="65" w:type="dxa"/>
              <w:bottom w:w="65" w:type="dxa"/>
              <w:right w:w="65" w:type="dxa"/>
            </w:tcMar>
          </w:tcPr>
          <w:p>
            <w:pPr>
              <w:pStyle w:val="TableText"/>
              <w:keepNext w:val="0"/>
              <w:widowControl/>
              <w:jc w:val="left"/>
            </w:pPr>
            <w:r>
              <w:rPr>
                <w:b w:val="0"/>
                <w:sz w:val="18"/>
              </w:rPr>
              <w:t>CX</w:t>
            </w:r>
          </w:p>
        </w:tc>
        <w:tc>
          <w:tcPr>
            <w:tcW w:type="dxa" w:w="1871"/>
            <w:vAlign w:val="center"/>
            <w:tcMar>
              <w:top w:w="65" w:type="dxa"/>
              <w:left w:w="65" w:type="dxa"/>
              <w:bottom w:w="65" w:type="dxa"/>
              <w:right w:w="65" w:type="dxa"/>
            </w:tcMar>
          </w:tcPr>
          <w:p>
            <w:pPr>
              <w:pStyle w:val="TableText"/>
              <w:keepNext w:val="0"/>
              <w:widowControl/>
              <w:jc w:val="left"/>
            </w:pPr>
            <w:r>
              <w:rPr>
                <w:b w:val="0"/>
                <w:sz w:val="18"/>
              </w:rPr>
              <w:t>+0.2785</w:t>
            </w:r>
          </w:p>
        </w:tc>
        <w:tc>
          <w:tcPr>
            <w:tcW w:type="dxa" w:w="1871"/>
            <w:vAlign w:val="center"/>
            <w:tcMar>
              <w:top w:w="65" w:type="dxa"/>
              <w:left w:w="65" w:type="dxa"/>
              <w:bottom w:w="65" w:type="dxa"/>
              <w:right w:w="65" w:type="dxa"/>
            </w:tcMar>
          </w:tcPr>
          <w:p>
            <w:pPr>
              <w:pStyle w:val="TableText"/>
              <w:keepNext w:val="0"/>
              <w:widowControl/>
              <w:jc w:val="left"/>
            </w:pPr>
            <w:r>
              <w:rPr>
                <w:b w:val="0"/>
                <w:sz w:val="18"/>
              </w:rPr>
              <w:t>+0.0234</w:t>
            </w:r>
          </w:p>
        </w:tc>
        <w:tc>
          <w:tcPr>
            <w:tcW w:type="dxa" w:w="1871"/>
            <w:vAlign w:val="center"/>
            <w:tcMar>
              <w:top w:w="65" w:type="dxa"/>
              <w:left w:w="65" w:type="dxa"/>
              <w:bottom w:w="65" w:type="dxa"/>
              <w:right w:w="65" w:type="dxa"/>
            </w:tcMar>
          </w:tcPr>
          <w:p>
            <w:pPr>
              <w:pStyle w:val="TableText"/>
              <w:keepNext w:val="0"/>
              <w:widowControl/>
              <w:jc w:val="left"/>
            </w:pPr>
            <w:r>
              <w:rPr>
                <w:b w:val="0"/>
                <w:sz w:val="18"/>
              </w:rPr>
              <w:t>+0.1018</w:t>
            </w:r>
          </w:p>
        </w:tc>
      </w:tr>
      <w:tr>
        <w:trPr>
          <w:cantSplit/>
        </w:trPr>
        <w:tc>
          <w:tcPr>
            <w:tcW w:type="dxa" w:w="2324"/>
            <w:vAlign w:val="center"/>
            <w:tcMar>
              <w:top w:w="65" w:type="dxa"/>
              <w:left w:w="65" w:type="dxa"/>
              <w:bottom w:w="65" w:type="dxa"/>
              <w:right w:w="65" w:type="dxa"/>
            </w:tcMar>
          </w:tcPr>
          <w:p>
            <w:pPr>
              <w:pStyle w:val="TableText"/>
              <w:keepNext w:val="0"/>
              <w:widowControl/>
              <w:jc w:val="left"/>
            </w:pPr>
            <w:r>
              <w:rPr>
                <w:b w:val="0"/>
                <w:sz w:val="18"/>
              </w:rPr>
              <w:t>WC1</w:t>
            </w:r>
          </w:p>
        </w:tc>
        <w:tc>
          <w:tcPr>
            <w:tcW w:type="dxa" w:w="1871"/>
            <w:vAlign w:val="center"/>
            <w:tcMar>
              <w:top w:w="65" w:type="dxa"/>
              <w:left w:w="65" w:type="dxa"/>
              <w:bottom w:w="65" w:type="dxa"/>
              <w:right w:w="65" w:type="dxa"/>
            </w:tcMar>
          </w:tcPr>
          <w:p>
            <w:pPr>
              <w:pStyle w:val="TableText"/>
              <w:keepNext w:val="0"/>
              <w:widowControl/>
              <w:jc w:val="left"/>
            </w:pPr>
            <w:r>
              <w:rPr>
                <w:b w:val="0"/>
                <w:sz w:val="18"/>
              </w:rPr>
              <w:t>+0.3253</w:t>
            </w:r>
          </w:p>
        </w:tc>
        <w:tc>
          <w:tcPr>
            <w:tcW w:type="dxa" w:w="1871"/>
            <w:vAlign w:val="center"/>
            <w:tcMar>
              <w:top w:w="65" w:type="dxa"/>
              <w:left w:w="65" w:type="dxa"/>
              <w:bottom w:w="65" w:type="dxa"/>
              <w:right w:w="65" w:type="dxa"/>
            </w:tcMar>
          </w:tcPr>
          <w:p>
            <w:pPr>
              <w:pStyle w:val="TableText"/>
              <w:keepNext w:val="0"/>
              <w:widowControl/>
              <w:jc w:val="left"/>
            </w:pPr>
            <w:r>
              <w:rPr>
                <w:b w:val="0"/>
                <w:sz w:val="18"/>
              </w:rPr>
              <w:t>+0.0102</w:t>
            </w:r>
          </w:p>
        </w:tc>
        <w:tc>
          <w:tcPr>
            <w:tcW w:type="dxa" w:w="1871"/>
            <w:vAlign w:val="center"/>
            <w:tcMar>
              <w:top w:w="65" w:type="dxa"/>
              <w:left w:w="65" w:type="dxa"/>
              <w:bottom w:w="65" w:type="dxa"/>
              <w:right w:w="65" w:type="dxa"/>
            </w:tcMar>
          </w:tcPr>
          <w:p>
            <w:pPr>
              <w:pStyle w:val="TableText"/>
              <w:keepNext w:val="0"/>
              <w:widowControl/>
              <w:jc w:val="left"/>
            </w:pPr>
            <w:r>
              <w:rPr>
                <w:b w:val="0"/>
                <w:sz w:val="18"/>
              </w:rPr>
              <w:t>+0.0645</w:t>
            </w:r>
          </w:p>
        </w:tc>
      </w:tr>
      <w:tr>
        <w:trPr>
          <w:cantSplit/>
        </w:trPr>
        <w:tc>
          <w:tcPr>
            <w:tcW w:type="dxa" w:w="2324"/>
            <w:vAlign w:val="center"/>
            <w:tcMar>
              <w:top w:w="65" w:type="dxa"/>
              <w:left w:w="65" w:type="dxa"/>
              <w:bottom w:w="65" w:type="dxa"/>
              <w:right w:w="65" w:type="dxa"/>
            </w:tcMar>
          </w:tcPr>
          <w:p>
            <w:pPr>
              <w:pStyle w:val="TableText"/>
              <w:keepNext w:val="0"/>
              <w:widowControl/>
              <w:jc w:val="left"/>
            </w:pPr>
            <w:r>
              <w:rPr>
                <w:b w:val="0"/>
                <w:sz w:val="18"/>
              </w:rPr>
              <w:t>WC2</w:t>
            </w:r>
          </w:p>
        </w:tc>
        <w:tc>
          <w:tcPr>
            <w:tcW w:type="dxa" w:w="1871"/>
            <w:vAlign w:val="center"/>
            <w:tcMar>
              <w:top w:w="65" w:type="dxa"/>
              <w:left w:w="65" w:type="dxa"/>
              <w:bottom w:w="65" w:type="dxa"/>
              <w:right w:w="65" w:type="dxa"/>
            </w:tcMar>
          </w:tcPr>
          <w:p>
            <w:pPr>
              <w:pStyle w:val="TableText"/>
              <w:keepNext w:val="0"/>
              <w:widowControl/>
              <w:jc w:val="left"/>
            </w:pPr>
            <w:r>
              <w:rPr>
                <w:b w:val="0"/>
                <w:sz w:val="18"/>
              </w:rPr>
              <w:t>+0.2042</w:t>
            </w:r>
          </w:p>
        </w:tc>
        <w:tc>
          <w:tcPr>
            <w:tcW w:type="dxa" w:w="1871"/>
            <w:vAlign w:val="center"/>
            <w:tcMar>
              <w:top w:w="65" w:type="dxa"/>
              <w:left w:w="65" w:type="dxa"/>
              <w:bottom w:w="65" w:type="dxa"/>
              <w:right w:w="65" w:type="dxa"/>
            </w:tcMar>
          </w:tcPr>
          <w:p>
            <w:pPr>
              <w:pStyle w:val="TableText"/>
              <w:keepNext w:val="0"/>
              <w:widowControl/>
              <w:jc w:val="left"/>
            </w:pPr>
            <w:r>
              <w:rPr>
                <w:b w:val="0"/>
                <w:sz w:val="18"/>
              </w:rPr>
              <w:t>+0.0099</w:t>
            </w:r>
          </w:p>
        </w:tc>
        <w:tc>
          <w:tcPr>
            <w:tcW w:type="dxa" w:w="1871"/>
            <w:vAlign w:val="center"/>
            <w:tcMar>
              <w:top w:w="65" w:type="dxa"/>
              <w:left w:w="65" w:type="dxa"/>
              <w:bottom w:w="65" w:type="dxa"/>
              <w:right w:w="65" w:type="dxa"/>
            </w:tcMar>
          </w:tcPr>
          <w:p>
            <w:pPr>
              <w:pStyle w:val="TableText"/>
              <w:keepNext w:val="0"/>
              <w:widowControl/>
              <w:jc w:val="left"/>
            </w:pPr>
            <w:r>
              <w:rPr>
                <w:b w:val="0"/>
                <w:sz w:val="18"/>
              </w:rPr>
              <w:t>+0.0462</w:t>
            </w:r>
          </w:p>
        </w:tc>
      </w:tr>
      <w:tr>
        <w:trPr>
          <w:cantSplit/>
        </w:trPr>
        <w:tc>
          <w:tcPr>
            <w:tcW w:type="dxa" w:w="2324"/>
            <w:vAlign w:val="center"/>
            <w:tcMar>
              <w:top w:w="65" w:type="dxa"/>
              <w:left w:w="65" w:type="dxa"/>
              <w:bottom w:w="65" w:type="dxa"/>
              <w:right w:w="65" w:type="dxa"/>
            </w:tcMar>
          </w:tcPr>
          <w:p>
            <w:pPr>
              <w:pStyle w:val="TableText"/>
              <w:keepNext w:val="0"/>
              <w:widowControl/>
              <w:jc w:val="left"/>
            </w:pPr>
            <w:r>
              <w:rPr>
                <w:b w:val="0"/>
                <w:sz w:val="18"/>
              </w:rPr>
              <w:t>OE</w:t>
            </w:r>
          </w:p>
        </w:tc>
        <w:tc>
          <w:tcPr>
            <w:tcW w:type="dxa" w:w="1871"/>
            <w:vAlign w:val="center"/>
            <w:tcMar>
              <w:top w:w="65" w:type="dxa"/>
              <w:left w:w="65" w:type="dxa"/>
              <w:bottom w:w="65" w:type="dxa"/>
              <w:right w:w="65" w:type="dxa"/>
            </w:tcMar>
          </w:tcPr>
          <w:p>
            <w:pPr>
              <w:pStyle w:val="TableText"/>
              <w:keepNext w:val="0"/>
              <w:widowControl/>
              <w:jc w:val="left"/>
            </w:pPr>
            <w:r>
              <w:rPr>
                <w:b w:val="0"/>
                <w:sz w:val="18"/>
              </w:rPr>
              <w:t>+0.7654</w:t>
            </w:r>
          </w:p>
        </w:tc>
        <w:tc>
          <w:tcPr>
            <w:tcW w:type="dxa" w:w="1871"/>
            <w:vAlign w:val="center"/>
            <w:tcMar>
              <w:top w:w="65" w:type="dxa"/>
              <w:left w:w="65" w:type="dxa"/>
              <w:bottom w:w="65" w:type="dxa"/>
              <w:right w:w="65" w:type="dxa"/>
            </w:tcMar>
          </w:tcPr>
          <w:p>
            <w:pPr>
              <w:pStyle w:val="TableText"/>
              <w:keepNext w:val="0"/>
              <w:widowControl/>
              <w:jc w:val="left"/>
            </w:pPr>
            <w:r>
              <w:rPr>
                <w:b w:val="0"/>
                <w:sz w:val="18"/>
              </w:rPr>
              <w:t>+0.2775</w:t>
            </w:r>
          </w:p>
        </w:tc>
        <w:tc>
          <w:tcPr>
            <w:tcW w:type="dxa" w:w="1871"/>
            <w:vAlign w:val="center"/>
            <w:tcMar>
              <w:top w:w="65" w:type="dxa"/>
              <w:left w:w="65" w:type="dxa"/>
              <w:bottom w:w="65" w:type="dxa"/>
              <w:right w:w="65" w:type="dxa"/>
            </w:tcMar>
          </w:tcPr>
          <w:p>
            <w:pPr>
              <w:pStyle w:val="TableText"/>
              <w:keepNext w:val="0"/>
              <w:widowControl/>
              <w:jc w:val="left"/>
            </w:pPr>
            <w:r>
              <w:rPr>
                <w:b w:val="0"/>
                <w:sz w:val="18"/>
              </w:rPr>
              <w:t>+0.1944</w:t>
            </w:r>
          </w:p>
        </w:tc>
      </w:tr>
      <w:tr>
        <w:trPr>
          <w:cantSplit/>
        </w:trPr>
        <w:tc>
          <w:tcPr>
            <w:tcW w:type="dxa" w:w="2324"/>
            <w:vAlign w:val="center"/>
            <w:tcMar>
              <w:top w:w="65" w:type="dxa"/>
              <w:left w:w="65" w:type="dxa"/>
              <w:bottom w:w="65" w:type="dxa"/>
              <w:right w:w="65" w:type="dxa"/>
            </w:tcMar>
          </w:tcPr>
          <w:p>
            <w:pPr>
              <w:pStyle w:val="TableText"/>
              <w:keepNext w:val="0"/>
              <w:widowControl/>
              <w:jc w:val="left"/>
            </w:pPr>
            <w:r>
              <w:rPr>
                <w:b w:val="0"/>
                <w:sz w:val="18"/>
              </w:rPr>
              <w:t>MX1</w:t>
            </w:r>
          </w:p>
        </w:tc>
        <w:tc>
          <w:tcPr>
            <w:tcW w:type="dxa" w:w="1871"/>
            <w:vAlign w:val="center"/>
            <w:tcMar>
              <w:top w:w="65" w:type="dxa"/>
              <w:left w:w="65" w:type="dxa"/>
              <w:bottom w:w="65" w:type="dxa"/>
              <w:right w:w="65" w:type="dxa"/>
            </w:tcMar>
          </w:tcPr>
          <w:p>
            <w:pPr>
              <w:pStyle w:val="TableText"/>
              <w:keepNext w:val="0"/>
              <w:widowControl/>
              <w:jc w:val="left"/>
            </w:pPr>
            <w:r>
              <w:rPr>
                <w:b w:val="0"/>
                <w:sz w:val="18"/>
              </w:rPr>
              <w:t>+0.4951</w:t>
            </w:r>
          </w:p>
        </w:tc>
        <w:tc>
          <w:tcPr>
            <w:tcW w:type="dxa" w:w="1871"/>
            <w:vAlign w:val="center"/>
            <w:tcMar>
              <w:top w:w="65" w:type="dxa"/>
              <w:left w:w="65" w:type="dxa"/>
              <w:bottom w:w="65" w:type="dxa"/>
              <w:right w:w="65" w:type="dxa"/>
            </w:tcMar>
          </w:tcPr>
          <w:p>
            <w:pPr>
              <w:pStyle w:val="TableText"/>
              <w:keepNext w:val="0"/>
              <w:widowControl/>
              <w:jc w:val="left"/>
            </w:pPr>
            <w:r>
              <w:rPr>
                <w:b w:val="0"/>
                <w:sz w:val="18"/>
              </w:rPr>
              <w:t>+0.1444</w:t>
            </w:r>
          </w:p>
        </w:tc>
        <w:tc>
          <w:tcPr>
            <w:tcW w:type="dxa" w:w="1871"/>
            <w:vAlign w:val="center"/>
            <w:tcMar>
              <w:top w:w="65" w:type="dxa"/>
              <w:left w:w="65" w:type="dxa"/>
              <w:bottom w:w="65" w:type="dxa"/>
              <w:right w:w="65" w:type="dxa"/>
            </w:tcMar>
          </w:tcPr>
          <w:p>
            <w:pPr>
              <w:pStyle w:val="TableText"/>
              <w:keepNext w:val="0"/>
              <w:widowControl/>
              <w:jc w:val="left"/>
            </w:pPr>
            <w:r>
              <w:rPr>
                <w:b w:val="0"/>
                <w:sz w:val="18"/>
              </w:rPr>
              <w:t>+0.1845</w:t>
            </w:r>
          </w:p>
        </w:tc>
      </w:tr>
      <w:tr>
        <w:trPr>
          <w:cantSplit/>
        </w:trPr>
        <w:tc>
          <w:tcPr>
            <w:tcW w:type="dxa" w:w="2324"/>
            <w:vAlign w:val="center"/>
            <w:tcMar>
              <w:top w:w="65" w:type="dxa"/>
              <w:left w:w="65" w:type="dxa"/>
              <w:bottom w:w="65" w:type="dxa"/>
              <w:right w:w="65" w:type="dxa"/>
            </w:tcMar>
          </w:tcPr>
          <w:p>
            <w:pPr>
              <w:pStyle w:val="TableText"/>
              <w:keepNext w:val="0"/>
              <w:widowControl/>
              <w:jc w:val="left"/>
            </w:pPr>
            <w:r>
              <w:rPr>
                <w:b w:val="0"/>
                <w:sz w:val="18"/>
              </w:rPr>
              <w:t>MX2</w:t>
            </w:r>
          </w:p>
        </w:tc>
        <w:tc>
          <w:tcPr>
            <w:tcW w:type="dxa" w:w="1871"/>
            <w:vAlign w:val="center"/>
            <w:tcMar>
              <w:top w:w="65" w:type="dxa"/>
              <w:left w:w="65" w:type="dxa"/>
              <w:bottom w:w="65" w:type="dxa"/>
              <w:right w:w="65" w:type="dxa"/>
            </w:tcMar>
          </w:tcPr>
          <w:p>
            <w:pPr>
              <w:pStyle w:val="TableText"/>
              <w:keepNext w:val="0"/>
              <w:widowControl/>
              <w:jc w:val="left"/>
            </w:pPr>
            <w:r>
              <w:rPr>
                <w:b w:val="0"/>
                <w:sz w:val="18"/>
              </w:rPr>
              <w:t>+0.2630</w:t>
            </w:r>
          </w:p>
        </w:tc>
        <w:tc>
          <w:tcPr>
            <w:tcW w:type="dxa" w:w="1871"/>
            <w:vAlign w:val="center"/>
            <w:tcMar>
              <w:top w:w="65" w:type="dxa"/>
              <w:left w:w="65" w:type="dxa"/>
              <w:bottom w:w="65" w:type="dxa"/>
              <w:right w:w="65" w:type="dxa"/>
            </w:tcMar>
          </w:tcPr>
          <w:p>
            <w:pPr>
              <w:pStyle w:val="TableText"/>
              <w:keepNext w:val="0"/>
              <w:widowControl/>
              <w:jc w:val="left"/>
            </w:pPr>
            <w:r>
              <w:rPr>
                <w:b w:val="0"/>
                <w:sz w:val="18"/>
              </w:rPr>
              <w:t>-0.0188</w:t>
            </w:r>
          </w:p>
        </w:tc>
        <w:tc>
          <w:tcPr>
            <w:tcW w:type="dxa" w:w="1871"/>
            <w:vAlign w:val="center"/>
            <w:tcMar>
              <w:top w:w="65" w:type="dxa"/>
              <w:left w:w="65" w:type="dxa"/>
              <w:bottom w:w="65" w:type="dxa"/>
              <w:right w:w="65" w:type="dxa"/>
            </w:tcMar>
          </w:tcPr>
          <w:p>
            <w:pPr>
              <w:pStyle w:val="TableText"/>
              <w:keepNext w:val="0"/>
              <w:widowControl/>
              <w:jc w:val="left"/>
            </w:pPr>
            <w:r>
              <w:rPr>
                <w:b w:val="0"/>
                <w:sz w:val="18"/>
              </w:rPr>
              <w:t>+0.0932</w:t>
            </w:r>
          </w:p>
        </w:tc>
      </w:tr>
      <w:tr>
        <w:trPr>
          <w:cantSplit/>
        </w:trPr>
        <w:tc>
          <w:tcPr>
            <w:tcW w:type="dxa" w:w="2324"/>
            <w:vAlign w:val="center"/>
            <w:tcMar>
              <w:top w:w="65" w:type="dxa"/>
              <w:left w:w="65" w:type="dxa"/>
              <w:bottom w:w="65" w:type="dxa"/>
              <w:right w:w="65" w:type="dxa"/>
            </w:tcMar>
          </w:tcPr>
          <w:p>
            <w:pPr>
              <w:pStyle w:val="TableText"/>
              <w:keepNext w:val="0"/>
              <w:widowControl/>
              <w:jc w:val="left"/>
            </w:pPr>
            <w:r>
              <w:rPr>
                <w:b w:val="0"/>
                <w:sz w:val="18"/>
              </w:rPr>
              <w:t>C3-E</w:t>
            </w:r>
          </w:p>
        </w:tc>
        <w:tc>
          <w:tcPr>
            <w:tcW w:type="dxa" w:w="1871"/>
            <w:vAlign w:val="center"/>
            <w:tcMar>
              <w:top w:w="65" w:type="dxa"/>
              <w:left w:w="65" w:type="dxa"/>
              <w:bottom w:w="65" w:type="dxa"/>
              <w:right w:w="65" w:type="dxa"/>
            </w:tcMar>
          </w:tcPr>
          <w:p>
            <w:pPr>
              <w:pStyle w:val="TableText"/>
              <w:keepNext w:val="0"/>
              <w:widowControl/>
              <w:jc w:val="left"/>
            </w:pPr>
            <w:r>
              <w:rPr>
                <w:b w:val="0"/>
                <w:sz w:val="18"/>
              </w:rPr>
              <w:t>+0.9233</w:t>
            </w:r>
          </w:p>
        </w:tc>
        <w:tc>
          <w:tcPr>
            <w:tcW w:type="dxa" w:w="1871"/>
            <w:vAlign w:val="center"/>
            <w:tcMar>
              <w:top w:w="65" w:type="dxa"/>
              <w:left w:w="65" w:type="dxa"/>
              <w:bottom w:w="65" w:type="dxa"/>
              <w:right w:w="65" w:type="dxa"/>
            </w:tcMar>
          </w:tcPr>
          <w:p>
            <w:pPr>
              <w:pStyle w:val="TableText"/>
              <w:keepNext w:val="0"/>
              <w:widowControl/>
              <w:jc w:val="left"/>
            </w:pPr>
            <w:r>
              <w:rPr>
                <w:b w:val="0"/>
                <w:sz w:val="18"/>
              </w:rPr>
              <w:t>+0.2069</w:t>
            </w:r>
          </w:p>
        </w:tc>
        <w:tc>
          <w:tcPr>
            <w:tcW w:type="dxa" w:w="1871"/>
            <w:vAlign w:val="center"/>
            <w:tcMar>
              <w:top w:w="65" w:type="dxa"/>
              <w:left w:w="65" w:type="dxa"/>
              <w:bottom w:w="65" w:type="dxa"/>
              <w:right w:w="65" w:type="dxa"/>
            </w:tcMar>
          </w:tcPr>
          <w:p>
            <w:pPr>
              <w:pStyle w:val="TableText"/>
              <w:keepNext w:val="0"/>
              <w:widowControl/>
              <w:jc w:val="left"/>
            </w:pPr>
            <w:r>
              <w:rPr>
                <w:b w:val="0"/>
                <w:sz w:val="18"/>
              </w:rPr>
              <w:t>+0.2465</w:t>
            </w:r>
          </w:p>
        </w:tc>
      </w:tr>
      <w:tr>
        <w:trPr>
          <w:cantSplit/>
        </w:trPr>
        <w:tc>
          <w:tcPr>
            <w:tcW w:type="dxa" w:w="2324"/>
            <w:vAlign w:val="center"/>
            <w:tcMar>
              <w:top w:w="65" w:type="dxa"/>
              <w:left w:w="65" w:type="dxa"/>
              <w:bottom w:w="65" w:type="dxa"/>
              <w:right w:w="65" w:type="dxa"/>
            </w:tcMar>
          </w:tcPr>
          <w:p>
            <w:pPr>
              <w:pStyle w:val="TableText"/>
              <w:keepNext w:val="0"/>
              <w:widowControl/>
              <w:jc w:val="left"/>
            </w:pPr>
            <w:r>
              <w:rPr>
                <w:b w:val="0"/>
                <w:sz w:val="18"/>
              </w:rPr>
              <w:t>Ceiling</w:t>
            </w:r>
          </w:p>
        </w:tc>
        <w:tc>
          <w:tcPr>
            <w:tcW w:type="dxa" w:w="1871"/>
            <w:vAlign w:val="center"/>
            <w:tcMar>
              <w:top w:w="65" w:type="dxa"/>
              <w:left w:w="65" w:type="dxa"/>
              <w:bottom w:w="65" w:type="dxa"/>
              <w:right w:w="65" w:type="dxa"/>
            </w:tcMar>
          </w:tcPr>
          <w:p>
            <w:pPr>
              <w:pStyle w:val="TableText"/>
              <w:keepNext w:val="0"/>
              <w:widowControl/>
              <w:jc w:val="left"/>
            </w:pPr>
            <w:r>
              <w:rPr>
                <w:b w:val="0"/>
                <w:sz w:val="18"/>
              </w:rPr>
              <w:t>+1.4013</w:t>
            </w:r>
          </w:p>
        </w:tc>
        <w:tc>
          <w:tcPr>
            <w:tcW w:type="dxa" w:w="1871"/>
            <w:vAlign w:val="center"/>
            <w:tcMar>
              <w:top w:w="65" w:type="dxa"/>
              <w:left w:w="65" w:type="dxa"/>
              <w:bottom w:w="65" w:type="dxa"/>
              <w:right w:w="65" w:type="dxa"/>
            </w:tcMar>
          </w:tcPr>
          <w:p>
            <w:pPr>
              <w:pStyle w:val="TableText"/>
              <w:keepNext w:val="0"/>
              <w:widowControl/>
              <w:jc w:val="left"/>
            </w:pPr>
            <w:r>
              <w:rPr>
                <w:b w:val="0"/>
                <w:sz w:val="18"/>
              </w:rPr>
              <w:t>+0.3318</w:t>
            </w:r>
          </w:p>
        </w:tc>
        <w:tc>
          <w:tcPr>
            <w:tcW w:type="dxa" w:w="1871"/>
            <w:vAlign w:val="center"/>
            <w:tcMar>
              <w:top w:w="65" w:type="dxa"/>
              <w:left w:w="65" w:type="dxa"/>
              <w:bottom w:w="65" w:type="dxa"/>
              <w:right w:w="65" w:type="dxa"/>
            </w:tcMar>
          </w:tcPr>
          <w:p>
            <w:pPr>
              <w:pStyle w:val="TableText"/>
              <w:keepNext w:val="0"/>
              <w:widowControl/>
              <w:jc w:val="left"/>
            </w:pPr>
            <w:r>
              <w:rPr>
                <w:b w:val="0"/>
                <w:sz w:val="18"/>
              </w:rPr>
              <w:t>+0.5439</w:t>
            </w:r>
          </w:p>
        </w:tc>
      </w:tr>
    </w:tbl>
    <w:p>
      <w:pPr>
        <w:pStyle w:val="SourceNote"/>
        <w:widowControl/>
      </w:pPr>
      <w:r>
        <w:t>자료: 동결 Stage6 payoff와 C3-E 최종 metrics를 동일 575개 기업에서 재집계. 각 Oracle 내부 비교이며 원점수의 크기를 Oracle 사이에 직접 비교하지 않는다.</w:t>
      </w:r>
    </w:p>
    <w:p>
      <w:bookmarkStart w:id="92" w:name="cap_18"/>
      <w:pPr>
        <w:pStyle w:val="af"/>
        <w:widowControl/>
      </w:pPr>
      <w:r>
        <w:t>그림 4-1. Oracle-α에서의 최종 비교정책 순위</w:t>
      </w:r>
      <w:bookmarkEnd w:id="92"/>
    </w:p>
    <w:p>
      <w:pPr>
        <w:keepNext/>
        <w:widowControl/>
        <w:ind w:firstLine="0"/>
        <w:jc w:val="center"/>
      </w:pPr>
      <w:r>
        <w:drawing>
          <wp:inline xmlns:a="http://schemas.openxmlformats.org/drawingml/2006/main" xmlns:pic="http://schemas.openxmlformats.org/drawingml/2006/picture">
            <wp:extent cx="5040000" cy="3360000"/>
            <wp:docPr id="1" name="Picture 1"/>
            <wp:cNvGraphicFramePr>
              <a:graphicFrameLocks noChangeAspect="1"/>
            </wp:cNvGraphicFramePr>
            <a:graphic>
              <a:graphicData uri="http://schemas.openxmlformats.org/drawingml/2006/picture">
                <pic:pic>
                  <pic:nvPicPr>
                    <pic:cNvPr id="0" name="reference_ladder.png"/>
                    <pic:cNvPicPr/>
                  </pic:nvPicPr>
                  <pic:blipFill>
                    <a:blip r:embed="rId33"/>
                    <a:stretch>
                      <a:fillRect/>
                    </a:stretch>
                  </pic:blipFill>
                  <pic:spPr>
                    <a:xfrm>
                      <a:off x="0" y="0"/>
                      <a:ext cx="5040000" cy="3360000"/>
                    </a:xfrm>
                    <a:prstGeom prst="rect"/>
                  </pic:spPr>
                </pic:pic>
              </a:graphicData>
            </a:graphic>
          </wp:inline>
        </w:drawing>
      </w:r>
    </w:p>
    <w:p>
      <w:pPr>
        <w:pStyle w:val="SourceNote"/>
        <w:widowControl/>
      </w:pPr>
      <w:r>
        <w:t>자료: 표의 A0 대비 증분가치. Ceiling은 후보집합 안의 사후 상한이며 배포정책이 아니다.</w:t>
      </w:r>
    </w:p>
    <w:p>
      <w:pPr>
        <w:widowControl/>
      </w:pPr>
      <w:r>
        <w:t>α에서 C3-E의 평균 절대점수는 55.959960, A0 대비 정책가치는 +0.923299이다. 최선 고정정책 OE의 A0 대비 값은 +0.765362, C2는 +0.606941이므로 C3-E−OE는 +0.157936, C3-E−C2는 +0.316358이다. 후보 ceiling은 절대점수 56.437984, A0 대비 +1.401323이다. 이는 현재 표면에서 학습 참조가 고정 OE를 넘는 평균값을 보이지만 여전히 사후 후보 상한과 간격이 있음을 나타낸다.</w:t>
      </w:r>
    </w:p>
    <w:p>
      <w:pPr>
        <w:widowControl/>
      </w:pPr>
      <w:r>
        <w:t>β에서는 C3-E의 OE 대비 차이가 −0.070622인 반면 γ에서는 +0.052025이다. C2 대비 차이는 β에서 +0.000996으로 매우 작고 γ에서 +0.061552이다. 따라서 α에서 OE를 웃도는 결과를 세 평가모형 모두에서 같은 크기와 방향의 우월성으로 확대하지 않는다. 모든 수치는 최종 선택을 거친 정책의 기술통계라는 한계도 함께 갖는다.</w:t>
      </w:r>
    </w:p>
    <w:p>
      <w:bookmarkStart w:id="93" w:name="head_75"/>
      <w:pPr>
        <w:pStyle w:val="2"/>
        <w:widowControl/>
      </w:pPr>
      <w:r>
        <w:t>4.5 C3-E의 행동분포와 seed 구성</w:t>
      </w:r>
      <w:bookmarkEnd w:id="93"/>
    </w:p>
    <w:p>
      <w:bookmarkStart w:id="94" w:name="head_76"/>
      <w:pPr>
        <w:pStyle w:val="3"/>
        <w:widowControl/>
      </w:pPr>
      <w:r>
        <w:t>4.5.1 평균가치, 행동다양성과 손실 사례</w:t>
      </w:r>
      <w:bookmarkEnd w:id="94"/>
    </w:p>
    <w:p>
      <w:bookmarkStart w:id="95" w:name="cap_19"/>
      <w:pPr>
        <w:pStyle w:val="af"/>
        <w:widowControl/>
      </w:pPr>
      <w:r>
        <w:t>그림 4-2. 동결 C3-E의 기업별 행동 분포</w:t>
      </w:r>
      <w:bookmarkEnd w:id="95"/>
    </w:p>
    <w:p>
      <w:pPr>
        <w:keepNext/>
        <w:widowControl/>
        <w:ind w:firstLine="0"/>
        <w:jc w:val="center"/>
      </w:pPr>
      <w:r>
        <w:drawing>
          <wp:inline xmlns:a="http://schemas.openxmlformats.org/drawingml/2006/main" xmlns:pic="http://schemas.openxmlformats.org/drawingml/2006/picture">
            <wp:extent cx="5040000" cy="2800000"/>
            <wp:docPr id="2" name="Picture 2"/>
            <wp:cNvGraphicFramePr>
              <a:graphicFrameLocks noChangeAspect="1"/>
            </wp:cNvGraphicFramePr>
            <a:graphic>
              <a:graphicData uri="http://schemas.openxmlformats.org/drawingml/2006/picture">
                <pic:pic>
                  <pic:nvPicPr>
                    <pic:cNvPr id="0" name="c3e_action_distribution.png"/>
                    <pic:cNvPicPr/>
                  </pic:nvPicPr>
                  <pic:blipFill>
                    <a:blip r:embed="rId34"/>
                    <a:stretch>
                      <a:fillRect/>
                    </a:stretch>
                  </pic:blipFill>
                  <pic:spPr>
                    <a:xfrm>
                      <a:off x="0" y="0"/>
                      <a:ext cx="5040000" cy="2800000"/>
                    </a:xfrm>
                    <a:prstGeom prst="rect"/>
                  </pic:spPr>
                </pic:pic>
              </a:graphicData>
            </a:graphic>
          </wp:inline>
        </w:drawing>
      </w:r>
    </w:p>
    <w:p>
      <w:pPr>
        <w:pStyle w:val="SourceNote"/>
        <w:widowControl/>
      </w:pPr>
      <w:r>
        <w:t>자료: 최종 deployment metrics, 575개 기업. OE 232, RF 155, WC1 54, CX 41, WC2 39, MX2 36, MX1 18이며 A0·DL 선택은 0이다.</w:t>
      </w:r>
    </w:p>
    <w:p>
      <w:pPr>
        <w:widowControl/>
      </w:pPr>
      <w:r>
        <w:t>최종 C3-E는 OE를 232개 기업(40.3%)에 선택하고 RF를 155개 기업(27.0%)에 선택하였다. 나머지는 운전자본, 성장성 CAPEX 및 복합행동으로 나뉜다. 행동빈도의 Shannon entropy는 자연로그 기준 H=1.594461이며 exp(H)는 약 4.93이다. 이는 평가기업 전체에서의 행동선택 분포를 요약하는 값으로, 기업별 확률벡터의 평균 entropy와 다르다.</w:t>
      </w:r>
    </w:p>
    <w:p>
      <w:pPr>
        <w:widowControl/>
      </w:pPr>
      <w:r>
        <w:t>다양한 행동을 사용했다는 사실이 곧 더 좋은 정책이라는 의미는 아니다. OE와 다른 행동을 선택한 343개 기업 가운데 α 점수가 높아진 기업은 100개, 낮아진 기업은 102개, 같은 기업은 141개이다. 평균이 개선된 이유는 이득 사례의 총 증가폭이 손실 사례의 총 감소폭보다 컸기 때문이지, 이득을 본 기업 수가 압도적으로 많았기 때문은 아니다.</w:t>
      </w:r>
    </w:p>
    <w:p>
      <w:pPr>
        <w:widowControl/>
      </w:pPr>
      <w:r>
        <w:t>OE 대비 점수 증가의 합은 약 198.04, 감소폭의 합은 약 107.22로 순증가 약 90.81이다. 이를 575개 기업으로 나누면 +0.157936이다. 평균 증가와 개별 손실위험을 함께 제시해야 ‘평균적으로 더 높은 정책’과 ‘모든 기업에 더 안전한 정책’을 구분할 수 있다. 이 beneficial/harmful은 Oracle-α상 상대평가이며 실제 금융손익이나 부도피해의 관측이 아니다.</w:t>
      </w:r>
    </w:p>
    <w:p>
      <w:bookmarkStart w:id="96" w:name="cap_20"/>
      <w:pPr>
        <w:pStyle w:val="af"/>
        <w:widowControl/>
      </w:pPr>
      <w:r>
        <w:t>표 4-6. 최종 C3-E의 주요 지표</w:t>
      </w:r>
      <w:bookmarkEnd w:id="96"/>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2381"/>
        <w:gridCol w:w="2494"/>
        <w:gridCol w:w="3061"/>
      </w:tblGrid>
      <w:tr>
        <w:trPr>
          <w:cantSplit/>
          <w:tblHeader/>
        </w:trPr>
        <w:tc>
          <w:tcPr>
            <w:tcW w:type="dxa" w:w="2381"/>
            <w:vAlign w:val="center"/>
            <w:shd w:fill="F1F1F1"/>
            <w:tcMar>
              <w:top w:w="65" w:type="dxa"/>
              <w:left w:w="65" w:type="dxa"/>
              <w:bottom w:w="65" w:type="dxa"/>
              <w:right w:w="65" w:type="dxa"/>
            </w:tcMar>
          </w:tcPr>
          <w:p>
            <w:pPr>
              <w:pStyle w:val="TableText"/>
              <w:keepNext/>
              <w:widowControl/>
              <w:jc w:val="center"/>
            </w:pPr>
            <w:r>
              <w:rPr>
                <w:b/>
                <w:sz w:val="18"/>
              </w:rPr>
              <w:t>지표</w:t>
            </w:r>
          </w:p>
        </w:tc>
        <w:tc>
          <w:tcPr>
            <w:tcW w:type="dxa" w:w="2494"/>
            <w:vAlign w:val="center"/>
            <w:shd w:fill="F1F1F1"/>
            <w:tcMar>
              <w:top w:w="65" w:type="dxa"/>
              <w:left w:w="65" w:type="dxa"/>
              <w:bottom w:w="65" w:type="dxa"/>
              <w:right w:w="65" w:type="dxa"/>
            </w:tcMar>
          </w:tcPr>
          <w:p>
            <w:pPr>
              <w:pStyle w:val="TableText"/>
              <w:keepNext/>
              <w:widowControl/>
              <w:jc w:val="center"/>
            </w:pPr>
            <w:r>
              <w:rPr>
                <w:b/>
                <w:sz w:val="18"/>
              </w:rPr>
              <w:t>값</w:t>
            </w:r>
          </w:p>
        </w:tc>
        <w:tc>
          <w:tcPr>
            <w:tcW w:type="dxa" w:w="3061"/>
            <w:vAlign w:val="center"/>
            <w:shd w:fill="F1F1F1"/>
            <w:tcMar>
              <w:top w:w="65" w:type="dxa"/>
              <w:left w:w="65" w:type="dxa"/>
              <w:bottom w:w="65" w:type="dxa"/>
              <w:right w:w="65" w:type="dxa"/>
            </w:tcMar>
          </w:tcPr>
          <w:p>
            <w:pPr>
              <w:pStyle w:val="TableText"/>
              <w:keepNext/>
              <w:widowControl/>
              <w:jc w:val="center"/>
            </w:pPr>
            <w:r>
              <w:rPr>
                <w:b/>
                <w:sz w:val="18"/>
              </w:rPr>
              <w:t>해석</w:t>
            </w:r>
          </w:p>
        </w:tc>
      </w:tr>
      <w:tr>
        <w:trPr>
          <w:cantSplit/>
        </w:trPr>
        <w:tc>
          <w:tcPr>
            <w:tcW w:type="dxa" w:w="2381"/>
            <w:vAlign w:val="center"/>
            <w:tcMar>
              <w:top w:w="65" w:type="dxa"/>
              <w:left w:w="65" w:type="dxa"/>
              <w:bottom w:w="65" w:type="dxa"/>
              <w:right w:w="65" w:type="dxa"/>
            </w:tcMar>
          </w:tcPr>
          <w:p>
            <w:pPr>
              <w:pStyle w:val="TableText"/>
              <w:keepNext/>
              <w:widowControl/>
              <w:jc w:val="left"/>
            </w:pPr>
            <w:r>
              <w:rPr>
                <w:b w:val="0"/>
                <w:sz w:val="18"/>
              </w:rPr>
              <w:t>α 절대점수 / A0 대비</w:t>
            </w:r>
          </w:p>
        </w:tc>
        <w:tc>
          <w:tcPr>
            <w:tcW w:type="dxa" w:w="2494"/>
            <w:vAlign w:val="center"/>
            <w:tcMar>
              <w:top w:w="65" w:type="dxa"/>
              <w:left w:w="65" w:type="dxa"/>
              <w:bottom w:w="65" w:type="dxa"/>
              <w:right w:w="65" w:type="dxa"/>
            </w:tcMar>
          </w:tcPr>
          <w:p>
            <w:pPr>
              <w:pStyle w:val="TableText"/>
              <w:keepNext/>
              <w:widowControl/>
              <w:jc w:val="left"/>
            </w:pPr>
            <w:r>
              <w:rPr>
                <w:b w:val="0"/>
                <w:sz w:val="18"/>
              </w:rPr>
              <w:t>55.959960 / +0.923299</w:t>
            </w:r>
          </w:p>
        </w:tc>
        <w:tc>
          <w:tcPr>
            <w:tcW w:type="dxa" w:w="3061"/>
            <w:vAlign w:val="center"/>
            <w:tcMar>
              <w:top w:w="65" w:type="dxa"/>
              <w:left w:w="65" w:type="dxa"/>
              <w:bottom w:w="65" w:type="dxa"/>
              <w:right w:w="65" w:type="dxa"/>
            </w:tcMar>
          </w:tcPr>
          <w:p>
            <w:pPr>
              <w:pStyle w:val="TableText"/>
              <w:keepNext/>
              <w:widowControl/>
              <w:jc w:val="left"/>
            </w:pPr>
            <w:r>
              <w:rPr>
                <w:b w:val="0"/>
                <w:sz w:val="18"/>
              </w:rPr>
              <w:t>같은 575개 기업에서의 평균</w:t>
            </w:r>
          </w:p>
        </w:tc>
      </w:tr>
      <w:tr>
        <w:trPr>
          <w:cantSplit/>
        </w:trPr>
        <w:tc>
          <w:tcPr>
            <w:tcW w:type="dxa" w:w="2381"/>
            <w:vAlign w:val="center"/>
            <w:tcMar>
              <w:top w:w="65" w:type="dxa"/>
              <w:left w:w="65" w:type="dxa"/>
              <w:bottom w:w="65" w:type="dxa"/>
              <w:right w:w="65" w:type="dxa"/>
            </w:tcMar>
          </w:tcPr>
          <w:p>
            <w:pPr>
              <w:pStyle w:val="TableText"/>
              <w:keepNext w:val="0"/>
              <w:widowControl/>
              <w:jc w:val="left"/>
            </w:pPr>
            <w:r>
              <w:rPr>
                <w:b w:val="0"/>
                <w:sz w:val="18"/>
              </w:rPr>
              <w:t>OE / C2 대비 α</w:t>
            </w:r>
          </w:p>
        </w:tc>
        <w:tc>
          <w:tcPr>
            <w:tcW w:type="dxa" w:w="2494"/>
            <w:vAlign w:val="center"/>
            <w:tcMar>
              <w:top w:w="65" w:type="dxa"/>
              <w:left w:w="65" w:type="dxa"/>
              <w:bottom w:w="65" w:type="dxa"/>
              <w:right w:w="65" w:type="dxa"/>
            </w:tcMar>
          </w:tcPr>
          <w:p>
            <w:pPr>
              <w:pStyle w:val="TableText"/>
              <w:keepNext w:val="0"/>
              <w:widowControl/>
              <w:jc w:val="left"/>
            </w:pPr>
            <w:r>
              <w:rPr>
                <w:b w:val="0"/>
                <w:sz w:val="18"/>
              </w:rPr>
              <w:t>+0.157936 / +0.316358</w:t>
            </w:r>
          </w:p>
        </w:tc>
        <w:tc>
          <w:tcPr>
            <w:tcW w:type="dxa" w:w="3061"/>
            <w:vAlign w:val="center"/>
            <w:tcMar>
              <w:top w:w="65" w:type="dxa"/>
              <w:left w:w="65" w:type="dxa"/>
              <w:bottom w:w="65" w:type="dxa"/>
              <w:right w:w="65" w:type="dxa"/>
            </w:tcMar>
          </w:tcPr>
          <w:p>
            <w:pPr>
              <w:pStyle w:val="TableText"/>
              <w:keepNext w:val="0"/>
              <w:widowControl/>
              <w:jc w:val="left"/>
            </w:pPr>
            <w:r>
              <w:rPr>
                <w:b w:val="0"/>
                <w:sz w:val="18"/>
              </w:rPr>
              <w:t>선택된 정책의 개발표면 성과</w:t>
            </w:r>
          </w:p>
        </w:tc>
      </w:tr>
      <w:tr>
        <w:trPr>
          <w:cantSplit/>
        </w:trPr>
        <w:tc>
          <w:tcPr>
            <w:tcW w:type="dxa" w:w="2381"/>
            <w:vAlign w:val="center"/>
            <w:tcMar>
              <w:top w:w="65" w:type="dxa"/>
              <w:left w:w="65" w:type="dxa"/>
              <w:bottom w:w="65" w:type="dxa"/>
              <w:right w:w="65" w:type="dxa"/>
            </w:tcMar>
          </w:tcPr>
          <w:p>
            <w:pPr>
              <w:pStyle w:val="TableText"/>
              <w:keepNext w:val="0"/>
              <w:widowControl/>
              <w:jc w:val="left"/>
            </w:pPr>
            <w:r>
              <w:rPr>
                <w:b w:val="0"/>
                <w:sz w:val="18"/>
              </w:rPr>
              <w:t>H / exp(H)</w:t>
            </w:r>
          </w:p>
        </w:tc>
        <w:tc>
          <w:tcPr>
            <w:tcW w:type="dxa" w:w="2494"/>
            <w:vAlign w:val="center"/>
            <w:tcMar>
              <w:top w:w="65" w:type="dxa"/>
              <w:left w:w="65" w:type="dxa"/>
              <w:bottom w:w="65" w:type="dxa"/>
              <w:right w:w="65" w:type="dxa"/>
            </w:tcMar>
          </w:tcPr>
          <w:p>
            <w:pPr>
              <w:pStyle w:val="TableText"/>
              <w:keepNext w:val="0"/>
              <w:widowControl/>
              <w:jc w:val="left"/>
            </w:pPr>
            <w:r>
              <w:rPr>
                <w:b w:val="0"/>
                <w:sz w:val="18"/>
              </w:rPr>
              <w:t>1.594461 / 4.9257</w:t>
            </w:r>
          </w:p>
        </w:tc>
        <w:tc>
          <w:tcPr>
            <w:tcW w:type="dxa" w:w="3061"/>
            <w:vAlign w:val="center"/>
            <w:tcMar>
              <w:top w:w="65" w:type="dxa"/>
              <w:left w:w="65" w:type="dxa"/>
              <w:bottom w:w="65" w:type="dxa"/>
              <w:right w:w="65" w:type="dxa"/>
            </w:tcMar>
          </w:tcPr>
          <w:p>
            <w:pPr>
              <w:pStyle w:val="TableText"/>
              <w:keepNext w:val="0"/>
              <w:widowControl/>
              <w:jc w:val="left"/>
            </w:pPr>
            <w:r>
              <w:rPr>
                <w:b w:val="0"/>
                <w:sz w:val="18"/>
              </w:rPr>
              <w:t>기업별 결정행동의 다양성</w:t>
            </w:r>
          </w:p>
        </w:tc>
      </w:tr>
      <w:tr>
        <w:trPr>
          <w:cantSplit/>
        </w:trPr>
        <w:tc>
          <w:tcPr>
            <w:tcW w:type="dxa" w:w="2381"/>
            <w:vAlign w:val="center"/>
            <w:tcMar>
              <w:top w:w="65" w:type="dxa"/>
              <w:left w:w="65" w:type="dxa"/>
              <w:bottom w:w="65" w:type="dxa"/>
              <w:right w:w="65" w:type="dxa"/>
            </w:tcMar>
          </w:tcPr>
          <w:p>
            <w:pPr>
              <w:pStyle w:val="TableText"/>
              <w:keepNext w:val="0"/>
              <w:widowControl/>
              <w:jc w:val="left"/>
            </w:pPr>
            <w:r>
              <w:rPr>
                <w:b w:val="0"/>
                <w:sz w:val="18"/>
              </w:rPr>
              <w:t>OE share</w:t>
            </w:r>
          </w:p>
        </w:tc>
        <w:tc>
          <w:tcPr>
            <w:tcW w:type="dxa" w:w="2494"/>
            <w:vAlign w:val="center"/>
            <w:tcMar>
              <w:top w:w="65" w:type="dxa"/>
              <w:left w:w="65" w:type="dxa"/>
              <w:bottom w:w="65" w:type="dxa"/>
              <w:right w:w="65" w:type="dxa"/>
            </w:tcMar>
          </w:tcPr>
          <w:p>
            <w:pPr>
              <w:pStyle w:val="TableText"/>
              <w:keepNext w:val="0"/>
              <w:widowControl/>
              <w:jc w:val="left"/>
            </w:pPr>
            <w:r>
              <w:rPr>
                <w:b w:val="0"/>
                <w:sz w:val="18"/>
              </w:rPr>
              <w:t>40.3478%</w:t>
            </w:r>
          </w:p>
        </w:tc>
        <w:tc>
          <w:tcPr>
            <w:tcW w:type="dxa" w:w="3061"/>
            <w:vAlign w:val="center"/>
            <w:tcMar>
              <w:top w:w="65" w:type="dxa"/>
              <w:left w:w="65" w:type="dxa"/>
              <w:bottom w:w="65" w:type="dxa"/>
              <w:right w:w="65" w:type="dxa"/>
            </w:tcMar>
          </w:tcPr>
          <w:p>
            <w:pPr>
              <w:pStyle w:val="TableText"/>
              <w:keepNext w:val="0"/>
              <w:widowControl/>
              <w:jc w:val="left"/>
            </w:pPr>
            <w:r>
              <w:rPr>
                <w:b w:val="0"/>
                <w:sz w:val="18"/>
              </w:rPr>
              <w:t>전체 기업 중 OE를 선택한 비율</w:t>
            </w:r>
          </w:p>
        </w:tc>
      </w:tr>
      <w:tr>
        <w:trPr>
          <w:cantSplit/>
        </w:trPr>
        <w:tc>
          <w:tcPr>
            <w:tcW w:type="dxa" w:w="2381"/>
            <w:vAlign w:val="center"/>
            <w:tcMar>
              <w:top w:w="65" w:type="dxa"/>
              <w:left w:w="65" w:type="dxa"/>
              <w:bottom w:w="65" w:type="dxa"/>
              <w:right w:w="65" w:type="dxa"/>
            </w:tcMar>
          </w:tcPr>
          <w:p>
            <w:pPr>
              <w:pStyle w:val="TableText"/>
              <w:keepNext w:val="0"/>
              <w:widowControl/>
              <w:jc w:val="left"/>
            </w:pPr>
            <w:r>
              <w:rPr>
                <w:b w:val="0"/>
                <w:sz w:val="18"/>
              </w:rPr>
              <w:t>OE 대비 gain / loss / tie</w:t>
            </w:r>
          </w:p>
        </w:tc>
        <w:tc>
          <w:tcPr>
            <w:tcW w:type="dxa" w:w="2494"/>
            <w:vAlign w:val="center"/>
            <w:tcMar>
              <w:top w:w="65" w:type="dxa"/>
              <w:left w:w="65" w:type="dxa"/>
              <w:bottom w:w="65" w:type="dxa"/>
              <w:right w:w="65" w:type="dxa"/>
            </w:tcMar>
          </w:tcPr>
          <w:p>
            <w:pPr>
              <w:pStyle w:val="TableText"/>
              <w:keepNext w:val="0"/>
              <w:widowControl/>
              <w:jc w:val="left"/>
            </w:pPr>
            <w:r>
              <w:rPr>
                <w:b w:val="0"/>
                <w:sz w:val="18"/>
              </w:rPr>
              <w:t>100 / 102 / 373</w:t>
            </w:r>
          </w:p>
        </w:tc>
        <w:tc>
          <w:tcPr>
            <w:tcW w:type="dxa" w:w="3061"/>
            <w:vAlign w:val="center"/>
            <w:tcMar>
              <w:top w:w="65" w:type="dxa"/>
              <w:left w:w="65" w:type="dxa"/>
              <w:bottom w:w="65" w:type="dxa"/>
              <w:right w:w="65" w:type="dxa"/>
            </w:tcMar>
          </w:tcPr>
          <w:p>
            <w:pPr>
              <w:pStyle w:val="TableText"/>
              <w:keepNext w:val="0"/>
              <w:widowControl/>
              <w:jc w:val="left"/>
            </w:pPr>
            <w:r>
              <w:rPr>
                <w:b w:val="0"/>
                <w:sz w:val="18"/>
              </w:rPr>
              <w:t>tie는 OE를 그대로 선택한 232개도 포함</w:t>
            </w:r>
          </w:p>
        </w:tc>
      </w:tr>
      <w:tr>
        <w:trPr>
          <w:cantSplit/>
        </w:trPr>
        <w:tc>
          <w:tcPr>
            <w:tcW w:type="dxa" w:w="2381"/>
            <w:vAlign w:val="center"/>
            <w:tcMar>
              <w:top w:w="65" w:type="dxa"/>
              <w:left w:w="65" w:type="dxa"/>
              <w:bottom w:w="65" w:type="dxa"/>
              <w:right w:w="65" w:type="dxa"/>
            </w:tcMar>
          </w:tcPr>
          <w:p>
            <w:pPr>
              <w:pStyle w:val="TableText"/>
              <w:keepNext w:val="0"/>
              <w:widowControl/>
              <w:jc w:val="left"/>
            </w:pPr>
            <w:r>
              <w:rPr>
                <w:b w:val="0"/>
                <w:sz w:val="18"/>
              </w:rPr>
              <w:t>MDE75 절대값 / ratio</w:t>
            </w:r>
          </w:p>
        </w:tc>
        <w:tc>
          <w:tcPr>
            <w:tcW w:type="dxa" w:w="2494"/>
            <w:vAlign w:val="center"/>
            <w:tcMar>
              <w:top w:w="65" w:type="dxa"/>
              <w:left w:w="65" w:type="dxa"/>
              <w:bottom w:w="65" w:type="dxa"/>
              <w:right w:w="65" w:type="dxa"/>
            </w:tcMar>
          </w:tcPr>
          <w:p>
            <w:pPr>
              <w:pStyle w:val="TableText"/>
              <w:keepNext w:val="0"/>
              <w:widowControl/>
              <w:jc w:val="left"/>
            </w:pPr>
            <w:r>
              <w:rPr>
                <w:b w:val="0"/>
                <w:sz w:val="18"/>
              </w:rPr>
              <w:t>0.124619 / 1.267354</w:t>
            </w:r>
          </w:p>
        </w:tc>
        <w:tc>
          <w:tcPr>
            <w:tcW w:type="dxa" w:w="3061"/>
            <w:vAlign w:val="center"/>
            <w:tcMar>
              <w:top w:w="65" w:type="dxa"/>
              <w:left w:w="65" w:type="dxa"/>
              <w:bottom w:w="65" w:type="dxa"/>
              <w:right w:w="65" w:type="dxa"/>
            </w:tcMar>
          </w:tcPr>
          <w:p>
            <w:pPr>
              <w:pStyle w:val="TableText"/>
              <w:keepNext w:val="0"/>
              <w:widowControl/>
              <w:jc w:val="left"/>
            </w:pPr>
            <w:r>
              <w:rPr>
                <w:b w:val="0"/>
                <w:sz w:val="18"/>
              </w:rPr>
              <w:t>ratio는 관측효과÷해당 MDE</w:t>
            </w:r>
          </w:p>
        </w:tc>
      </w:tr>
      <w:tr>
        <w:trPr>
          <w:cantSplit/>
        </w:trPr>
        <w:tc>
          <w:tcPr>
            <w:tcW w:type="dxa" w:w="2381"/>
            <w:vAlign w:val="center"/>
            <w:tcMar>
              <w:top w:w="65" w:type="dxa"/>
              <w:left w:w="65" w:type="dxa"/>
              <w:bottom w:w="65" w:type="dxa"/>
              <w:right w:w="65" w:type="dxa"/>
            </w:tcMar>
          </w:tcPr>
          <w:p>
            <w:pPr>
              <w:pStyle w:val="TableText"/>
              <w:keepNext w:val="0"/>
              <w:widowControl/>
              <w:jc w:val="left"/>
            </w:pPr>
            <w:r>
              <w:rPr>
                <w:b w:val="0"/>
                <w:sz w:val="18"/>
              </w:rPr>
              <w:t>MDE80 절대값 / ratio</w:t>
            </w:r>
          </w:p>
        </w:tc>
        <w:tc>
          <w:tcPr>
            <w:tcW w:type="dxa" w:w="2494"/>
            <w:vAlign w:val="center"/>
            <w:tcMar>
              <w:top w:w="65" w:type="dxa"/>
              <w:left w:w="65" w:type="dxa"/>
              <w:bottom w:w="65" w:type="dxa"/>
              <w:right w:w="65" w:type="dxa"/>
            </w:tcMar>
          </w:tcPr>
          <w:p>
            <w:pPr>
              <w:pStyle w:val="TableText"/>
              <w:keepNext w:val="0"/>
              <w:widowControl/>
              <w:jc w:val="left"/>
            </w:pPr>
            <w:r>
              <w:rPr>
                <w:b w:val="0"/>
                <w:sz w:val="18"/>
              </w:rPr>
              <w:t>0.132525 / 1.191747</w:t>
            </w:r>
          </w:p>
        </w:tc>
        <w:tc>
          <w:tcPr>
            <w:tcW w:type="dxa" w:w="3061"/>
            <w:vAlign w:val="center"/>
            <w:tcMar>
              <w:top w:w="65" w:type="dxa"/>
              <w:left w:w="65" w:type="dxa"/>
              <w:bottom w:w="65" w:type="dxa"/>
              <w:right w:w="65" w:type="dxa"/>
            </w:tcMar>
          </w:tcPr>
          <w:p>
            <w:pPr>
              <w:pStyle w:val="TableText"/>
              <w:keepNext w:val="0"/>
              <w:widowControl/>
              <w:jc w:val="left"/>
            </w:pPr>
            <w:r>
              <w:rPr>
                <w:b w:val="0"/>
                <w:sz w:val="18"/>
              </w:rPr>
              <w:t>표본·비교 정의에 조건부인 검출력 지표</w:t>
            </w:r>
          </w:p>
        </w:tc>
      </w:tr>
    </w:tbl>
    <w:p>
      <w:pPr>
        <w:pStyle w:val="SourceNote"/>
        <w:widowControl/>
      </w:pPr>
      <w:r>
        <w:t>자료: 동결 C3E_metrics.json. MDE ratio를 MDE 자체로 부르지 않으며, 이 값이 선택편향 또는 외적 타당성 문제를 보정하지 않는다.</w:t>
      </w:r>
    </w:p>
    <w:p>
      <w:bookmarkStart w:id="97" w:name="head_77"/>
      <w:pPr>
        <w:pStyle w:val="3"/>
        <w:widowControl/>
      </w:pPr>
      <w:r>
        <w:t>4.5.2 matched seed 확장과 민감도</w:t>
      </w:r>
      <w:bookmarkEnd w:id="97"/>
    </w:p>
    <w:p>
      <w:pPr>
        <w:widowControl/>
      </w:pPr>
      <w:r>
        <w:t>T15의 부족한 seed를 추가한 목적은 configuration마다 같은 일곱 seed를 갖는 비교 가능한 cohort를 완성하는 것이었다. 추가 실행으로 seed 2, 11, 12, 13, 16을 보충하고 기존 14·15와 함께 구성하였다. 그렇다고 최종 정책의 모든 성과가 개선되었다고 볼 수는 없다.</w:t>
      </w:r>
    </w:p>
    <w:p>
      <w:pPr>
        <w:widowControl/>
      </w:pPr>
      <w:r>
        <w:t>cohort 완료 보고서에서는 기존 비교 앙상블의 α 55.968495, H 1.667468에 비해 새 matched-cohort의 α 55.959960, H 1.594461이 소폭 낮아졌다. ΔOE≥0.20과 H≥1.60이라는 동시 탐색목표도 충족하지 못했다. 보고서의 목표기준 판정과 이후 배포본 동결 결정을 구분하여, 단지 release 이름에 BALANCED가 있다는 이유로 목표를 달성했다고 쓰지 않는다.</w:t>
      </w:r>
    </w:p>
    <w:p>
      <w:pPr>
        <w:widowControl/>
      </w:pPr>
      <w:r>
        <w:t>seed 하나를 제거하는 진단에서는 ΔOE가 대략 +0.1462~+0.1686 범위였고 H는 1.5713~1.6270이었다. 이는 같은 표면에서 특정 seed 하나에 의해 OE 대비 양의 평균차이가 전부 만들어지지는 않았다는 제한적인 증거이다. 그러나 새로운 기업·시점에서의 성과를 검증한 것은 아니며, 삭제한 seed를 보고 더 좋은 조합으로 최종 정책을 다시 선택하지 않았다.</w:t>
      </w:r>
    </w:p>
    <w:p>
      <w:pPr>
        <w:widowControl/>
      </w:pPr>
      <w:r>
        <w:t>configuration을 하나 제거하는 진단에서도 구성의 역할이 다르다. T15를 제거하면 OE 비중이 약 49.2%로 높아지고 H가 약 1.4542로 낮아진다. 따라서 T15는 다른 구성과 결합될 때 행동분포에 영향을 주지만, T15 자체의 점수가 가장 높다는 뜻은 아니다. 앙상블의 역할은 개별 구성의 평균점수만으로 판단할 수 없고 기업별 확률과 argmax 경계의 변화에 의존한다.</w:t>
      </w:r>
    </w:p>
    <w:p>
      <w:bookmarkStart w:id="98" w:name="head_78"/>
      <w:pPr>
        <w:pStyle w:val="2"/>
        <w:widowControl/>
      </w:pPr>
      <w:r>
        <w:t>4.6 학습 참조정책의 사용범위</w:t>
      </w:r>
      <w:bookmarkEnd w:id="98"/>
    </w:p>
    <w:p>
      <w:pPr>
        <w:widowControl/>
      </w:pPr>
      <w:r>
        <w:t>C3-E의 역할은 최고 성능의 강화학습 알고리즘을 입증하는 것이 아니라, 재무자료에서 학습하고 재현 가능한 절차로 고정한 외부 행동참조를 제공하는 것이다. LLM이 이 참조를 보았을 때 무엇을 바꾸는지, 단순 자기 재검토와 어떻게 다른지, 기업–참조 연결을 바꾸면 효과가 달라지는지를 분석하는 실험장치이다.</w:t>
      </w:r>
    </w:p>
    <w:p>
      <w:pPr>
        <w:widowControl/>
      </w:pPr>
      <w:r>
        <w:t>배포시에는 사후 Oracle 점수로 후보를 다시 정렬하지 않으므로 LLM에 제공된 참조와 본문에서 평가한 참조가 같은 정책에 연결된다. 다만 encoder와 configuration 및 배포정책의 선택 과정은 2024년 평가와 완전히 분리되어 있지 않다. 따라서 C3-E와 LLM의 차이를 계산한 bootstrap 구간이 학습 참조 선택의 모든 불확실성을 반영한다고 주장하지 않는다.</w:t>
      </w:r>
    </w:p>
    <w:p>
      <w:pPr>
        <w:widowControl/>
      </w:pPr>
      <w:r>
        <w:t>학습 참조의 평균품질과 참조를 보여준 뒤 LLM이 얻는 증분가치는 다른 양이다. 참조가 평균적으로 좋은 행동을 고르더라도 이미 좋은 초안을 가진 기업에서는 도움이 작거나 일부 행동을 대체해 손해가 날 수 있다. 다음 장의 비교는 참조 자체의 순위가 아니라 참조를 포함한 생성·수정 조건의 결과를 평가한다.</w:t>
      </w:r>
    </w:p>
    <w:p>
      <w:bookmarkStart w:id="99" w:name="head_79"/>
      <w:pPr>
        <w:pStyle w:val="2"/>
        <w:widowControl/>
      </w:pPr>
      <w:r>
        <w:t>4.7 소결</w:t>
      </w:r>
      <w:bookmarkEnd w:id="99"/>
    </w:p>
    <w:p>
      <w:pPr>
        <w:widowControl/>
      </w:pPr>
      <w:r>
        <w:t>본 장은 평가기반의 검증을 서로 다른 층으로 구분하였다. 개발 단계의 Oracle 정렬성과 Simulator 재현기록은 의미 있는 출발점이지만 최신 계약의 모든 변경을 자동으로 검증하지 않는다. 제한 사례의 semantic fixture는 실행 의미론을 확인하고, 동결된 575×9 payoff는 현재 후보집합의 점수 구별력과 비교정책의 위치를 보여준다.</w:t>
      </w:r>
    </w:p>
    <w:p>
      <w:pPr>
        <w:widowControl/>
      </w:pPr>
      <w:r>
        <w:t>최종 C3-E는 α에서 OE와 C2보다 높은 평균가치를 보이지만 Oracle에 따라 상대 순위가 달라지고 개별 손실 사례도 존재한다. matched seed 앙상블은 확률평균에 의해 재현 가능한 참조를 제공하지만 2024년의 반복 선택이라는 한계가 있다. 이 범위를 전제로 제5장에서는 Baseline LLM 정책의 출력 유효성과 운영정책가치를 함께 비교한다.</w:t>
      </w:r>
    </w:p>
    <w:p>
      <w:bookmarkStart w:id="100" w:name="head_80"/>
      <w:pPr>
        <w:pStyle w:val="1"/>
        <w:widowControl/>
      </w:pPr>
      <w:r>
        <w:t>제5장 Baseline 본실험 결과</w:t>
      </w:r>
      <w:bookmarkEnd w:id="100"/>
    </w:p>
    <w:p>
      <w:pPr>
        <w:widowControl/>
      </w:pPr>
      <w:r>
        <w:t>본 장은 실행 전 동결된 Baseline의 Main Run1을 중심으로 정책 하네스의 성과를 제시한다. 먼저 응답이 도착했는지와 행동으로 사용할 수 있는지를 나누어 확인하고, 전체 575개 기업에 Strict ITT를 적용한 평균 정책가치를 비교한다. 이어 네 가지 중심 대비, 행동예산, 후보선택과 자유작성, 정보조건 및 반복성의 범위를 살펴본다.</w:t>
      </w:r>
    </w:p>
    <w:p>
      <w:pPr>
        <w:widowControl/>
      </w:pPr>
      <w:r>
        <w:t>Baseline에서 오류가 많다는 이유로 해당 조건을 제거하거나 High 또는 Repaired로 대체하지 않는다. 형식과 행동제약을 지키지 못해 A0로 처리되는 비율도 운영정책의 관측 결과이다. 다만 실제 실행은 비어 있지 않은 C4 원문을 후속 초안으로 전달한 raw-draft 분기규칙에 따라 이루어졌으므로, 본 장의 주 집계는 이 실행을 반영한다. 계획서의 usable-parent 게이트를 적용한 민감도는 제6장에서 따로 제시한다.</w:t>
      </w:r>
    </w:p>
    <w:p>
      <w:bookmarkStart w:id="101" w:name="head_81"/>
      <w:pPr>
        <w:pStyle w:val="2"/>
        <w:widowControl/>
      </w:pPr>
      <w:r>
        <w:t>5.1 응답 완결성과 사용 가능성</w:t>
      </w:r>
      <w:bookmarkEnd w:id="101"/>
    </w:p>
    <w:p>
      <w:bookmarkStart w:id="102" w:name="head_82"/>
      <w:pPr>
        <w:pStyle w:val="3"/>
        <w:widowControl/>
      </w:pPr>
      <w:r>
        <w:t>5.1.1 요청 단위와 평가 단위의 구분</w:t>
      </w:r>
      <w:bookmarkEnd w:id="102"/>
    </w:p>
    <w:p>
      <w:pPr>
        <w:widowControl/>
      </w:pPr>
      <w:r>
        <w:t>최종 실행 패키지의 Baseline에는 두 공급자 합계 24,150개의 논리 요청이 존재한다. 이 수는 Main Run1의 17,250건과 Stability Run2의 6,900건으로 구성된다. 완료·수집된 요청의 식별자와 조건 및 기업키를 연결한 뒤, 본 장의 표에서는 Run1만 사용하였다. 한 기업의 여러 조건을 독립 기업처럼 더하지 않았고 PP와 Repaired 분석행을 추가 생성요청으로 세지 않았다.</w:t>
      </w:r>
    </w:p>
    <w:p>
      <w:pPr>
        <w:widowControl/>
      </w:pPr>
      <w:r>
        <w:t>완료 상태는 공급자가 답을 반환하고 원문이 보존되었음을 의미한다. 그 응답이 정상적인 재무권고라는 뜻은 아니다. JSON 해석, 행동차원, 축별 범위, B1 예산 및 상호배타 조건을 별도로 검사한다. 다음 표의 usable은 정책평가를 위한 canonical strict action-usability이며, 진단과 근거 및 설명까지 포함한 전체 schema 검사와 구분된다.</w:t>
      </w:r>
    </w:p>
    <w:p>
      <w:bookmarkStart w:id="103" w:name="head_83"/>
      <w:pPr>
        <w:pStyle w:val="3"/>
        <w:widowControl/>
      </w:pPr>
      <w:r>
        <w:t>5.1.2 행동 수용률과 전체 응답 형식</w:t>
      </w:r>
      <w:bookmarkEnd w:id="103"/>
    </w:p>
    <w:p>
      <w:bookmarkStart w:id="104" w:name="cap_21"/>
      <w:pPr>
        <w:pStyle w:val="af"/>
        <w:widowControl/>
      </w:pPr>
      <w:r>
        <w:t>표 5-1. Gemini 3.1 Flash-Lite Baseline 자유작성의 수용률</w:t>
      </w:r>
      <w:bookmarkEnd w:id="104"/>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794"/>
        <w:gridCol w:w="1247"/>
        <w:gridCol w:w="1984"/>
        <w:gridCol w:w="1757"/>
        <w:gridCol w:w="2154"/>
      </w:tblGrid>
      <w:tr>
        <w:trPr>
          <w:cantSplit/>
          <w:tblHeader/>
        </w:trPr>
        <w:tc>
          <w:tcPr>
            <w:tcW w:type="dxa" w:w="794"/>
            <w:vAlign w:val="center"/>
            <w:shd w:fill="F1F1F1"/>
            <w:tcMar>
              <w:top w:w="65" w:type="dxa"/>
              <w:left w:w="65" w:type="dxa"/>
              <w:bottom w:w="65" w:type="dxa"/>
              <w:right w:w="65" w:type="dxa"/>
            </w:tcMar>
          </w:tcPr>
          <w:p>
            <w:pPr>
              <w:pStyle w:val="TableText"/>
              <w:keepNext/>
              <w:widowControl/>
              <w:jc w:val="center"/>
            </w:pPr>
            <w:r>
              <w:rPr>
                <w:b/>
                <w:sz w:val="18"/>
              </w:rPr>
              <w:t>예산</w:t>
            </w:r>
          </w:p>
        </w:tc>
        <w:tc>
          <w:tcPr>
            <w:tcW w:type="dxa" w:w="1247"/>
            <w:vAlign w:val="center"/>
            <w:shd w:fill="F1F1F1"/>
            <w:tcMar>
              <w:top w:w="65" w:type="dxa"/>
              <w:left w:w="65" w:type="dxa"/>
              <w:bottom w:w="65" w:type="dxa"/>
              <w:right w:w="65" w:type="dxa"/>
            </w:tcMar>
          </w:tcPr>
          <w:p>
            <w:pPr>
              <w:pStyle w:val="TableText"/>
              <w:keepNext/>
              <w:widowControl/>
              <w:jc w:val="center"/>
            </w:pPr>
            <w:r>
              <w:rPr>
                <w:b/>
                <w:sz w:val="18"/>
              </w:rPr>
              <w:t>정책</w:t>
            </w:r>
          </w:p>
        </w:tc>
        <w:tc>
          <w:tcPr>
            <w:tcW w:type="dxa" w:w="1984"/>
            <w:vAlign w:val="center"/>
            <w:shd w:fill="F1F1F1"/>
            <w:tcMar>
              <w:top w:w="65" w:type="dxa"/>
              <w:left w:w="65" w:type="dxa"/>
              <w:bottom w:w="65" w:type="dxa"/>
              <w:right w:w="65" w:type="dxa"/>
            </w:tcMar>
          </w:tcPr>
          <w:p>
            <w:pPr>
              <w:pStyle w:val="TableText"/>
              <w:keepNext/>
              <w:widowControl/>
              <w:jc w:val="center"/>
            </w:pPr>
            <w:r>
              <w:rPr>
                <w:b/>
                <w:sz w:val="18"/>
              </w:rPr>
              <w:t>행동 수용 N</w:t>
            </w:r>
          </w:p>
        </w:tc>
        <w:tc>
          <w:tcPr>
            <w:tcW w:type="dxa" w:w="1757"/>
            <w:vAlign w:val="center"/>
            <w:shd w:fill="F1F1F1"/>
            <w:tcMar>
              <w:top w:w="65" w:type="dxa"/>
              <w:left w:w="65" w:type="dxa"/>
              <w:bottom w:w="65" w:type="dxa"/>
              <w:right w:w="65" w:type="dxa"/>
            </w:tcMar>
          </w:tcPr>
          <w:p>
            <w:pPr>
              <w:pStyle w:val="TableText"/>
              <w:keepNext/>
              <w:widowControl/>
              <w:jc w:val="center"/>
            </w:pPr>
            <w:r>
              <w:rPr>
                <w:b/>
                <w:sz w:val="18"/>
              </w:rPr>
              <w:t>행동 수용률</w:t>
            </w:r>
          </w:p>
        </w:tc>
        <w:tc>
          <w:tcPr>
            <w:tcW w:type="dxa" w:w="2154"/>
            <w:vAlign w:val="center"/>
            <w:shd w:fill="F1F1F1"/>
            <w:tcMar>
              <w:top w:w="65" w:type="dxa"/>
              <w:left w:w="65" w:type="dxa"/>
              <w:bottom w:w="65" w:type="dxa"/>
              <w:right w:w="65" w:type="dxa"/>
            </w:tcMar>
          </w:tcPr>
          <w:p>
            <w:pPr>
              <w:pStyle w:val="TableText"/>
              <w:keepNext/>
              <w:widowControl/>
              <w:jc w:val="center"/>
            </w:pPr>
            <w:r>
              <w:rPr>
                <w:b/>
                <w:sz w:val="18"/>
              </w:rPr>
              <w:t>전체 schema 적합 N</w:t>
            </w:r>
          </w:p>
        </w:tc>
      </w:tr>
      <w:tr>
        <w:trPr>
          <w:cantSplit/>
        </w:trPr>
        <w:tc>
          <w:tcPr>
            <w:tcW w:type="dxa" w:w="794"/>
            <w:vAlign w:val="center"/>
            <w:tcMar>
              <w:top w:w="65" w:type="dxa"/>
              <w:left w:w="65" w:type="dxa"/>
              <w:bottom w:w="65" w:type="dxa"/>
              <w:right w:w="65" w:type="dxa"/>
            </w:tcMar>
          </w:tcPr>
          <w:p>
            <w:pPr>
              <w:pStyle w:val="TableText"/>
              <w:keepNext/>
              <w:widowControl/>
              <w:jc w:val="left"/>
            </w:pPr>
            <w:r>
              <w:rPr>
                <w:b w:val="0"/>
                <w:sz w:val="18"/>
              </w:rPr>
              <w:t>B1</w:t>
            </w:r>
          </w:p>
        </w:tc>
        <w:tc>
          <w:tcPr>
            <w:tcW w:type="dxa" w:w="1247"/>
            <w:vAlign w:val="center"/>
            <w:tcMar>
              <w:top w:w="65" w:type="dxa"/>
              <w:left w:w="65" w:type="dxa"/>
              <w:bottom w:w="65" w:type="dxa"/>
              <w:right w:w="65" w:type="dxa"/>
            </w:tcMar>
          </w:tcPr>
          <w:p>
            <w:pPr>
              <w:pStyle w:val="TableText"/>
              <w:keepNext/>
              <w:widowControl/>
              <w:jc w:val="left"/>
            </w:pPr>
            <w:r>
              <w:rPr>
                <w:b w:val="0"/>
                <w:sz w:val="18"/>
              </w:rPr>
              <w:t>C4</w:t>
            </w:r>
          </w:p>
        </w:tc>
        <w:tc>
          <w:tcPr>
            <w:tcW w:type="dxa" w:w="1984"/>
            <w:vAlign w:val="center"/>
            <w:tcMar>
              <w:top w:w="65" w:type="dxa"/>
              <w:left w:w="65" w:type="dxa"/>
              <w:bottom w:w="65" w:type="dxa"/>
              <w:right w:w="65" w:type="dxa"/>
            </w:tcMar>
          </w:tcPr>
          <w:p>
            <w:pPr>
              <w:pStyle w:val="TableText"/>
              <w:keepNext/>
              <w:widowControl/>
              <w:jc w:val="left"/>
            </w:pPr>
            <w:r>
              <w:rPr>
                <w:b w:val="0"/>
                <w:sz w:val="18"/>
              </w:rPr>
              <w:t>88/575</w:t>
            </w:r>
          </w:p>
        </w:tc>
        <w:tc>
          <w:tcPr>
            <w:tcW w:type="dxa" w:w="1757"/>
            <w:vAlign w:val="center"/>
            <w:tcMar>
              <w:top w:w="65" w:type="dxa"/>
              <w:left w:w="65" w:type="dxa"/>
              <w:bottom w:w="65" w:type="dxa"/>
              <w:right w:w="65" w:type="dxa"/>
            </w:tcMar>
          </w:tcPr>
          <w:p>
            <w:pPr>
              <w:pStyle w:val="TableText"/>
              <w:keepNext/>
              <w:widowControl/>
              <w:jc w:val="left"/>
            </w:pPr>
            <w:r>
              <w:rPr>
                <w:b w:val="0"/>
                <w:sz w:val="18"/>
              </w:rPr>
              <w:t>15.3%</w:t>
            </w:r>
          </w:p>
        </w:tc>
        <w:tc>
          <w:tcPr>
            <w:tcW w:type="dxa" w:w="2154"/>
            <w:vAlign w:val="center"/>
            <w:tcMar>
              <w:top w:w="65" w:type="dxa"/>
              <w:left w:w="65" w:type="dxa"/>
              <w:bottom w:w="65" w:type="dxa"/>
              <w:right w:w="65" w:type="dxa"/>
            </w:tcMar>
          </w:tcPr>
          <w:p>
            <w:pPr>
              <w:pStyle w:val="TableText"/>
              <w:keepNext/>
              <w:widowControl/>
              <w:jc w:val="left"/>
            </w:pPr>
            <w:r>
              <w:rPr>
                <w:b w:val="0"/>
                <w:sz w:val="18"/>
              </w:rPr>
              <w:t>88/575</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8"/>
              </w:rPr>
              <w:t>B1</w:t>
            </w:r>
          </w:p>
        </w:tc>
        <w:tc>
          <w:tcPr>
            <w:tcW w:type="dxa" w:w="1247"/>
            <w:vAlign w:val="center"/>
            <w:tcMar>
              <w:top w:w="65" w:type="dxa"/>
              <w:left w:w="65" w:type="dxa"/>
              <w:bottom w:w="65" w:type="dxa"/>
              <w:right w:w="65" w:type="dxa"/>
            </w:tcMar>
          </w:tcPr>
          <w:p>
            <w:pPr>
              <w:pStyle w:val="TableText"/>
              <w:keepNext w:val="0"/>
              <w:widowControl/>
              <w:jc w:val="left"/>
            </w:pPr>
            <w:r>
              <w:rPr>
                <w:b w:val="0"/>
                <w:sz w:val="18"/>
              </w:rPr>
              <w:t>C4R</w:t>
            </w:r>
          </w:p>
        </w:tc>
        <w:tc>
          <w:tcPr>
            <w:tcW w:type="dxa" w:w="1984"/>
            <w:vAlign w:val="center"/>
            <w:tcMar>
              <w:top w:w="65" w:type="dxa"/>
              <w:left w:w="65" w:type="dxa"/>
              <w:bottom w:w="65" w:type="dxa"/>
              <w:right w:w="65" w:type="dxa"/>
            </w:tcMar>
          </w:tcPr>
          <w:p>
            <w:pPr>
              <w:pStyle w:val="TableText"/>
              <w:keepNext w:val="0"/>
              <w:widowControl/>
              <w:jc w:val="left"/>
            </w:pPr>
            <w:r>
              <w:rPr>
                <w:b w:val="0"/>
                <w:sz w:val="18"/>
              </w:rPr>
              <w:t>76/575</w:t>
            </w:r>
          </w:p>
        </w:tc>
        <w:tc>
          <w:tcPr>
            <w:tcW w:type="dxa" w:w="1757"/>
            <w:vAlign w:val="center"/>
            <w:tcMar>
              <w:top w:w="65" w:type="dxa"/>
              <w:left w:w="65" w:type="dxa"/>
              <w:bottom w:w="65" w:type="dxa"/>
              <w:right w:w="65" w:type="dxa"/>
            </w:tcMar>
          </w:tcPr>
          <w:p>
            <w:pPr>
              <w:pStyle w:val="TableText"/>
              <w:keepNext w:val="0"/>
              <w:widowControl/>
              <w:jc w:val="left"/>
            </w:pPr>
            <w:r>
              <w:rPr>
                <w:b w:val="0"/>
                <w:sz w:val="18"/>
              </w:rPr>
              <w:t>13.2%</w:t>
            </w:r>
          </w:p>
        </w:tc>
        <w:tc>
          <w:tcPr>
            <w:tcW w:type="dxa" w:w="2154"/>
            <w:vAlign w:val="center"/>
            <w:tcMar>
              <w:top w:w="65" w:type="dxa"/>
              <w:left w:w="65" w:type="dxa"/>
              <w:bottom w:w="65" w:type="dxa"/>
              <w:right w:w="65" w:type="dxa"/>
            </w:tcMar>
          </w:tcPr>
          <w:p>
            <w:pPr>
              <w:pStyle w:val="TableText"/>
              <w:keepNext w:val="0"/>
              <w:widowControl/>
              <w:jc w:val="left"/>
            </w:pPr>
            <w:r>
              <w:rPr>
                <w:b w:val="0"/>
                <w:sz w:val="18"/>
              </w:rPr>
              <w:t>76/575</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8"/>
              </w:rPr>
              <w:t>B1</w:t>
            </w:r>
          </w:p>
        </w:tc>
        <w:tc>
          <w:tcPr>
            <w:tcW w:type="dxa" w:w="1247"/>
            <w:vAlign w:val="center"/>
            <w:tcMar>
              <w:top w:w="65" w:type="dxa"/>
              <w:left w:w="65" w:type="dxa"/>
              <w:bottom w:w="65" w:type="dxa"/>
              <w:right w:w="65" w:type="dxa"/>
            </w:tcMar>
          </w:tcPr>
          <w:p>
            <w:pPr>
              <w:pStyle w:val="TableText"/>
              <w:keepNext w:val="0"/>
              <w:widowControl/>
              <w:jc w:val="left"/>
            </w:pPr>
            <w:r>
              <w:rPr>
                <w:b w:val="0"/>
                <w:sz w:val="18"/>
              </w:rPr>
              <w:t>C5</w:t>
            </w:r>
          </w:p>
        </w:tc>
        <w:tc>
          <w:tcPr>
            <w:tcW w:type="dxa" w:w="1984"/>
            <w:vAlign w:val="center"/>
            <w:tcMar>
              <w:top w:w="65" w:type="dxa"/>
              <w:left w:w="65" w:type="dxa"/>
              <w:bottom w:w="65" w:type="dxa"/>
              <w:right w:w="65" w:type="dxa"/>
            </w:tcMar>
          </w:tcPr>
          <w:p>
            <w:pPr>
              <w:pStyle w:val="TableText"/>
              <w:keepNext w:val="0"/>
              <w:widowControl/>
              <w:jc w:val="left"/>
            </w:pPr>
            <w:r>
              <w:rPr>
                <w:b w:val="0"/>
                <w:sz w:val="18"/>
              </w:rPr>
              <w:t>151/575</w:t>
            </w:r>
          </w:p>
        </w:tc>
        <w:tc>
          <w:tcPr>
            <w:tcW w:type="dxa" w:w="1757"/>
            <w:vAlign w:val="center"/>
            <w:tcMar>
              <w:top w:w="65" w:type="dxa"/>
              <w:left w:w="65" w:type="dxa"/>
              <w:bottom w:w="65" w:type="dxa"/>
              <w:right w:w="65" w:type="dxa"/>
            </w:tcMar>
          </w:tcPr>
          <w:p>
            <w:pPr>
              <w:pStyle w:val="TableText"/>
              <w:keepNext w:val="0"/>
              <w:widowControl/>
              <w:jc w:val="left"/>
            </w:pPr>
            <w:r>
              <w:rPr>
                <w:b w:val="0"/>
                <w:sz w:val="18"/>
              </w:rPr>
              <w:t>26.3%</w:t>
            </w:r>
          </w:p>
        </w:tc>
        <w:tc>
          <w:tcPr>
            <w:tcW w:type="dxa" w:w="2154"/>
            <w:vAlign w:val="center"/>
            <w:tcMar>
              <w:top w:w="65" w:type="dxa"/>
              <w:left w:w="65" w:type="dxa"/>
              <w:bottom w:w="65" w:type="dxa"/>
              <w:right w:w="65" w:type="dxa"/>
            </w:tcMar>
          </w:tcPr>
          <w:p>
            <w:pPr>
              <w:pStyle w:val="TableText"/>
              <w:keepNext w:val="0"/>
              <w:widowControl/>
              <w:jc w:val="left"/>
            </w:pPr>
            <w:r>
              <w:rPr>
                <w:b w:val="0"/>
                <w:sz w:val="18"/>
              </w:rPr>
              <w:t>150/575</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8"/>
              </w:rPr>
              <w:t>B1</w:t>
            </w:r>
          </w:p>
        </w:tc>
        <w:tc>
          <w:tcPr>
            <w:tcW w:type="dxa" w:w="1247"/>
            <w:vAlign w:val="center"/>
            <w:tcMar>
              <w:top w:w="65" w:type="dxa"/>
              <w:left w:w="65" w:type="dxa"/>
              <w:bottom w:w="65" w:type="dxa"/>
              <w:right w:w="65" w:type="dxa"/>
            </w:tcMar>
          </w:tcPr>
          <w:p>
            <w:pPr>
              <w:pStyle w:val="TableText"/>
              <w:keepNext w:val="0"/>
              <w:widowControl/>
              <w:jc w:val="left"/>
            </w:pPr>
            <w:r>
              <w:rPr>
                <w:b w:val="0"/>
                <w:sz w:val="18"/>
              </w:rPr>
              <w:t>C6-E</w:t>
            </w:r>
          </w:p>
        </w:tc>
        <w:tc>
          <w:tcPr>
            <w:tcW w:type="dxa" w:w="1984"/>
            <w:vAlign w:val="center"/>
            <w:tcMar>
              <w:top w:w="65" w:type="dxa"/>
              <w:left w:w="65" w:type="dxa"/>
              <w:bottom w:w="65" w:type="dxa"/>
              <w:right w:w="65" w:type="dxa"/>
            </w:tcMar>
          </w:tcPr>
          <w:p>
            <w:pPr>
              <w:pStyle w:val="TableText"/>
              <w:keepNext w:val="0"/>
              <w:widowControl/>
              <w:jc w:val="left"/>
            </w:pPr>
            <w:r>
              <w:rPr>
                <w:b w:val="0"/>
                <w:sz w:val="18"/>
              </w:rPr>
              <w:t>83/575</w:t>
            </w:r>
          </w:p>
        </w:tc>
        <w:tc>
          <w:tcPr>
            <w:tcW w:type="dxa" w:w="1757"/>
            <w:vAlign w:val="center"/>
            <w:tcMar>
              <w:top w:w="65" w:type="dxa"/>
              <w:left w:w="65" w:type="dxa"/>
              <w:bottom w:w="65" w:type="dxa"/>
              <w:right w:w="65" w:type="dxa"/>
            </w:tcMar>
          </w:tcPr>
          <w:p>
            <w:pPr>
              <w:pStyle w:val="TableText"/>
              <w:keepNext w:val="0"/>
              <w:widowControl/>
              <w:jc w:val="left"/>
            </w:pPr>
            <w:r>
              <w:rPr>
                <w:b w:val="0"/>
                <w:sz w:val="18"/>
              </w:rPr>
              <w:t>14.4%</w:t>
            </w:r>
          </w:p>
        </w:tc>
        <w:tc>
          <w:tcPr>
            <w:tcW w:type="dxa" w:w="2154"/>
            <w:vAlign w:val="center"/>
            <w:tcMar>
              <w:top w:w="65" w:type="dxa"/>
              <w:left w:w="65" w:type="dxa"/>
              <w:bottom w:w="65" w:type="dxa"/>
              <w:right w:w="65" w:type="dxa"/>
            </w:tcMar>
          </w:tcPr>
          <w:p>
            <w:pPr>
              <w:pStyle w:val="TableText"/>
              <w:keepNext w:val="0"/>
              <w:widowControl/>
              <w:jc w:val="left"/>
            </w:pPr>
            <w:r>
              <w:rPr>
                <w:b w:val="0"/>
                <w:sz w:val="18"/>
              </w:rPr>
              <w:t>83/575</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8"/>
              </w:rPr>
              <w:t>B1</w:t>
            </w:r>
          </w:p>
        </w:tc>
        <w:tc>
          <w:tcPr>
            <w:tcW w:type="dxa" w:w="1247"/>
            <w:vAlign w:val="center"/>
            <w:tcMar>
              <w:top w:w="65" w:type="dxa"/>
              <w:left w:w="65" w:type="dxa"/>
              <w:bottom w:w="65" w:type="dxa"/>
              <w:right w:w="65" w:type="dxa"/>
            </w:tcMar>
          </w:tcPr>
          <w:p>
            <w:pPr>
              <w:pStyle w:val="TableText"/>
              <w:keepNext w:val="0"/>
              <w:widowControl/>
              <w:jc w:val="left"/>
            </w:pPr>
            <w:r>
              <w:rPr>
                <w:b w:val="0"/>
                <w:sz w:val="18"/>
              </w:rPr>
              <w:t>C6-EX</w:t>
            </w:r>
          </w:p>
        </w:tc>
        <w:tc>
          <w:tcPr>
            <w:tcW w:type="dxa" w:w="1984"/>
            <w:vAlign w:val="center"/>
            <w:tcMar>
              <w:top w:w="65" w:type="dxa"/>
              <w:left w:w="65" w:type="dxa"/>
              <w:bottom w:w="65" w:type="dxa"/>
              <w:right w:w="65" w:type="dxa"/>
            </w:tcMar>
          </w:tcPr>
          <w:p>
            <w:pPr>
              <w:pStyle w:val="TableText"/>
              <w:keepNext w:val="0"/>
              <w:widowControl/>
              <w:jc w:val="left"/>
            </w:pPr>
            <w:r>
              <w:rPr>
                <w:b w:val="0"/>
                <w:sz w:val="18"/>
              </w:rPr>
              <w:t>72/575</w:t>
            </w:r>
          </w:p>
        </w:tc>
        <w:tc>
          <w:tcPr>
            <w:tcW w:type="dxa" w:w="1757"/>
            <w:vAlign w:val="center"/>
            <w:tcMar>
              <w:top w:w="65" w:type="dxa"/>
              <w:left w:w="65" w:type="dxa"/>
              <w:bottom w:w="65" w:type="dxa"/>
              <w:right w:w="65" w:type="dxa"/>
            </w:tcMar>
          </w:tcPr>
          <w:p>
            <w:pPr>
              <w:pStyle w:val="TableText"/>
              <w:keepNext w:val="0"/>
              <w:widowControl/>
              <w:jc w:val="left"/>
            </w:pPr>
            <w:r>
              <w:rPr>
                <w:b w:val="0"/>
                <w:sz w:val="18"/>
              </w:rPr>
              <w:t>12.5%</w:t>
            </w:r>
          </w:p>
        </w:tc>
        <w:tc>
          <w:tcPr>
            <w:tcW w:type="dxa" w:w="2154"/>
            <w:vAlign w:val="center"/>
            <w:tcMar>
              <w:top w:w="65" w:type="dxa"/>
              <w:left w:w="65" w:type="dxa"/>
              <w:bottom w:w="65" w:type="dxa"/>
              <w:right w:w="65" w:type="dxa"/>
            </w:tcMar>
          </w:tcPr>
          <w:p>
            <w:pPr>
              <w:pStyle w:val="TableText"/>
              <w:keepNext w:val="0"/>
              <w:widowControl/>
              <w:jc w:val="left"/>
            </w:pPr>
            <w:r>
              <w:rPr>
                <w:b w:val="0"/>
                <w:sz w:val="18"/>
              </w:rPr>
              <w:t>72/575</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8"/>
              </w:rPr>
              <w:t>BINF</w:t>
            </w:r>
          </w:p>
        </w:tc>
        <w:tc>
          <w:tcPr>
            <w:tcW w:type="dxa" w:w="1247"/>
            <w:vAlign w:val="center"/>
            <w:tcMar>
              <w:top w:w="65" w:type="dxa"/>
              <w:left w:w="65" w:type="dxa"/>
              <w:bottom w:w="65" w:type="dxa"/>
              <w:right w:w="65" w:type="dxa"/>
            </w:tcMar>
          </w:tcPr>
          <w:p>
            <w:pPr>
              <w:pStyle w:val="TableText"/>
              <w:keepNext w:val="0"/>
              <w:widowControl/>
              <w:jc w:val="left"/>
            </w:pPr>
            <w:r>
              <w:rPr>
                <w:b w:val="0"/>
                <w:sz w:val="18"/>
              </w:rPr>
              <w:t>C4</w:t>
            </w:r>
          </w:p>
        </w:tc>
        <w:tc>
          <w:tcPr>
            <w:tcW w:type="dxa" w:w="1984"/>
            <w:vAlign w:val="center"/>
            <w:tcMar>
              <w:top w:w="65" w:type="dxa"/>
              <w:left w:w="65" w:type="dxa"/>
              <w:bottom w:w="65" w:type="dxa"/>
              <w:right w:w="65" w:type="dxa"/>
            </w:tcMar>
          </w:tcPr>
          <w:p>
            <w:pPr>
              <w:pStyle w:val="TableText"/>
              <w:keepNext w:val="0"/>
              <w:widowControl/>
              <w:jc w:val="left"/>
            </w:pPr>
            <w:r>
              <w:rPr>
                <w:b w:val="0"/>
                <w:sz w:val="18"/>
              </w:rPr>
              <w:t>575/575</w:t>
            </w:r>
          </w:p>
        </w:tc>
        <w:tc>
          <w:tcPr>
            <w:tcW w:type="dxa" w:w="1757"/>
            <w:vAlign w:val="center"/>
            <w:tcMar>
              <w:top w:w="65" w:type="dxa"/>
              <w:left w:w="65" w:type="dxa"/>
              <w:bottom w:w="65" w:type="dxa"/>
              <w:right w:w="65" w:type="dxa"/>
            </w:tcMar>
          </w:tcPr>
          <w:p>
            <w:pPr>
              <w:pStyle w:val="TableText"/>
              <w:keepNext w:val="0"/>
              <w:widowControl/>
              <w:jc w:val="left"/>
            </w:pPr>
            <w:r>
              <w:rPr>
                <w:b w:val="0"/>
                <w:sz w:val="18"/>
              </w:rPr>
              <w:t>100.0%</w:t>
            </w:r>
          </w:p>
        </w:tc>
        <w:tc>
          <w:tcPr>
            <w:tcW w:type="dxa" w:w="2154"/>
            <w:vAlign w:val="center"/>
            <w:tcMar>
              <w:top w:w="65" w:type="dxa"/>
              <w:left w:w="65" w:type="dxa"/>
              <w:bottom w:w="65" w:type="dxa"/>
              <w:right w:w="65" w:type="dxa"/>
            </w:tcMar>
          </w:tcPr>
          <w:p>
            <w:pPr>
              <w:pStyle w:val="TableText"/>
              <w:keepNext w:val="0"/>
              <w:widowControl/>
              <w:jc w:val="left"/>
            </w:pPr>
            <w:r>
              <w:rPr>
                <w:b w:val="0"/>
                <w:sz w:val="18"/>
              </w:rPr>
              <w:t>573/575</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8"/>
              </w:rPr>
              <w:t>BINF</w:t>
            </w:r>
          </w:p>
        </w:tc>
        <w:tc>
          <w:tcPr>
            <w:tcW w:type="dxa" w:w="1247"/>
            <w:vAlign w:val="center"/>
            <w:tcMar>
              <w:top w:w="65" w:type="dxa"/>
              <w:left w:w="65" w:type="dxa"/>
              <w:bottom w:w="65" w:type="dxa"/>
              <w:right w:w="65" w:type="dxa"/>
            </w:tcMar>
          </w:tcPr>
          <w:p>
            <w:pPr>
              <w:pStyle w:val="TableText"/>
              <w:keepNext w:val="0"/>
              <w:widowControl/>
              <w:jc w:val="left"/>
            </w:pPr>
            <w:r>
              <w:rPr>
                <w:b w:val="0"/>
                <w:sz w:val="18"/>
              </w:rPr>
              <w:t>C4R</w:t>
            </w:r>
          </w:p>
        </w:tc>
        <w:tc>
          <w:tcPr>
            <w:tcW w:type="dxa" w:w="1984"/>
            <w:vAlign w:val="center"/>
            <w:tcMar>
              <w:top w:w="65" w:type="dxa"/>
              <w:left w:w="65" w:type="dxa"/>
              <w:bottom w:w="65" w:type="dxa"/>
              <w:right w:w="65" w:type="dxa"/>
            </w:tcMar>
          </w:tcPr>
          <w:p>
            <w:pPr>
              <w:pStyle w:val="TableText"/>
              <w:keepNext w:val="0"/>
              <w:widowControl/>
              <w:jc w:val="left"/>
            </w:pPr>
            <w:r>
              <w:rPr>
                <w:b w:val="0"/>
                <w:sz w:val="18"/>
              </w:rPr>
              <w:t>575/575</w:t>
            </w:r>
          </w:p>
        </w:tc>
        <w:tc>
          <w:tcPr>
            <w:tcW w:type="dxa" w:w="1757"/>
            <w:vAlign w:val="center"/>
            <w:tcMar>
              <w:top w:w="65" w:type="dxa"/>
              <w:left w:w="65" w:type="dxa"/>
              <w:bottom w:w="65" w:type="dxa"/>
              <w:right w:w="65" w:type="dxa"/>
            </w:tcMar>
          </w:tcPr>
          <w:p>
            <w:pPr>
              <w:pStyle w:val="TableText"/>
              <w:keepNext w:val="0"/>
              <w:widowControl/>
              <w:jc w:val="left"/>
            </w:pPr>
            <w:r>
              <w:rPr>
                <w:b w:val="0"/>
                <w:sz w:val="18"/>
              </w:rPr>
              <w:t>100.0%</w:t>
            </w:r>
          </w:p>
        </w:tc>
        <w:tc>
          <w:tcPr>
            <w:tcW w:type="dxa" w:w="2154"/>
            <w:vAlign w:val="center"/>
            <w:tcMar>
              <w:top w:w="65" w:type="dxa"/>
              <w:left w:w="65" w:type="dxa"/>
              <w:bottom w:w="65" w:type="dxa"/>
              <w:right w:w="65" w:type="dxa"/>
            </w:tcMar>
          </w:tcPr>
          <w:p>
            <w:pPr>
              <w:pStyle w:val="TableText"/>
              <w:keepNext w:val="0"/>
              <w:widowControl/>
              <w:jc w:val="left"/>
            </w:pPr>
            <w:r>
              <w:rPr>
                <w:b w:val="0"/>
                <w:sz w:val="18"/>
              </w:rPr>
              <w:t>574/575</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8"/>
              </w:rPr>
              <w:t>BINF</w:t>
            </w:r>
          </w:p>
        </w:tc>
        <w:tc>
          <w:tcPr>
            <w:tcW w:type="dxa" w:w="1247"/>
            <w:vAlign w:val="center"/>
            <w:tcMar>
              <w:top w:w="65" w:type="dxa"/>
              <w:left w:w="65" w:type="dxa"/>
              <w:bottom w:w="65" w:type="dxa"/>
              <w:right w:w="65" w:type="dxa"/>
            </w:tcMar>
          </w:tcPr>
          <w:p>
            <w:pPr>
              <w:pStyle w:val="TableText"/>
              <w:keepNext w:val="0"/>
              <w:widowControl/>
              <w:jc w:val="left"/>
            </w:pPr>
            <w:r>
              <w:rPr>
                <w:b w:val="0"/>
                <w:sz w:val="18"/>
              </w:rPr>
              <w:t>C5</w:t>
            </w:r>
          </w:p>
        </w:tc>
        <w:tc>
          <w:tcPr>
            <w:tcW w:type="dxa" w:w="1984"/>
            <w:vAlign w:val="center"/>
            <w:tcMar>
              <w:top w:w="65" w:type="dxa"/>
              <w:left w:w="65" w:type="dxa"/>
              <w:bottom w:w="65" w:type="dxa"/>
              <w:right w:w="65" w:type="dxa"/>
            </w:tcMar>
          </w:tcPr>
          <w:p>
            <w:pPr>
              <w:pStyle w:val="TableText"/>
              <w:keepNext w:val="0"/>
              <w:widowControl/>
              <w:jc w:val="left"/>
            </w:pPr>
            <w:r>
              <w:rPr>
                <w:b w:val="0"/>
                <w:sz w:val="18"/>
              </w:rPr>
              <w:t>575/575</w:t>
            </w:r>
          </w:p>
        </w:tc>
        <w:tc>
          <w:tcPr>
            <w:tcW w:type="dxa" w:w="1757"/>
            <w:vAlign w:val="center"/>
            <w:tcMar>
              <w:top w:w="65" w:type="dxa"/>
              <w:left w:w="65" w:type="dxa"/>
              <w:bottom w:w="65" w:type="dxa"/>
              <w:right w:w="65" w:type="dxa"/>
            </w:tcMar>
          </w:tcPr>
          <w:p>
            <w:pPr>
              <w:pStyle w:val="TableText"/>
              <w:keepNext w:val="0"/>
              <w:widowControl/>
              <w:jc w:val="left"/>
            </w:pPr>
            <w:r>
              <w:rPr>
                <w:b w:val="0"/>
                <w:sz w:val="18"/>
              </w:rPr>
              <w:t>100.0%</w:t>
            </w:r>
          </w:p>
        </w:tc>
        <w:tc>
          <w:tcPr>
            <w:tcW w:type="dxa" w:w="2154"/>
            <w:vAlign w:val="center"/>
            <w:tcMar>
              <w:top w:w="65" w:type="dxa"/>
              <w:left w:w="65" w:type="dxa"/>
              <w:bottom w:w="65" w:type="dxa"/>
              <w:right w:w="65" w:type="dxa"/>
            </w:tcMar>
          </w:tcPr>
          <w:p>
            <w:pPr>
              <w:pStyle w:val="TableText"/>
              <w:keepNext w:val="0"/>
              <w:widowControl/>
              <w:jc w:val="left"/>
            </w:pPr>
            <w:r>
              <w:rPr>
                <w:b w:val="0"/>
                <w:sz w:val="18"/>
              </w:rPr>
              <w:t>572/575</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8"/>
              </w:rPr>
              <w:t>BINF</w:t>
            </w:r>
          </w:p>
        </w:tc>
        <w:tc>
          <w:tcPr>
            <w:tcW w:type="dxa" w:w="1247"/>
            <w:vAlign w:val="center"/>
            <w:tcMar>
              <w:top w:w="65" w:type="dxa"/>
              <w:left w:w="65" w:type="dxa"/>
              <w:bottom w:w="65" w:type="dxa"/>
              <w:right w:w="65" w:type="dxa"/>
            </w:tcMar>
          </w:tcPr>
          <w:p>
            <w:pPr>
              <w:pStyle w:val="TableText"/>
              <w:keepNext w:val="0"/>
              <w:widowControl/>
              <w:jc w:val="left"/>
            </w:pPr>
            <w:r>
              <w:rPr>
                <w:b w:val="0"/>
                <w:sz w:val="18"/>
              </w:rPr>
              <w:t>C6-E</w:t>
            </w:r>
          </w:p>
        </w:tc>
        <w:tc>
          <w:tcPr>
            <w:tcW w:type="dxa" w:w="1984"/>
            <w:vAlign w:val="center"/>
            <w:tcMar>
              <w:top w:w="65" w:type="dxa"/>
              <w:left w:w="65" w:type="dxa"/>
              <w:bottom w:w="65" w:type="dxa"/>
              <w:right w:w="65" w:type="dxa"/>
            </w:tcMar>
          </w:tcPr>
          <w:p>
            <w:pPr>
              <w:pStyle w:val="TableText"/>
              <w:keepNext w:val="0"/>
              <w:widowControl/>
              <w:jc w:val="left"/>
            </w:pPr>
            <w:r>
              <w:rPr>
                <w:b w:val="0"/>
                <w:sz w:val="18"/>
              </w:rPr>
              <w:t>575/575</w:t>
            </w:r>
          </w:p>
        </w:tc>
        <w:tc>
          <w:tcPr>
            <w:tcW w:type="dxa" w:w="1757"/>
            <w:vAlign w:val="center"/>
            <w:tcMar>
              <w:top w:w="65" w:type="dxa"/>
              <w:left w:w="65" w:type="dxa"/>
              <w:bottom w:w="65" w:type="dxa"/>
              <w:right w:w="65" w:type="dxa"/>
            </w:tcMar>
          </w:tcPr>
          <w:p>
            <w:pPr>
              <w:pStyle w:val="TableText"/>
              <w:keepNext w:val="0"/>
              <w:widowControl/>
              <w:jc w:val="left"/>
            </w:pPr>
            <w:r>
              <w:rPr>
                <w:b w:val="0"/>
                <w:sz w:val="18"/>
              </w:rPr>
              <w:t>100.0%</w:t>
            </w:r>
          </w:p>
        </w:tc>
        <w:tc>
          <w:tcPr>
            <w:tcW w:type="dxa" w:w="2154"/>
            <w:vAlign w:val="center"/>
            <w:tcMar>
              <w:top w:w="65" w:type="dxa"/>
              <w:left w:w="65" w:type="dxa"/>
              <w:bottom w:w="65" w:type="dxa"/>
              <w:right w:w="65" w:type="dxa"/>
            </w:tcMar>
          </w:tcPr>
          <w:p>
            <w:pPr>
              <w:pStyle w:val="TableText"/>
              <w:keepNext w:val="0"/>
              <w:widowControl/>
              <w:jc w:val="left"/>
            </w:pPr>
            <w:r>
              <w:rPr>
                <w:b w:val="0"/>
                <w:sz w:val="18"/>
              </w:rPr>
              <w:t>574/575</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8"/>
              </w:rPr>
              <w:t>BINF</w:t>
            </w:r>
          </w:p>
        </w:tc>
        <w:tc>
          <w:tcPr>
            <w:tcW w:type="dxa" w:w="1247"/>
            <w:vAlign w:val="center"/>
            <w:tcMar>
              <w:top w:w="65" w:type="dxa"/>
              <w:left w:w="65" w:type="dxa"/>
              <w:bottom w:w="65" w:type="dxa"/>
              <w:right w:w="65" w:type="dxa"/>
            </w:tcMar>
          </w:tcPr>
          <w:p>
            <w:pPr>
              <w:pStyle w:val="TableText"/>
              <w:keepNext w:val="0"/>
              <w:widowControl/>
              <w:jc w:val="left"/>
            </w:pPr>
            <w:r>
              <w:rPr>
                <w:b w:val="0"/>
                <w:sz w:val="18"/>
              </w:rPr>
              <w:t>C6-EX</w:t>
            </w:r>
          </w:p>
        </w:tc>
        <w:tc>
          <w:tcPr>
            <w:tcW w:type="dxa" w:w="1984"/>
            <w:vAlign w:val="center"/>
            <w:tcMar>
              <w:top w:w="65" w:type="dxa"/>
              <w:left w:w="65" w:type="dxa"/>
              <w:bottom w:w="65" w:type="dxa"/>
              <w:right w:w="65" w:type="dxa"/>
            </w:tcMar>
          </w:tcPr>
          <w:p>
            <w:pPr>
              <w:pStyle w:val="TableText"/>
              <w:keepNext w:val="0"/>
              <w:widowControl/>
              <w:jc w:val="left"/>
            </w:pPr>
            <w:r>
              <w:rPr>
                <w:b w:val="0"/>
                <w:sz w:val="18"/>
              </w:rPr>
              <w:t>574/575</w:t>
            </w:r>
          </w:p>
        </w:tc>
        <w:tc>
          <w:tcPr>
            <w:tcW w:type="dxa" w:w="1757"/>
            <w:vAlign w:val="center"/>
            <w:tcMar>
              <w:top w:w="65" w:type="dxa"/>
              <w:left w:w="65" w:type="dxa"/>
              <w:bottom w:w="65" w:type="dxa"/>
              <w:right w:w="65" w:type="dxa"/>
            </w:tcMar>
          </w:tcPr>
          <w:p>
            <w:pPr>
              <w:pStyle w:val="TableText"/>
              <w:keepNext w:val="0"/>
              <w:widowControl/>
              <w:jc w:val="left"/>
            </w:pPr>
            <w:r>
              <w:rPr>
                <w:b w:val="0"/>
                <w:sz w:val="18"/>
              </w:rPr>
              <w:t>99.8%</w:t>
            </w:r>
          </w:p>
        </w:tc>
        <w:tc>
          <w:tcPr>
            <w:tcW w:type="dxa" w:w="2154"/>
            <w:vAlign w:val="center"/>
            <w:tcMar>
              <w:top w:w="65" w:type="dxa"/>
              <w:left w:w="65" w:type="dxa"/>
              <w:bottom w:w="65" w:type="dxa"/>
              <w:right w:w="65" w:type="dxa"/>
            </w:tcMar>
          </w:tcPr>
          <w:p>
            <w:pPr>
              <w:pStyle w:val="TableText"/>
              <w:keepNext w:val="0"/>
              <w:widowControl/>
              <w:jc w:val="left"/>
            </w:pPr>
            <w:r>
              <w:rPr>
                <w:b w:val="0"/>
                <w:sz w:val="18"/>
              </w:rPr>
              <w:t>573/575</w:t>
            </w:r>
          </w:p>
        </w:tc>
      </w:tr>
    </w:tbl>
    <w:p>
      <w:pPr>
        <w:pStyle w:val="SourceNote"/>
        <w:widowControl/>
      </w:pPr>
      <w:r>
        <w:t>자료: Run1 canonical action-usability와 원 요청 outcome의 full-response/schema audit를 같은 셀에서 연결. 모든 분모는 575이며 두 검사는 같은 지표가 아니다.</w:t>
      </w:r>
    </w:p>
    <w:p>
      <w:bookmarkStart w:id="105" w:name="cap_22"/>
      <w:pPr>
        <w:pStyle w:val="af"/>
        <w:widowControl/>
      </w:pPr>
      <w:r>
        <w:t>표 5-2. GPT-5.4-mini Baseline 자유작성의 수용률</w:t>
      </w:r>
      <w:bookmarkEnd w:id="105"/>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794"/>
        <w:gridCol w:w="1247"/>
        <w:gridCol w:w="1984"/>
        <w:gridCol w:w="1757"/>
        <w:gridCol w:w="2154"/>
      </w:tblGrid>
      <w:tr>
        <w:trPr>
          <w:cantSplit/>
          <w:tblHeader/>
        </w:trPr>
        <w:tc>
          <w:tcPr>
            <w:tcW w:type="dxa" w:w="794"/>
            <w:vAlign w:val="center"/>
            <w:shd w:fill="F1F1F1"/>
            <w:tcMar>
              <w:top w:w="65" w:type="dxa"/>
              <w:left w:w="65" w:type="dxa"/>
              <w:bottom w:w="65" w:type="dxa"/>
              <w:right w:w="65" w:type="dxa"/>
            </w:tcMar>
          </w:tcPr>
          <w:p>
            <w:pPr>
              <w:pStyle w:val="TableText"/>
              <w:keepNext/>
              <w:widowControl/>
              <w:jc w:val="center"/>
            </w:pPr>
            <w:r>
              <w:rPr>
                <w:b/>
                <w:sz w:val="18"/>
              </w:rPr>
              <w:t>예산</w:t>
            </w:r>
          </w:p>
        </w:tc>
        <w:tc>
          <w:tcPr>
            <w:tcW w:type="dxa" w:w="1247"/>
            <w:vAlign w:val="center"/>
            <w:shd w:fill="F1F1F1"/>
            <w:tcMar>
              <w:top w:w="65" w:type="dxa"/>
              <w:left w:w="65" w:type="dxa"/>
              <w:bottom w:w="65" w:type="dxa"/>
              <w:right w:w="65" w:type="dxa"/>
            </w:tcMar>
          </w:tcPr>
          <w:p>
            <w:pPr>
              <w:pStyle w:val="TableText"/>
              <w:keepNext/>
              <w:widowControl/>
              <w:jc w:val="center"/>
            </w:pPr>
            <w:r>
              <w:rPr>
                <w:b/>
                <w:sz w:val="18"/>
              </w:rPr>
              <w:t>정책</w:t>
            </w:r>
          </w:p>
        </w:tc>
        <w:tc>
          <w:tcPr>
            <w:tcW w:type="dxa" w:w="1984"/>
            <w:vAlign w:val="center"/>
            <w:shd w:fill="F1F1F1"/>
            <w:tcMar>
              <w:top w:w="65" w:type="dxa"/>
              <w:left w:w="65" w:type="dxa"/>
              <w:bottom w:w="65" w:type="dxa"/>
              <w:right w:w="65" w:type="dxa"/>
            </w:tcMar>
          </w:tcPr>
          <w:p>
            <w:pPr>
              <w:pStyle w:val="TableText"/>
              <w:keepNext/>
              <w:widowControl/>
              <w:jc w:val="center"/>
            </w:pPr>
            <w:r>
              <w:rPr>
                <w:b/>
                <w:sz w:val="18"/>
              </w:rPr>
              <w:t>행동 수용 N</w:t>
            </w:r>
          </w:p>
        </w:tc>
        <w:tc>
          <w:tcPr>
            <w:tcW w:type="dxa" w:w="1757"/>
            <w:vAlign w:val="center"/>
            <w:shd w:fill="F1F1F1"/>
            <w:tcMar>
              <w:top w:w="65" w:type="dxa"/>
              <w:left w:w="65" w:type="dxa"/>
              <w:bottom w:w="65" w:type="dxa"/>
              <w:right w:w="65" w:type="dxa"/>
            </w:tcMar>
          </w:tcPr>
          <w:p>
            <w:pPr>
              <w:pStyle w:val="TableText"/>
              <w:keepNext/>
              <w:widowControl/>
              <w:jc w:val="center"/>
            </w:pPr>
            <w:r>
              <w:rPr>
                <w:b/>
                <w:sz w:val="18"/>
              </w:rPr>
              <w:t>행동 수용률</w:t>
            </w:r>
          </w:p>
        </w:tc>
        <w:tc>
          <w:tcPr>
            <w:tcW w:type="dxa" w:w="2154"/>
            <w:vAlign w:val="center"/>
            <w:shd w:fill="F1F1F1"/>
            <w:tcMar>
              <w:top w:w="65" w:type="dxa"/>
              <w:left w:w="65" w:type="dxa"/>
              <w:bottom w:w="65" w:type="dxa"/>
              <w:right w:w="65" w:type="dxa"/>
            </w:tcMar>
          </w:tcPr>
          <w:p>
            <w:pPr>
              <w:pStyle w:val="TableText"/>
              <w:keepNext/>
              <w:widowControl/>
              <w:jc w:val="center"/>
            </w:pPr>
            <w:r>
              <w:rPr>
                <w:b/>
                <w:sz w:val="18"/>
              </w:rPr>
              <w:t>전체 schema 적합 N</w:t>
            </w:r>
          </w:p>
        </w:tc>
      </w:tr>
      <w:tr>
        <w:trPr>
          <w:cantSplit/>
        </w:trPr>
        <w:tc>
          <w:tcPr>
            <w:tcW w:type="dxa" w:w="794"/>
            <w:vAlign w:val="center"/>
            <w:tcMar>
              <w:top w:w="65" w:type="dxa"/>
              <w:left w:w="65" w:type="dxa"/>
              <w:bottom w:w="65" w:type="dxa"/>
              <w:right w:w="65" w:type="dxa"/>
            </w:tcMar>
          </w:tcPr>
          <w:p>
            <w:pPr>
              <w:pStyle w:val="TableText"/>
              <w:keepNext/>
              <w:widowControl/>
              <w:jc w:val="left"/>
            </w:pPr>
            <w:r>
              <w:rPr>
                <w:b w:val="0"/>
                <w:sz w:val="18"/>
              </w:rPr>
              <w:t>B1</w:t>
            </w:r>
          </w:p>
        </w:tc>
        <w:tc>
          <w:tcPr>
            <w:tcW w:type="dxa" w:w="1247"/>
            <w:vAlign w:val="center"/>
            <w:tcMar>
              <w:top w:w="65" w:type="dxa"/>
              <w:left w:w="65" w:type="dxa"/>
              <w:bottom w:w="65" w:type="dxa"/>
              <w:right w:w="65" w:type="dxa"/>
            </w:tcMar>
          </w:tcPr>
          <w:p>
            <w:pPr>
              <w:pStyle w:val="TableText"/>
              <w:keepNext/>
              <w:widowControl/>
              <w:jc w:val="left"/>
            </w:pPr>
            <w:r>
              <w:rPr>
                <w:b w:val="0"/>
                <w:sz w:val="18"/>
              </w:rPr>
              <w:t>C4</w:t>
            </w:r>
          </w:p>
        </w:tc>
        <w:tc>
          <w:tcPr>
            <w:tcW w:type="dxa" w:w="1984"/>
            <w:vAlign w:val="center"/>
            <w:tcMar>
              <w:top w:w="65" w:type="dxa"/>
              <w:left w:w="65" w:type="dxa"/>
              <w:bottom w:w="65" w:type="dxa"/>
              <w:right w:w="65" w:type="dxa"/>
            </w:tcMar>
          </w:tcPr>
          <w:p>
            <w:pPr>
              <w:pStyle w:val="TableText"/>
              <w:keepNext/>
              <w:widowControl/>
              <w:jc w:val="left"/>
            </w:pPr>
            <w:r>
              <w:rPr>
                <w:b w:val="0"/>
                <w:sz w:val="18"/>
              </w:rPr>
              <w:t>255/575</w:t>
            </w:r>
          </w:p>
        </w:tc>
        <w:tc>
          <w:tcPr>
            <w:tcW w:type="dxa" w:w="1757"/>
            <w:vAlign w:val="center"/>
            <w:tcMar>
              <w:top w:w="65" w:type="dxa"/>
              <w:left w:w="65" w:type="dxa"/>
              <w:bottom w:w="65" w:type="dxa"/>
              <w:right w:w="65" w:type="dxa"/>
            </w:tcMar>
          </w:tcPr>
          <w:p>
            <w:pPr>
              <w:pStyle w:val="TableText"/>
              <w:keepNext/>
              <w:widowControl/>
              <w:jc w:val="left"/>
            </w:pPr>
            <w:r>
              <w:rPr>
                <w:b w:val="0"/>
                <w:sz w:val="18"/>
              </w:rPr>
              <w:t>44.3%</w:t>
            </w:r>
          </w:p>
        </w:tc>
        <w:tc>
          <w:tcPr>
            <w:tcW w:type="dxa" w:w="2154"/>
            <w:vAlign w:val="center"/>
            <w:tcMar>
              <w:top w:w="65" w:type="dxa"/>
              <w:left w:w="65" w:type="dxa"/>
              <w:bottom w:w="65" w:type="dxa"/>
              <w:right w:w="65" w:type="dxa"/>
            </w:tcMar>
          </w:tcPr>
          <w:p>
            <w:pPr>
              <w:pStyle w:val="TableText"/>
              <w:keepNext/>
              <w:widowControl/>
              <w:jc w:val="left"/>
            </w:pPr>
            <w:r>
              <w:rPr>
                <w:b w:val="0"/>
                <w:sz w:val="18"/>
              </w:rPr>
              <w:t>140/575</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8"/>
              </w:rPr>
              <w:t>B1</w:t>
            </w:r>
          </w:p>
        </w:tc>
        <w:tc>
          <w:tcPr>
            <w:tcW w:type="dxa" w:w="1247"/>
            <w:vAlign w:val="center"/>
            <w:tcMar>
              <w:top w:w="65" w:type="dxa"/>
              <w:left w:w="65" w:type="dxa"/>
              <w:bottom w:w="65" w:type="dxa"/>
              <w:right w:w="65" w:type="dxa"/>
            </w:tcMar>
          </w:tcPr>
          <w:p>
            <w:pPr>
              <w:pStyle w:val="TableText"/>
              <w:keepNext w:val="0"/>
              <w:widowControl/>
              <w:jc w:val="left"/>
            </w:pPr>
            <w:r>
              <w:rPr>
                <w:b w:val="0"/>
                <w:sz w:val="18"/>
              </w:rPr>
              <w:t>C4R</w:t>
            </w:r>
          </w:p>
        </w:tc>
        <w:tc>
          <w:tcPr>
            <w:tcW w:type="dxa" w:w="1984"/>
            <w:vAlign w:val="center"/>
            <w:tcMar>
              <w:top w:w="65" w:type="dxa"/>
              <w:left w:w="65" w:type="dxa"/>
              <w:bottom w:w="65" w:type="dxa"/>
              <w:right w:w="65" w:type="dxa"/>
            </w:tcMar>
          </w:tcPr>
          <w:p>
            <w:pPr>
              <w:pStyle w:val="TableText"/>
              <w:keepNext w:val="0"/>
              <w:widowControl/>
              <w:jc w:val="left"/>
            </w:pPr>
            <w:r>
              <w:rPr>
                <w:b w:val="0"/>
                <w:sz w:val="18"/>
              </w:rPr>
              <w:t>368/575</w:t>
            </w:r>
          </w:p>
        </w:tc>
        <w:tc>
          <w:tcPr>
            <w:tcW w:type="dxa" w:w="1757"/>
            <w:vAlign w:val="center"/>
            <w:tcMar>
              <w:top w:w="65" w:type="dxa"/>
              <w:left w:w="65" w:type="dxa"/>
              <w:bottom w:w="65" w:type="dxa"/>
              <w:right w:w="65" w:type="dxa"/>
            </w:tcMar>
          </w:tcPr>
          <w:p>
            <w:pPr>
              <w:pStyle w:val="TableText"/>
              <w:keepNext w:val="0"/>
              <w:widowControl/>
              <w:jc w:val="left"/>
            </w:pPr>
            <w:r>
              <w:rPr>
                <w:b w:val="0"/>
                <w:sz w:val="18"/>
              </w:rPr>
              <w:t>64.0%</w:t>
            </w:r>
          </w:p>
        </w:tc>
        <w:tc>
          <w:tcPr>
            <w:tcW w:type="dxa" w:w="2154"/>
            <w:vAlign w:val="center"/>
            <w:tcMar>
              <w:top w:w="65" w:type="dxa"/>
              <w:left w:w="65" w:type="dxa"/>
              <w:bottom w:w="65" w:type="dxa"/>
              <w:right w:w="65" w:type="dxa"/>
            </w:tcMar>
          </w:tcPr>
          <w:p>
            <w:pPr>
              <w:pStyle w:val="TableText"/>
              <w:keepNext w:val="0"/>
              <w:widowControl/>
              <w:jc w:val="left"/>
            </w:pPr>
            <w:r>
              <w:rPr>
                <w:b w:val="0"/>
                <w:sz w:val="18"/>
              </w:rPr>
              <w:t>304/575</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8"/>
              </w:rPr>
              <w:t>B1</w:t>
            </w:r>
          </w:p>
        </w:tc>
        <w:tc>
          <w:tcPr>
            <w:tcW w:type="dxa" w:w="1247"/>
            <w:vAlign w:val="center"/>
            <w:tcMar>
              <w:top w:w="65" w:type="dxa"/>
              <w:left w:w="65" w:type="dxa"/>
              <w:bottom w:w="65" w:type="dxa"/>
              <w:right w:w="65" w:type="dxa"/>
            </w:tcMar>
          </w:tcPr>
          <w:p>
            <w:pPr>
              <w:pStyle w:val="TableText"/>
              <w:keepNext w:val="0"/>
              <w:widowControl/>
              <w:jc w:val="left"/>
            </w:pPr>
            <w:r>
              <w:rPr>
                <w:b w:val="0"/>
                <w:sz w:val="18"/>
              </w:rPr>
              <w:t>C5</w:t>
            </w:r>
          </w:p>
        </w:tc>
        <w:tc>
          <w:tcPr>
            <w:tcW w:type="dxa" w:w="1984"/>
            <w:vAlign w:val="center"/>
            <w:tcMar>
              <w:top w:w="65" w:type="dxa"/>
              <w:left w:w="65" w:type="dxa"/>
              <w:bottom w:w="65" w:type="dxa"/>
              <w:right w:w="65" w:type="dxa"/>
            </w:tcMar>
          </w:tcPr>
          <w:p>
            <w:pPr>
              <w:pStyle w:val="TableText"/>
              <w:keepNext w:val="0"/>
              <w:widowControl/>
              <w:jc w:val="left"/>
            </w:pPr>
            <w:r>
              <w:rPr>
                <w:b w:val="0"/>
                <w:sz w:val="18"/>
              </w:rPr>
              <w:t>378/575</w:t>
            </w:r>
          </w:p>
        </w:tc>
        <w:tc>
          <w:tcPr>
            <w:tcW w:type="dxa" w:w="1757"/>
            <w:vAlign w:val="center"/>
            <w:tcMar>
              <w:top w:w="65" w:type="dxa"/>
              <w:left w:w="65" w:type="dxa"/>
              <w:bottom w:w="65" w:type="dxa"/>
              <w:right w:w="65" w:type="dxa"/>
            </w:tcMar>
          </w:tcPr>
          <w:p>
            <w:pPr>
              <w:pStyle w:val="TableText"/>
              <w:keepNext w:val="0"/>
              <w:widowControl/>
              <w:jc w:val="left"/>
            </w:pPr>
            <w:r>
              <w:rPr>
                <w:b w:val="0"/>
                <w:sz w:val="18"/>
              </w:rPr>
              <w:t>65.7%</w:t>
            </w:r>
          </w:p>
        </w:tc>
        <w:tc>
          <w:tcPr>
            <w:tcW w:type="dxa" w:w="2154"/>
            <w:vAlign w:val="center"/>
            <w:tcMar>
              <w:top w:w="65" w:type="dxa"/>
              <w:left w:w="65" w:type="dxa"/>
              <w:bottom w:w="65" w:type="dxa"/>
              <w:right w:w="65" w:type="dxa"/>
            </w:tcMar>
          </w:tcPr>
          <w:p>
            <w:pPr>
              <w:pStyle w:val="TableText"/>
              <w:keepNext w:val="0"/>
              <w:widowControl/>
              <w:jc w:val="left"/>
            </w:pPr>
            <w:r>
              <w:rPr>
                <w:b w:val="0"/>
                <w:sz w:val="18"/>
              </w:rPr>
              <w:t>304/575</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8"/>
              </w:rPr>
              <w:t>B1</w:t>
            </w:r>
          </w:p>
        </w:tc>
        <w:tc>
          <w:tcPr>
            <w:tcW w:type="dxa" w:w="1247"/>
            <w:vAlign w:val="center"/>
            <w:tcMar>
              <w:top w:w="65" w:type="dxa"/>
              <w:left w:w="65" w:type="dxa"/>
              <w:bottom w:w="65" w:type="dxa"/>
              <w:right w:w="65" w:type="dxa"/>
            </w:tcMar>
          </w:tcPr>
          <w:p>
            <w:pPr>
              <w:pStyle w:val="TableText"/>
              <w:keepNext w:val="0"/>
              <w:widowControl/>
              <w:jc w:val="left"/>
            </w:pPr>
            <w:r>
              <w:rPr>
                <w:b w:val="0"/>
                <w:sz w:val="18"/>
              </w:rPr>
              <w:t>C6-E</w:t>
            </w:r>
          </w:p>
        </w:tc>
        <w:tc>
          <w:tcPr>
            <w:tcW w:type="dxa" w:w="1984"/>
            <w:vAlign w:val="center"/>
            <w:tcMar>
              <w:top w:w="65" w:type="dxa"/>
              <w:left w:w="65" w:type="dxa"/>
              <w:bottom w:w="65" w:type="dxa"/>
              <w:right w:w="65" w:type="dxa"/>
            </w:tcMar>
          </w:tcPr>
          <w:p>
            <w:pPr>
              <w:pStyle w:val="TableText"/>
              <w:keepNext w:val="0"/>
              <w:widowControl/>
              <w:jc w:val="left"/>
            </w:pPr>
            <w:r>
              <w:rPr>
                <w:b w:val="0"/>
                <w:sz w:val="18"/>
              </w:rPr>
              <w:t>329/575</w:t>
            </w:r>
          </w:p>
        </w:tc>
        <w:tc>
          <w:tcPr>
            <w:tcW w:type="dxa" w:w="1757"/>
            <w:vAlign w:val="center"/>
            <w:tcMar>
              <w:top w:w="65" w:type="dxa"/>
              <w:left w:w="65" w:type="dxa"/>
              <w:bottom w:w="65" w:type="dxa"/>
              <w:right w:w="65" w:type="dxa"/>
            </w:tcMar>
          </w:tcPr>
          <w:p>
            <w:pPr>
              <w:pStyle w:val="TableText"/>
              <w:keepNext w:val="0"/>
              <w:widowControl/>
              <w:jc w:val="left"/>
            </w:pPr>
            <w:r>
              <w:rPr>
                <w:b w:val="0"/>
                <w:sz w:val="18"/>
              </w:rPr>
              <w:t>57.2%</w:t>
            </w:r>
          </w:p>
        </w:tc>
        <w:tc>
          <w:tcPr>
            <w:tcW w:type="dxa" w:w="2154"/>
            <w:vAlign w:val="center"/>
            <w:tcMar>
              <w:top w:w="65" w:type="dxa"/>
              <w:left w:w="65" w:type="dxa"/>
              <w:bottom w:w="65" w:type="dxa"/>
              <w:right w:w="65" w:type="dxa"/>
            </w:tcMar>
          </w:tcPr>
          <w:p>
            <w:pPr>
              <w:pStyle w:val="TableText"/>
              <w:keepNext w:val="0"/>
              <w:widowControl/>
              <w:jc w:val="left"/>
            </w:pPr>
            <w:r>
              <w:rPr>
                <w:b w:val="0"/>
                <w:sz w:val="18"/>
              </w:rPr>
              <w:t>212/575</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8"/>
              </w:rPr>
              <w:t>B1</w:t>
            </w:r>
          </w:p>
        </w:tc>
        <w:tc>
          <w:tcPr>
            <w:tcW w:type="dxa" w:w="1247"/>
            <w:vAlign w:val="center"/>
            <w:tcMar>
              <w:top w:w="65" w:type="dxa"/>
              <w:left w:w="65" w:type="dxa"/>
              <w:bottom w:w="65" w:type="dxa"/>
              <w:right w:w="65" w:type="dxa"/>
            </w:tcMar>
          </w:tcPr>
          <w:p>
            <w:pPr>
              <w:pStyle w:val="TableText"/>
              <w:keepNext w:val="0"/>
              <w:widowControl/>
              <w:jc w:val="left"/>
            </w:pPr>
            <w:r>
              <w:rPr>
                <w:b w:val="0"/>
                <w:sz w:val="18"/>
              </w:rPr>
              <w:t>C6-EX</w:t>
            </w:r>
          </w:p>
        </w:tc>
        <w:tc>
          <w:tcPr>
            <w:tcW w:type="dxa" w:w="1984"/>
            <w:vAlign w:val="center"/>
            <w:tcMar>
              <w:top w:w="65" w:type="dxa"/>
              <w:left w:w="65" w:type="dxa"/>
              <w:bottom w:w="65" w:type="dxa"/>
              <w:right w:w="65" w:type="dxa"/>
            </w:tcMar>
          </w:tcPr>
          <w:p>
            <w:pPr>
              <w:pStyle w:val="TableText"/>
              <w:keepNext w:val="0"/>
              <w:widowControl/>
              <w:jc w:val="left"/>
            </w:pPr>
            <w:r>
              <w:rPr>
                <w:b w:val="0"/>
                <w:sz w:val="18"/>
              </w:rPr>
              <w:t>294/575</w:t>
            </w:r>
          </w:p>
        </w:tc>
        <w:tc>
          <w:tcPr>
            <w:tcW w:type="dxa" w:w="1757"/>
            <w:vAlign w:val="center"/>
            <w:tcMar>
              <w:top w:w="65" w:type="dxa"/>
              <w:left w:w="65" w:type="dxa"/>
              <w:bottom w:w="65" w:type="dxa"/>
              <w:right w:w="65" w:type="dxa"/>
            </w:tcMar>
          </w:tcPr>
          <w:p>
            <w:pPr>
              <w:pStyle w:val="TableText"/>
              <w:keepNext w:val="0"/>
              <w:widowControl/>
              <w:jc w:val="left"/>
            </w:pPr>
            <w:r>
              <w:rPr>
                <w:b w:val="0"/>
                <w:sz w:val="18"/>
              </w:rPr>
              <w:t>51.1%</w:t>
            </w:r>
          </w:p>
        </w:tc>
        <w:tc>
          <w:tcPr>
            <w:tcW w:type="dxa" w:w="2154"/>
            <w:vAlign w:val="center"/>
            <w:tcMar>
              <w:top w:w="65" w:type="dxa"/>
              <w:left w:w="65" w:type="dxa"/>
              <w:bottom w:w="65" w:type="dxa"/>
              <w:right w:w="65" w:type="dxa"/>
            </w:tcMar>
          </w:tcPr>
          <w:p>
            <w:pPr>
              <w:pStyle w:val="TableText"/>
              <w:keepNext w:val="0"/>
              <w:widowControl/>
              <w:jc w:val="left"/>
            </w:pPr>
            <w:r>
              <w:rPr>
                <w:b w:val="0"/>
                <w:sz w:val="18"/>
              </w:rPr>
              <w:t>193/575</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8"/>
              </w:rPr>
              <w:t>BINF</w:t>
            </w:r>
          </w:p>
        </w:tc>
        <w:tc>
          <w:tcPr>
            <w:tcW w:type="dxa" w:w="1247"/>
            <w:vAlign w:val="center"/>
            <w:tcMar>
              <w:top w:w="65" w:type="dxa"/>
              <w:left w:w="65" w:type="dxa"/>
              <w:bottom w:w="65" w:type="dxa"/>
              <w:right w:w="65" w:type="dxa"/>
            </w:tcMar>
          </w:tcPr>
          <w:p>
            <w:pPr>
              <w:pStyle w:val="TableText"/>
              <w:keepNext w:val="0"/>
              <w:widowControl/>
              <w:jc w:val="left"/>
            </w:pPr>
            <w:r>
              <w:rPr>
                <w:b w:val="0"/>
                <w:sz w:val="18"/>
              </w:rPr>
              <w:t>C4</w:t>
            </w:r>
          </w:p>
        </w:tc>
        <w:tc>
          <w:tcPr>
            <w:tcW w:type="dxa" w:w="1984"/>
            <w:vAlign w:val="center"/>
            <w:tcMar>
              <w:top w:w="65" w:type="dxa"/>
              <w:left w:w="65" w:type="dxa"/>
              <w:bottom w:w="65" w:type="dxa"/>
              <w:right w:w="65" w:type="dxa"/>
            </w:tcMar>
          </w:tcPr>
          <w:p>
            <w:pPr>
              <w:pStyle w:val="TableText"/>
              <w:keepNext w:val="0"/>
              <w:widowControl/>
              <w:jc w:val="left"/>
            </w:pPr>
            <w:r>
              <w:rPr>
                <w:b w:val="0"/>
                <w:sz w:val="18"/>
              </w:rPr>
              <w:t>419/575</w:t>
            </w:r>
          </w:p>
        </w:tc>
        <w:tc>
          <w:tcPr>
            <w:tcW w:type="dxa" w:w="1757"/>
            <w:vAlign w:val="center"/>
            <w:tcMar>
              <w:top w:w="65" w:type="dxa"/>
              <w:left w:w="65" w:type="dxa"/>
              <w:bottom w:w="65" w:type="dxa"/>
              <w:right w:w="65" w:type="dxa"/>
            </w:tcMar>
          </w:tcPr>
          <w:p>
            <w:pPr>
              <w:pStyle w:val="TableText"/>
              <w:keepNext w:val="0"/>
              <w:widowControl/>
              <w:jc w:val="left"/>
            </w:pPr>
            <w:r>
              <w:rPr>
                <w:b w:val="0"/>
                <w:sz w:val="18"/>
              </w:rPr>
              <w:t>72.9%</w:t>
            </w:r>
          </w:p>
        </w:tc>
        <w:tc>
          <w:tcPr>
            <w:tcW w:type="dxa" w:w="2154"/>
            <w:vAlign w:val="center"/>
            <w:tcMar>
              <w:top w:w="65" w:type="dxa"/>
              <w:left w:w="65" w:type="dxa"/>
              <w:bottom w:w="65" w:type="dxa"/>
              <w:right w:w="65" w:type="dxa"/>
            </w:tcMar>
          </w:tcPr>
          <w:p>
            <w:pPr>
              <w:pStyle w:val="TableText"/>
              <w:keepNext w:val="0"/>
              <w:widowControl/>
              <w:jc w:val="left"/>
            </w:pPr>
            <w:r>
              <w:rPr>
                <w:b w:val="0"/>
                <w:sz w:val="18"/>
              </w:rPr>
              <w:t>290/575</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8"/>
              </w:rPr>
              <w:t>BINF</w:t>
            </w:r>
          </w:p>
        </w:tc>
        <w:tc>
          <w:tcPr>
            <w:tcW w:type="dxa" w:w="1247"/>
            <w:vAlign w:val="center"/>
            <w:tcMar>
              <w:top w:w="65" w:type="dxa"/>
              <w:left w:w="65" w:type="dxa"/>
              <w:bottom w:w="65" w:type="dxa"/>
              <w:right w:w="65" w:type="dxa"/>
            </w:tcMar>
          </w:tcPr>
          <w:p>
            <w:pPr>
              <w:pStyle w:val="TableText"/>
              <w:keepNext w:val="0"/>
              <w:widowControl/>
              <w:jc w:val="left"/>
            </w:pPr>
            <w:r>
              <w:rPr>
                <w:b w:val="0"/>
                <w:sz w:val="18"/>
              </w:rPr>
              <w:t>C4R</w:t>
            </w:r>
          </w:p>
        </w:tc>
        <w:tc>
          <w:tcPr>
            <w:tcW w:type="dxa" w:w="1984"/>
            <w:vAlign w:val="center"/>
            <w:tcMar>
              <w:top w:w="65" w:type="dxa"/>
              <w:left w:w="65" w:type="dxa"/>
              <w:bottom w:w="65" w:type="dxa"/>
              <w:right w:w="65" w:type="dxa"/>
            </w:tcMar>
          </w:tcPr>
          <w:p>
            <w:pPr>
              <w:pStyle w:val="TableText"/>
              <w:keepNext w:val="0"/>
              <w:widowControl/>
              <w:jc w:val="left"/>
            </w:pPr>
            <w:r>
              <w:rPr>
                <w:b w:val="0"/>
                <w:sz w:val="18"/>
              </w:rPr>
              <w:t>543/575</w:t>
            </w:r>
          </w:p>
        </w:tc>
        <w:tc>
          <w:tcPr>
            <w:tcW w:type="dxa" w:w="1757"/>
            <w:vAlign w:val="center"/>
            <w:tcMar>
              <w:top w:w="65" w:type="dxa"/>
              <w:left w:w="65" w:type="dxa"/>
              <w:bottom w:w="65" w:type="dxa"/>
              <w:right w:w="65" w:type="dxa"/>
            </w:tcMar>
          </w:tcPr>
          <w:p>
            <w:pPr>
              <w:pStyle w:val="TableText"/>
              <w:keepNext w:val="0"/>
              <w:widowControl/>
              <w:jc w:val="left"/>
            </w:pPr>
            <w:r>
              <w:rPr>
                <w:b w:val="0"/>
                <w:sz w:val="18"/>
              </w:rPr>
              <w:t>94.4%</w:t>
            </w:r>
          </w:p>
        </w:tc>
        <w:tc>
          <w:tcPr>
            <w:tcW w:type="dxa" w:w="2154"/>
            <w:vAlign w:val="center"/>
            <w:tcMar>
              <w:top w:w="65" w:type="dxa"/>
              <w:left w:w="65" w:type="dxa"/>
              <w:bottom w:w="65" w:type="dxa"/>
              <w:right w:w="65" w:type="dxa"/>
            </w:tcMar>
          </w:tcPr>
          <w:p>
            <w:pPr>
              <w:pStyle w:val="TableText"/>
              <w:keepNext w:val="0"/>
              <w:widowControl/>
              <w:jc w:val="left"/>
            </w:pPr>
            <w:r>
              <w:rPr>
                <w:b w:val="0"/>
                <w:sz w:val="18"/>
              </w:rPr>
              <w:t>485/575</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8"/>
              </w:rPr>
              <w:t>BINF</w:t>
            </w:r>
          </w:p>
        </w:tc>
        <w:tc>
          <w:tcPr>
            <w:tcW w:type="dxa" w:w="1247"/>
            <w:vAlign w:val="center"/>
            <w:tcMar>
              <w:top w:w="65" w:type="dxa"/>
              <w:left w:w="65" w:type="dxa"/>
              <w:bottom w:w="65" w:type="dxa"/>
              <w:right w:w="65" w:type="dxa"/>
            </w:tcMar>
          </w:tcPr>
          <w:p>
            <w:pPr>
              <w:pStyle w:val="TableText"/>
              <w:keepNext w:val="0"/>
              <w:widowControl/>
              <w:jc w:val="left"/>
            </w:pPr>
            <w:r>
              <w:rPr>
                <w:b w:val="0"/>
                <w:sz w:val="18"/>
              </w:rPr>
              <w:t>C5</w:t>
            </w:r>
          </w:p>
        </w:tc>
        <w:tc>
          <w:tcPr>
            <w:tcW w:type="dxa" w:w="1984"/>
            <w:vAlign w:val="center"/>
            <w:tcMar>
              <w:top w:w="65" w:type="dxa"/>
              <w:left w:w="65" w:type="dxa"/>
              <w:bottom w:w="65" w:type="dxa"/>
              <w:right w:w="65" w:type="dxa"/>
            </w:tcMar>
          </w:tcPr>
          <w:p>
            <w:pPr>
              <w:pStyle w:val="TableText"/>
              <w:keepNext w:val="0"/>
              <w:widowControl/>
              <w:jc w:val="left"/>
            </w:pPr>
            <w:r>
              <w:rPr>
                <w:b w:val="0"/>
                <w:sz w:val="18"/>
              </w:rPr>
              <w:t>510/575</w:t>
            </w:r>
          </w:p>
        </w:tc>
        <w:tc>
          <w:tcPr>
            <w:tcW w:type="dxa" w:w="1757"/>
            <w:vAlign w:val="center"/>
            <w:tcMar>
              <w:top w:w="65" w:type="dxa"/>
              <w:left w:w="65" w:type="dxa"/>
              <w:bottom w:w="65" w:type="dxa"/>
              <w:right w:w="65" w:type="dxa"/>
            </w:tcMar>
          </w:tcPr>
          <w:p>
            <w:pPr>
              <w:pStyle w:val="TableText"/>
              <w:keepNext w:val="0"/>
              <w:widowControl/>
              <w:jc w:val="left"/>
            </w:pPr>
            <w:r>
              <w:rPr>
                <w:b w:val="0"/>
                <w:sz w:val="18"/>
              </w:rPr>
              <w:t>88.7%</w:t>
            </w:r>
          </w:p>
        </w:tc>
        <w:tc>
          <w:tcPr>
            <w:tcW w:type="dxa" w:w="2154"/>
            <w:vAlign w:val="center"/>
            <w:tcMar>
              <w:top w:w="65" w:type="dxa"/>
              <w:left w:w="65" w:type="dxa"/>
              <w:bottom w:w="65" w:type="dxa"/>
              <w:right w:w="65" w:type="dxa"/>
            </w:tcMar>
          </w:tcPr>
          <w:p>
            <w:pPr>
              <w:pStyle w:val="TableText"/>
              <w:keepNext w:val="0"/>
              <w:widowControl/>
              <w:jc w:val="left"/>
            </w:pPr>
            <w:r>
              <w:rPr>
                <w:b w:val="0"/>
                <w:sz w:val="18"/>
              </w:rPr>
              <w:t>462/575</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8"/>
              </w:rPr>
              <w:t>BINF</w:t>
            </w:r>
          </w:p>
        </w:tc>
        <w:tc>
          <w:tcPr>
            <w:tcW w:type="dxa" w:w="1247"/>
            <w:vAlign w:val="center"/>
            <w:tcMar>
              <w:top w:w="65" w:type="dxa"/>
              <w:left w:w="65" w:type="dxa"/>
              <w:bottom w:w="65" w:type="dxa"/>
              <w:right w:w="65" w:type="dxa"/>
            </w:tcMar>
          </w:tcPr>
          <w:p>
            <w:pPr>
              <w:pStyle w:val="TableText"/>
              <w:keepNext w:val="0"/>
              <w:widowControl/>
              <w:jc w:val="left"/>
            </w:pPr>
            <w:r>
              <w:rPr>
                <w:b w:val="0"/>
                <w:sz w:val="18"/>
              </w:rPr>
              <w:t>C6-E</w:t>
            </w:r>
          </w:p>
        </w:tc>
        <w:tc>
          <w:tcPr>
            <w:tcW w:type="dxa" w:w="1984"/>
            <w:vAlign w:val="center"/>
            <w:tcMar>
              <w:top w:w="65" w:type="dxa"/>
              <w:left w:w="65" w:type="dxa"/>
              <w:bottom w:w="65" w:type="dxa"/>
              <w:right w:w="65" w:type="dxa"/>
            </w:tcMar>
          </w:tcPr>
          <w:p>
            <w:pPr>
              <w:pStyle w:val="TableText"/>
              <w:keepNext w:val="0"/>
              <w:widowControl/>
              <w:jc w:val="left"/>
            </w:pPr>
            <w:r>
              <w:rPr>
                <w:b w:val="0"/>
                <w:sz w:val="18"/>
              </w:rPr>
              <w:t>503/575</w:t>
            </w:r>
          </w:p>
        </w:tc>
        <w:tc>
          <w:tcPr>
            <w:tcW w:type="dxa" w:w="1757"/>
            <w:vAlign w:val="center"/>
            <w:tcMar>
              <w:top w:w="65" w:type="dxa"/>
              <w:left w:w="65" w:type="dxa"/>
              <w:bottom w:w="65" w:type="dxa"/>
              <w:right w:w="65" w:type="dxa"/>
            </w:tcMar>
          </w:tcPr>
          <w:p>
            <w:pPr>
              <w:pStyle w:val="TableText"/>
              <w:keepNext w:val="0"/>
              <w:widowControl/>
              <w:jc w:val="left"/>
            </w:pPr>
            <w:r>
              <w:rPr>
                <w:b w:val="0"/>
                <w:sz w:val="18"/>
              </w:rPr>
              <w:t>87.5%</w:t>
            </w:r>
          </w:p>
        </w:tc>
        <w:tc>
          <w:tcPr>
            <w:tcW w:type="dxa" w:w="2154"/>
            <w:vAlign w:val="center"/>
            <w:tcMar>
              <w:top w:w="65" w:type="dxa"/>
              <w:left w:w="65" w:type="dxa"/>
              <w:bottom w:w="65" w:type="dxa"/>
              <w:right w:w="65" w:type="dxa"/>
            </w:tcMar>
          </w:tcPr>
          <w:p>
            <w:pPr>
              <w:pStyle w:val="TableText"/>
              <w:keepNext w:val="0"/>
              <w:widowControl/>
              <w:jc w:val="left"/>
            </w:pPr>
            <w:r>
              <w:rPr>
                <w:b w:val="0"/>
                <w:sz w:val="18"/>
              </w:rPr>
              <w:t>408/575</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8"/>
              </w:rPr>
              <w:t>BINF</w:t>
            </w:r>
          </w:p>
        </w:tc>
        <w:tc>
          <w:tcPr>
            <w:tcW w:type="dxa" w:w="1247"/>
            <w:vAlign w:val="center"/>
            <w:tcMar>
              <w:top w:w="65" w:type="dxa"/>
              <w:left w:w="65" w:type="dxa"/>
              <w:bottom w:w="65" w:type="dxa"/>
              <w:right w:w="65" w:type="dxa"/>
            </w:tcMar>
          </w:tcPr>
          <w:p>
            <w:pPr>
              <w:pStyle w:val="TableText"/>
              <w:keepNext w:val="0"/>
              <w:widowControl/>
              <w:jc w:val="left"/>
            </w:pPr>
            <w:r>
              <w:rPr>
                <w:b w:val="0"/>
                <w:sz w:val="18"/>
              </w:rPr>
              <w:t>C6-EX</w:t>
            </w:r>
          </w:p>
        </w:tc>
        <w:tc>
          <w:tcPr>
            <w:tcW w:type="dxa" w:w="1984"/>
            <w:vAlign w:val="center"/>
            <w:tcMar>
              <w:top w:w="65" w:type="dxa"/>
              <w:left w:w="65" w:type="dxa"/>
              <w:bottom w:w="65" w:type="dxa"/>
              <w:right w:w="65" w:type="dxa"/>
            </w:tcMar>
          </w:tcPr>
          <w:p>
            <w:pPr>
              <w:pStyle w:val="TableText"/>
              <w:keepNext w:val="0"/>
              <w:widowControl/>
              <w:jc w:val="left"/>
            </w:pPr>
            <w:r>
              <w:rPr>
                <w:b w:val="0"/>
                <w:sz w:val="18"/>
              </w:rPr>
              <w:t>505/575</w:t>
            </w:r>
          </w:p>
        </w:tc>
        <w:tc>
          <w:tcPr>
            <w:tcW w:type="dxa" w:w="1757"/>
            <w:vAlign w:val="center"/>
            <w:tcMar>
              <w:top w:w="65" w:type="dxa"/>
              <w:left w:w="65" w:type="dxa"/>
              <w:bottom w:w="65" w:type="dxa"/>
              <w:right w:w="65" w:type="dxa"/>
            </w:tcMar>
          </w:tcPr>
          <w:p>
            <w:pPr>
              <w:pStyle w:val="TableText"/>
              <w:keepNext w:val="0"/>
              <w:widowControl/>
              <w:jc w:val="left"/>
            </w:pPr>
            <w:r>
              <w:rPr>
                <w:b w:val="0"/>
                <w:sz w:val="18"/>
              </w:rPr>
              <w:t>87.8%</w:t>
            </w:r>
          </w:p>
        </w:tc>
        <w:tc>
          <w:tcPr>
            <w:tcW w:type="dxa" w:w="2154"/>
            <w:vAlign w:val="center"/>
            <w:tcMar>
              <w:top w:w="65" w:type="dxa"/>
              <w:left w:w="65" w:type="dxa"/>
              <w:bottom w:w="65" w:type="dxa"/>
              <w:right w:w="65" w:type="dxa"/>
            </w:tcMar>
          </w:tcPr>
          <w:p>
            <w:pPr>
              <w:pStyle w:val="TableText"/>
              <w:keepNext w:val="0"/>
              <w:widowControl/>
              <w:jc w:val="left"/>
            </w:pPr>
            <w:r>
              <w:rPr>
                <w:b w:val="0"/>
                <w:sz w:val="18"/>
              </w:rPr>
              <w:t>402/575</w:t>
            </w:r>
          </w:p>
        </w:tc>
      </w:tr>
    </w:tbl>
    <w:p>
      <w:pPr>
        <w:pStyle w:val="SourceNote"/>
        <w:widowControl/>
      </w:pPr>
      <w:r>
        <w:t>자료: Run1 canonical action-usability와 원 요청 outcome의 full-response/schema audit를 같은 셀에서 연결. 모든 분모는 575이며 두 검사는 같은 지표가 아니다.</w:t>
      </w:r>
    </w:p>
    <w:p>
      <w:pPr>
        <w:widowControl/>
      </w:pPr>
      <w:r>
        <w:t>B1 C4에서 Gemini의 행동 수용률은 15.3%, GPT는 44.3%였다. Gemini는 BINF에서 대부분의 행동이 수용되는 반면 B1에서는 수용률이 크게 낮아졌고, GPT도 BINF보다 B1에서 낮았다. 같은 프롬프트 구조라도 총 행동강도 제약을 지켜야 하는 조건이 출력의 사용 가능성을 크게 바꾼 것이다. 이를 과거 raw L1 실험의 약 98~99% 준수율과 직접 비교해서 모델이 갑자기 퇴보했다고 설명하지 않는다. 행동 의미론과 정규화 예산 및 parser가 달라졌기 때문이다.</w:t>
      </w:r>
    </w:p>
    <w:p>
      <w:pPr>
        <w:widowControl/>
      </w:pPr>
      <w:r>
        <w:t>또한 GPT의 B1 C4는 행동 수용 255건이지만 전체 schema 적합은 140건이다. 정책행동을 읽어 평가할 수 있는 응답과 진단·근거·설명을 모두 요구한 형태로 작성한 응답 사이에 차이가 있다. 따라서 하나의 usable 비율만으로 보고서 생성의 품질까지 평가해서는 안 된다. 반대로 설명 schema가 완전하지 않다는 이유로 이미 정의된 action mask를 사후에 바꿔 본실험을 다시 선택하지 않는다.</w:t>
      </w:r>
    </w:p>
    <w:p>
      <w:pPr>
        <w:widowControl/>
      </w:pPr>
      <w:r>
        <w:t>이 결과의 중심은 API가 응답을 전달하는 데 실패했다는 것이 아니라, 생성·출력·검증의 결합이 실행가능한 행동을 얼마나 자주 만들었는가이다. Strict ITT에서 이 차이는 A0 비중으로 이어지고 평균 정책가치를 낮출 수 있다. 따라서 다음 절의 평균값은 성공한 응답의 경제적 효과뿐 아니라 불용 응답의 운영상 결과까지 포함한다.</w:t>
      </w:r>
    </w:p>
    <w:p>
      <w:bookmarkStart w:id="106" w:name="head_84"/>
      <w:pPr>
        <w:pStyle w:val="2"/>
        <w:widowControl/>
      </w:pPr>
      <w:r>
        <w:t>5.2 Baseline Run1의 정책가치</w:t>
      </w:r>
      <w:bookmarkEnd w:id="106"/>
    </w:p>
    <w:p>
      <w:bookmarkStart w:id="107" w:name="head_85"/>
      <w:pPr>
        <w:pStyle w:val="3"/>
        <w:widowControl/>
      </w:pPr>
      <w:r>
        <w:t>5.2.1 전체 할당 기업의 A0 대비 가치</w:t>
      </w:r>
      <w:bookmarkEnd w:id="107"/>
    </w:p>
    <w:p>
      <w:bookmarkStart w:id="108" w:name="cap_23"/>
      <w:pPr>
        <w:pStyle w:val="af"/>
        <w:widowControl/>
      </w:pPr>
      <w:r>
        <w:t>표 5-3. Gemini 3.1 Flash-Lite Baseline Strict ITT 정책가치</w:t>
      </w:r>
      <w:bookmarkEnd w:id="108"/>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680"/>
        <w:gridCol w:w="964"/>
        <w:gridCol w:w="1701"/>
        <w:gridCol w:w="1531"/>
        <w:gridCol w:w="1531"/>
        <w:gridCol w:w="1531"/>
      </w:tblGrid>
      <w:tr>
        <w:trPr>
          <w:cantSplit/>
          <w:tblHeader/>
        </w:trPr>
        <w:tc>
          <w:tcPr>
            <w:tcW w:type="dxa" w:w="680"/>
            <w:vAlign w:val="center"/>
            <w:shd w:fill="F1F1F1"/>
            <w:tcMar>
              <w:top w:w="65" w:type="dxa"/>
              <w:left w:w="65" w:type="dxa"/>
              <w:bottom w:w="65" w:type="dxa"/>
              <w:right w:w="65" w:type="dxa"/>
            </w:tcMar>
          </w:tcPr>
          <w:p>
            <w:pPr>
              <w:pStyle w:val="TableText"/>
              <w:keepNext/>
              <w:widowControl/>
              <w:jc w:val="center"/>
            </w:pPr>
            <w:r>
              <w:rPr>
                <w:b/>
                <w:sz w:val="17"/>
              </w:rPr>
              <w:t>예산</w:t>
            </w:r>
          </w:p>
        </w:tc>
        <w:tc>
          <w:tcPr>
            <w:tcW w:type="dxa" w:w="964"/>
            <w:vAlign w:val="center"/>
            <w:shd w:fill="F1F1F1"/>
            <w:tcMar>
              <w:top w:w="65" w:type="dxa"/>
              <w:left w:w="65" w:type="dxa"/>
              <w:bottom w:w="65" w:type="dxa"/>
              <w:right w:w="65" w:type="dxa"/>
            </w:tcMar>
          </w:tcPr>
          <w:p>
            <w:pPr>
              <w:pStyle w:val="TableText"/>
              <w:keepNext/>
              <w:widowControl/>
              <w:jc w:val="center"/>
            </w:pPr>
            <w:r>
              <w:rPr>
                <w:b/>
                <w:sz w:val="17"/>
              </w:rPr>
              <w:t>정책</w:t>
            </w:r>
          </w:p>
        </w:tc>
        <w:tc>
          <w:tcPr>
            <w:tcW w:type="dxa" w:w="1701"/>
            <w:vAlign w:val="center"/>
            <w:shd w:fill="F1F1F1"/>
            <w:tcMar>
              <w:top w:w="65" w:type="dxa"/>
              <w:left w:w="65" w:type="dxa"/>
              <w:bottom w:w="65" w:type="dxa"/>
              <w:right w:w="65" w:type="dxa"/>
            </w:tcMar>
          </w:tcPr>
          <w:p>
            <w:pPr>
              <w:pStyle w:val="TableText"/>
              <w:keepNext/>
              <w:widowControl/>
              <w:jc w:val="center"/>
            </w:pPr>
            <w:r>
              <w:rPr>
                <w:b/>
                <w:sz w:val="17"/>
              </w:rPr>
              <w:t>α 절대평점</w:t>
            </w:r>
          </w:p>
        </w:tc>
        <w:tc>
          <w:tcPr>
            <w:tcW w:type="dxa" w:w="1531"/>
            <w:vAlign w:val="center"/>
            <w:shd w:fill="F1F1F1"/>
            <w:tcMar>
              <w:top w:w="65" w:type="dxa"/>
              <w:left w:w="65" w:type="dxa"/>
              <w:bottom w:w="65" w:type="dxa"/>
              <w:right w:w="65" w:type="dxa"/>
            </w:tcMar>
          </w:tcPr>
          <w:p>
            <w:pPr>
              <w:pStyle w:val="TableText"/>
              <w:keepNext/>
              <w:widowControl/>
              <w:jc w:val="center"/>
            </w:pPr>
            <w:r>
              <w:rPr>
                <w:b/>
                <w:sz w:val="17"/>
              </w:rPr>
              <w:t>ΔA0 (α)</w:t>
            </w:r>
          </w:p>
        </w:tc>
        <w:tc>
          <w:tcPr>
            <w:tcW w:type="dxa" w:w="1531"/>
            <w:vAlign w:val="center"/>
            <w:shd w:fill="F1F1F1"/>
            <w:tcMar>
              <w:top w:w="65" w:type="dxa"/>
              <w:left w:w="65" w:type="dxa"/>
              <w:bottom w:w="65" w:type="dxa"/>
              <w:right w:w="65" w:type="dxa"/>
            </w:tcMar>
          </w:tcPr>
          <w:p>
            <w:pPr>
              <w:pStyle w:val="TableText"/>
              <w:keepNext/>
              <w:widowControl/>
              <w:jc w:val="center"/>
            </w:pPr>
            <w:r>
              <w:rPr>
                <w:b/>
                <w:sz w:val="17"/>
              </w:rPr>
              <w:t>ΔA0 (β)</w:t>
            </w:r>
          </w:p>
        </w:tc>
        <w:tc>
          <w:tcPr>
            <w:tcW w:type="dxa" w:w="1531"/>
            <w:vAlign w:val="center"/>
            <w:shd w:fill="F1F1F1"/>
            <w:tcMar>
              <w:top w:w="65" w:type="dxa"/>
              <w:left w:w="65" w:type="dxa"/>
              <w:bottom w:w="65" w:type="dxa"/>
              <w:right w:w="65" w:type="dxa"/>
            </w:tcMar>
          </w:tcPr>
          <w:p>
            <w:pPr>
              <w:pStyle w:val="TableText"/>
              <w:keepNext/>
              <w:widowControl/>
              <w:jc w:val="center"/>
            </w:pPr>
            <w:r>
              <w:rPr>
                <w:b/>
                <w:sz w:val="17"/>
              </w:rPr>
              <w:t>ΔA0 (γ)</w:t>
            </w:r>
          </w:p>
        </w:tc>
      </w:tr>
      <w:tr>
        <w:trPr>
          <w:cantSplit/>
        </w:trPr>
        <w:tc>
          <w:tcPr>
            <w:tcW w:type="dxa" w:w="680"/>
            <w:vAlign w:val="center"/>
            <w:tcMar>
              <w:top w:w="65" w:type="dxa"/>
              <w:left w:w="65" w:type="dxa"/>
              <w:bottom w:w="65" w:type="dxa"/>
              <w:right w:w="65" w:type="dxa"/>
            </w:tcMar>
          </w:tcPr>
          <w:p>
            <w:pPr>
              <w:pStyle w:val="TableText"/>
              <w:keepNext/>
              <w:widowControl/>
              <w:jc w:val="left"/>
            </w:pPr>
            <w:r>
              <w:rPr>
                <w:b w:val="0"/>
                <w:sz w:val="17"/>
              </w:rPr>
              <w:t>B1</w:t>
            </w:r>
          </w:p>
        </w:tc>
        <w:tc>
          <w:tcPr>
            <w:tcW w:type="dxa" w:w="964"/>
            <w:vAlign w:val="center"/>
            <w:tcMar>
              <w:top w:w="65" w:type="dxa"/>
              <w:left w:w="65" w:type="dxa"/>
              <w:bottom w:w="65" w:type="dxa"/>
              <w:right w:w="65" w:type="dxa"/>
            </w:tcMar>
          </w:tcPr>
          <w:p>
            <w:pPr>
              <w:pStyle w:val="TableText"/>
              <w:keepNext/>
              <w:widowControl/>
              <w:jc w:val="left"/>
            </w:pPr>
            <w:r>
              <w:rPr>
                <w:b w:val="0"/>
                <w:sz w:val="17"/>
              </w:rPr>
              <w:t>C4</w:t>
            </w:r>
          </w:p>
        </w:tc>
        <w:tc>
          <w:tcPr>
            <w:tcW w:type="dxa" w:w="1701"/>
            <w:vAlign w:val="center"/>
            <w:tcMar>
              <w:top w:w="65" w:type="dxa"/>
              <w:left w:w="65" w:type="dxa"/>
              <w:bottom w:w="65" w:type="dxa"/>
              <w:right w:w="65" w:type="dxa"/>
            </w:tcMar>
          </w:tcPr>
          <w:p>
            <w:pPr>
              <w:pStyle w:val="TableText"/>
              <w:keepNext/>
              <w:widowControl/>
              <w:jc w:val="left"/>
            </w:pPr>
            <w:r>
              <w:rPr>
                <w:b w:val="0"/>
                <w:sz w:val="17"/>
              </w:rPr>
              <w:t>55.1837</w:t>
            </w:r>
          </w:p>
        </w:tc>
        <w:tc>
          <w:tcPr>
            <w:tcW w:type="dxa" w:w="1531"/>
            <w:vAlign w:val="center"/>
            <w:tcMar>
              <w:top w:w="65" w:type="dxa"/>
              <w:left w:w="65" w:type="dxa"/>
              <w:bottom w:w="65" w:type="dxa"/>
              <w:right w:w="65" w:type="dxa"/>
            </w:tcMar>
          </w:tcPr>
          <w:p>
            <w:pPr>
              <w:pStyle w:val="TableText"/>
              <w:keepNext/>
              <w:widowControl/>
              <w:jc w:val="left"/>
            </w:pPr>
            <w:r>
              <w:rPr>
                <w:b w:val="0"/>
                <w:sz w:val="17"/>
              </w:rPr>
              <w:t>+0.1470</w:t>
            </w:r>
          </w:p>
        </w:tc>
        <w:tc>
          <w:tcPr>
            <w:tcW w:type="dxa" w:w="1531"/>
            <w:vAlign w:val="center"/>
            <w:tcMar>
              <w:top w:w="65" w:type="dxa"/>
              <w:left w:w="65" w:type="dxa"/>
              <w:bottom w:w="65" w:type="dxa"/>
              <w:right w:w="65" w:type="dxa"/>
            </w:tcMar>
          </w:tcPr>
          <w:p>
            <w:pPr>
              <w:pStyle w:val="TableText"/>
              <w:keepNext/>
              <w:widowControl/>
              <w:jc w:val="left"/>
            </w:pPr>
            <w:r>
              <w:rPr>
                <w:b w:val="0"/>
                <w:sz w:val="17"/>
              </w:rPr>
              <w:t>+0.0162</w:t>
            </w:r>
          </w:p>
        </w:tc>
        <w:tc>
          <w:tcPr>
            <w:tcW w:type="dxa" w:w="1531"/>
            <w:vAlign w:val="center"/>
            <w:tcMar>
              <w:top w:w="65" w:type="dxa"/>
              <w:left w:w="65" w:type="dxa"/>
              <w:bottom w:w="65" w:type="dxa"/>
              <w:right w:w="65" w:type="dxa"/>
            </w:tcMar>
          </w:tcPr>
          <w:p>
            <w:pPr>
              <w:pStyle w:val="TableText"/>
              <w:keepNext/>
              <w:widowControl/>
              <w:jc w:val="left"/>
            </w:pPr>
            <w:r>
              <w:rPr>
                <w:b w:val="0"/>
                <w:sz w:val="17"/>
              </w:rPr>
              <w:t>+0.0373</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7"/>
              </w:rPr>
              <w:t>B1</w:t>
            </w:r>
          </w:p>
        </w:tc>
        <w:tc>
          <w:tcPr>
            <w:tcW w:type="dxa" w:w="964"/>
            <w:vAlign w:val="center"/>
            <w:tcMar>
              <w:top w:w="65" w:type="dxa"/>
              <w:left w:w="65" w:type="dxa"/>
              <w:bottom w:w="65" w:type="dxa"/>
              <w:right w:w="65" w:type="dxa"/>
            </w:tcMar>
          </w:tcPr>
          <w:p>
            <w:pPr>
              <w:pStyle w:val="TableText"/>
              <w:keepNext w:val="0"/>
              <w:widowControl/>
              <w:jc w:val="left"/>
            </w:pPr>
            <w:r>
              <w:rPr>
                <w:b w:val="0"/>
                <w:sz w:val="17"/>
              </w:rPr>
              <w:t>C4R</w:t>
            </w:r>
          </w:p>
        </w:tc>
        <w:tc>
          <w:tcPr>
            <w:tcW w:type="dxa" w:w="1701"/>
            <w:vAlign w:val="center"/>
            <w:tcMar>
              <w:top w:w="65" w:type="dxa"/>
              <w:left w:w="65" w:type="dxa"/>
              <w:bottom w:w="65" w:type="dxa"/>
              <w:right w:w="65" w:type="dxa"/>
            </w:tcMar>
          </w:tcPr>
          <w:p>
            <w:pPr>
              <w:pStyle w:val="TableText"/>
              <w:keepNext w:val="0"/>
              <w:widowControl/>
              <w:jc w:val="left"/>
            </w:pPr>
            <w:r>
              <w:rPr>
                <w:b w:val="0"/>
                <w:sz w:val="17"/>
              </w:rPr>
              <w:t>55.1814</w:t>
            </w:r>
          </w:p>
        </w:tc>
        <w:tc>
          <w:tcPr>
            <w:tcW w:type="dxa" w:w="1531"/>
            <w:vAlign w:val="center"/>
            <w:tcMar>
              <w:top w:w="65" w:type="dxa"/>
              <w:left w:w="65" w:type="dxa"/>
              <w:bottom w:w="65" w:type="dxa"/>
              <w:right w:w="65" w:type="dxa"/>
            </w:tcMar>
          </w:tcPr>
          <w:p>
            <w:pPr>
              <w:pStyle w:val="TableText"/>
              <w:keepNext w:val="0"/>
              <w:widowControl/>
              <w:jc w:val="left"/>
            </w:pPr>
            <w:r>
              <w:rPr>
                <w:b w:val="0"/>
                <w:sz w:val="17"/>
              </w:rPr>
              <w:t>+0.1447</w:t>
            </w:r>
          </w:p>
        </w:tc>
        <w:tc>
          <w:tcPr>
            <w:tcW w:type="dxa" w:w="1531"/>
            <w:vAlign w:val="center"/>
            <w:tcMar>
              <w:top w:w="65" w:type="dxa"/>
              <w:left w:w="65" w:type="dxa"/>
              <w:bottom w:w="65" w:type="dxa"/>
              <w:right w:w="65" w:type="dxa"/>
            </w:tcMar>
          </w:tcPr>
          <w:p>
            <w:pPr>
              <w:pStyle w:val="TableText"/>
              <w:keepNext w:val="0"/>
              <w:widowControl/>
              <w:jc w:val="left"/>
            </w:pPr>
            <w:r>
              <w:rPr>
                <w:b w:val="0"/>
                <w:sz w:val="17"/>
              </w:rPr>
              <w:t>+0.0154</w:t>
            </w:r>
          </w:p>
        </w:tc>
        <w:tc>
          <w:tcPr>
            <w:tcW w:type="dxa" w:w="1531"/>
            <w:vAlign w:val="center"/>
            <w:tcMar>
              <w:top w:w="65" w:type="dxa"/>
              <w:left w:w="65" w:type="dxa"/>
              <w:bottom w:w="65" w:type="dxa"/>
              <w:right w:w="65" w:type="dxa"/>
            </w:tcMar>
          </w:tcPr>
          <w:p>
            <w:pPr>
              <w:pStyle w:val="TableText"/>
              <w:keepNext w:val="0"/>
              <w:widowControl/>
              <w:jc w:val="left"/>
            </w:pPr>
            <w:r>
              <w:rPr>
                <w:b w:val="0"/>
                <w:sz w:val="17"/>
              </w:rPr>
              <w:t>+0.0298</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7"/>
              </w:rPr>
              <w:t>B1</w:t>
            </w:r>
          </w:p>
        </w:tc>
        <w:tc>
          <w:tcPr>
            <w:tcW w:type="dxa" w:w="964"/>
            <w:vAlign w:val="center"/>
            <w:tcMar>
              <w:top w:w="65" w:type="dxa"/>
              <w:left w:w="65" w:type="dxa"/>
              <w:bottom w:w="65" w:type="dxa"/>
              <w:right w:w="65" w:type="dxa"/>
            </w:tcMar>
          </w:tcPr>
          <w:p>
            <w:pPr>
              <w:pStyle w:val="TableText"/>
              <w:keepNext w:val="0"/>
              <w:widowControl/>
              <w:jc w:val="left"/>
            </w:pPr>
            <w:r>
              <w:rPr>
                <w:b w:val="0"/>
                <w:sz w:val="17"/>
              </w:rPr>
              <w:t>C5</w:t>
            </w:r>
          </w:p>
        </w:tc>
        <w:tc>
          <w:tcPr>
            <w:tcW w:type="dxa" w:w="1701"/>
            <w:vAlign w:val="center"/>
            <w:tcMar>
              <w:top w:w="65" w:type="dxa"/>
              <w:left w:w="65" w:type="dxa"/>
              <w:bottom w:w="65" w:type="dxa"/>
              <w:right w:w="65" w:type="dxa"/>
            </w:tcMar>
          </w:tcPr>
          <w:p>
            <w:pPr>
              <w:pStyle w:val="TableText"/>
              <w:keepNext w:val="0"/>
              <w:widowControl/>
              <w:jc w:val="left"/>
            </w:pPr>
            <w:r>
              <w:rPr>
                <w:b w:val="0"/>
                <w:sz w:val="17"/>
              </w:rPr>
              <w:t>55.2989</w:t>
            </w:r>
          </w:p>
        </w:tc>
        <w:tc>
          <w:tcPr>
            <w:tcW w:type="dxa" w:w="1531"/>
            <w:vAlign w:val="center"/>
            <w:tcMar>
              <w:top w:w="65" w:type="dxa"/>
              <w:left w:w="65" w:type="dxa"/>
              <w:bottom w:w="65" w:type="dxa"/>
              <w:right w:w="65" w:type="dxa"/>
            </w:tcMar>
          </w:tcPr>
          <w:p>
            <w:pPr>
              <w:pStyle w:val="TableText"/>
              <w:keepNext w:val="0"/>
              <w:widowControl/>
              <w:jc w:val="left"/>
            </w:pPr>
            <w:r>
              <w:rPr>
                <w:b w:val="0"/>
                <w:sz w:val="17"/>
              </w:rPr>
              <w:t>+0.2623</w:t>
            </w:r>
          </w:p>
        </w:tc>
        <w:tc>
          <w:tcPr>
            <w:tcW w:type="dxa" w:w="1531"/>
            <w:vAlign w:val="center"/>
            <w:tcMar>
              <w:top w:w="65" w:type="dxa"/>
              <w:left w:w="65" w:type="dxa"/>
              <w:bottom w:w="65" w:type="dxa"/>
              <w:right w:w="65" w:type="dxa"/>
            </w:tcMar>
          </w:tcPr>
          <w:p>
            <w:pPr>
              <w:pStyle w:val="TableText"/>
              <w:keepNext w:val="0"/>
              <w:widowControl/>
              <w:jc w:val="left"/>
            </w:pPr>
            <w:r>
              <w:rPr>
                <w:b w:val="0"/>
                <w:sz w:val="17"/>
              </w:rPr>
              <w:t>+0.0280</w:t>
            </w:r>
          </w:p>
        </w:tc>
        <w:tc>
          <w:tcPr>
            <w:tcW w:type="dxa" w:w="1531"/>
            <w:vAlign w:val="center"/>
            <w:tcMar>
              <w:top w:w="65" w:type="dxa"/>
              <w:left w:w="65" w:type="dxa"/>
              <w:bottom w:w="65" w:type="dxa"/>
              <w:right w:w="65" w:type="dxa"/>
            </w:tcMar>
          </w:tcPr>
          <w:p>
            <w:pPr>
              <w:pStyle w:val="TableText"/>
              <w:keepNext w:val="0"/>
              <w:widowControl/>
              <w:jc w:val="left"/>
            </w:pPr>
            <w:r>
              <w:rPr>
                <w:b w:val="0"/>
                <w:sz w:val="17"/>
              </w:rPr>
              <w:t>+0.0694</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7"/>
              </w:rPr>
              <w:t>B1</w:t>
            </w:r>
          </w:p>
        </w:tc>
        <w:tc>
          <w:tcPr>
            <w:tcW w:type="dxa" w:w="964"/>
            <w:vAlign w:val="center"/>
            <w:tcMar>
              <w:top w:w="65" w:type="dxa"/>
              <w:left w:w="65" w:type="dxa"/>
              <w:bottom w:w="65" w:type="dxa"/>
              <w:right w:w="65" w:type="dxa"/>
            </w:tcMar>
          </w:tcPr>
          <w:p>
            <w:pPr>
              <w:pStyle w:val="TableText"/>
              <w:keepNext w:val="0"/>
              <w:widowControl/>
              <w:jc w:val="left"/>
            </w:pPr>
            <w:r>
              <w:rPr>
                <w:b w:val="0"/>
                <w:sz w:val="17"/>
              </w:rPr>
              <w:t>C6-E</w:t>
            </w:r>
          </w:p>
        </w:tc>
        <w:tc>
          <w:tcPr>
            <w:tcW w:type="dxa" w:w="1701"/>
            <w:vAlign w:val="center"/>
            <w:tcMar>
              <w:top w:w="65" w:type="dxa"/>
              <w:left w:w="65" w:type="dxa"/>
              <w:bottom w:w="65" w:type="dxa"/>
              <w:right w:w="65" w:type="dxa"/>
            </w:tcMar>
          </w:tcPr>
          <w:p>
            <w:pPr>
              <w:pStyle w:val="TableText"/>
              <w:keepNext w:val="0"/>
              <w:widowControl/>
              <w:jc w:val="left"/>
            </w:pPr>
            <w:r>
              <w:rPr>
                <w:b w:val="0"/>
                <w:sz w:val="17"/>
              </w:rPr>
              <w:t>55.2034</w:t>
            </w:r>
          </w:p>
        </w:tc>
        <w:tc>
          <w:tcPr>
            <w:tcW w:type="dxa" w:w="1531"/>
            <w:vAlign w:val="center"/>
            <w:tcMar>
              <w:top w:w="65" w:type="dxa"/>
              <w:left w:w="65" w:type="dxa"/>
              <w:bottom w:w="65" w:type="dxa"/>
              <w:right w:w="65" w:type="dxa"/>
            </w:tcMar>
          </w:tcPr>
          <w:p>
            <w:pPr>
              <w:pStyle w:val="TableText"/>
              <w:keepNext w:val="0"/>
              <w:widowControl/>
              <w:jc w:val="left"/>
            </w:pPr>
            <w:r>
              <w:rPr>
                <w:b w:val="0"/>
                <w:sz w:val="17"/>
              </w:rPr>
              <w:t>+0.1667</w:t>
            </w:r>
          </w:p>
        </w:tc>
        <w:tc>
          <w:tcPr>
            <w:tcW w:type="dxa" w:w="1531"/>
            <w:vAlign w:val="center"/>
            <w:tcMar>
              <w:top w:w="65" w:type="dxa"/>
              <w:left w:w="65" w:type="dxa"/>
              <w:bottom w:w="65" w:type="dxa"/>
              <w:right w:w="65" w:type="dxa"/>
            </w:tcMar>
          </w:tcPr>
          <w:p>
            <w:pPr>
              <w:pStyle w:val="TableText"/>
              <w:keepNext w:val="0"/>
              <w:widowControl/>
              <w:jc w:val="left"/>
            </w:pPr>
            <w:r>
              <w:rPr>
                <w:b w:val="0"/>
                <w:sz w:val="17"/>
              </w:rPr>
              <w:t>+0.0233</w:t>
            </w:r>
          </w:p>
        </w:tc>
        <w:tc>
          <w:tcPr>
            <w:tcW w:type="dxa" w:w="1531"/>
            <w:vAlign w:val="center"/>
            <w:tcMar>
              <w:top w:w="65" w:type="dxa"/>
              <w:left w:w="65" w:type="dxa"/>
              <w:bottom w:w="65" w:type="dxa"/>
              <w:right w:w="65" w:type="dxa"/>
            </w:tcMar>
          </w:tcPr>
          <w:p>
            <w:pPr>
              <w:pStyle w:val="TableText"/>
              <w:keepNext w:val="0"/>
              <w:widowControl/>
              <w:jc w:val="left"/>
            </w:pPr>
            <w:r>
              <w:rPr>
                <w:b w:val="0"/>
                <w:sz w:val="17"/>
              </w:rPr>
              <w:t>+0.0388</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7"/>
              </w:rPr>
              <w:t>B1</w:t>
            </w:r>
          </w:p>
        </w:tc>
        <w:tc>
          <w:tcPr>
            <w:tcW w:type="dxa" w:w="964"/>
            <w:vAlign w:val="center"/>
            <w:tcMar>
              <w:top w:w="65" w:type="dxa"/>
              <w:left w:w="65" w:type="dxa"/>
              <w:bottom w:w="65" w:type="dxa"/>
              <w:right w:w="65" w:type="dxa"/>
            </w:tcMar>
          </w:tcPr>
          <w:p>
            <w:pPr>
              <w:pStyle w:val="TableText"/>
              <w:keepNext w:val="0"/>
              <w:widowControl/>
              <w:jc w:val="left"/>
            </w:pPr>
            <w:r>
              <w:rPr>
                <w:b w:val="0"/>
                <w:sz w:val="17"/>
              </w:rPr>
              <w:t>C6-EX</w:t>
            </w:r>
          </w:p>
        </w:tc>
        <w:tc>
          <w:tcPr>
            <w:tcW w:type="dxa" w:w="1701"/>
            <w:vAlign w:val="center"/>
            <w:tcMar>
              <w:top w:w="65" w:type="dxa"/>
              <w:left w:w="65" w:type="dxa"/>
              <w:bottom w:w="65" w:type="dxa"/>
              <w:right w:w="65" w:type="dxa"/>
            </w:tcMar>
          </w:tcPr>
          <w:p>
            <w:pPr>
              <w:pStyle w:val="TableText"/>
              <w:keepNext w:val="0"/>
              <w:widowControl/>
              <w:jc w:val="left"/>
            </w:pPr>
            <w:r>
              <w:rPr>
                <w:b w:val="0"/>
                <w:sz w:val="17"/>
              </w:rPr>
              <w:t>55.1581</w:t>
            </w:r>
          </w:p>
        </w:tc>
        <w:tc>
          <w:tcPr>
            <w:tcW w:type="dxa" w:w="1531"/>
            <w:vAlign w:val="center"/>
            <w:tcMar>
              <w:top w:w="65" w:type="dxa"/>
              <w:left w:w="65" w:type="dxa"/>
              <w:bottom w:w="65" w:type="dxa"/>
              <w:right w:w="65" w:type="dxa"/>
            </w:tcMar>
          </w:tcPr>
          <w:p>
            <w:pPr>
              <w:pStyle w:val="TableText"/>
              <w:keepNext w:val="0"/>
              <w:widowControl/>
              <w:jc w:val="left"/>
            </w:pPr>
            <w:r>
              <w:rPr>
                <w:b w:val="0"/>
                <w:sz w:val="17"/>
              </w:rPr>
              <w:t>+0.1215</w:t>
            </w:r>
          </w:p>
        </w:tc>
        <w:tc>
          <w:tcPr>
            <w:tcW w:type="dxa" w:w="1531"/>
            <w:vAlign w:val="center"/>
            <w:tcMar>
              <w:top w:w="65" w:type="dxa"/>
              <w:left w:w="65" w:type="dxa"/>
              <w:bottom w:w="65" w:type="dxa"/>
              <w:right w:w="65" w:type="dxa"/>
            </w:tcMar>
          </w:tcPr>
          <w:p>
            <w:pPr>
              <w:pStyle w:val="TableText"/>
              <w:keepNext w:val="0"/>
              <w:widowControl/>
              <w:jc w:val="left"/>
            </w:pPr>
            <w:r>
              <w:rPr>
                <w:b w:val="0"/>
                <w:sz w:val="17"/>
              </w:rPr>
              <w:t>+0.0119</w:t>
            </w:r>
          </w:p>
        </w:tc>
        <w:tc>
          <w:tcPr>
            <w:tcW w:type="dxa" w:w="1531"/>
            <w:vAlign w:val="center"/>
            <w:tcMar>
              <w:top w:w="65" w:type="dxa"/>
              <w:left w:w="65" w:type="dxa"/>
              <w:bottom w:w="65" w:type="dxa"/>
              <w:right w:w="65" w:type="dxa"/>
            </w:tcMar>
          </w:tcPr>
          <w:p>
            <w:pPr>
              <w:pStyle w:val="TableText"/>
              <w:keepNext w:val="0"/>
              <w:widowControl/>
              <w:jc w:val="left"/>
            </w:pPr>
            <w:r>
              <w:rPr>
                <w:b w:val="0"/>
                <w:sz w:val="17"/>
              </w:rPr>
              <w:t>+0.0274</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7"/>
              </w:rPr>
              <w:t>BINF</w:t>
            </w:r>
          </w:p>
        </w:tc>
        <w:tc>
          <w:tcPr>
            <w:tcW w:type="dxa" w:w="964"/>
            <w:vAlign w:val="center"/>
            <w:tcMar>
              <w:top w:w="65" w:type="dxa"/>
              <w:left w:w="65" w:type="dxa"/>
              <w:bottom w:w="65" w:type="dxa"/>
              <w:right w:w="65" w:type="dxa"/>
            </w:tcMar>
          </w:tcPr>
          <w:p>
            <w:pPr>
              <w:pStyle w:val="TableText"/>
              <w:keepNext w:val="0"/>
              <w:widowControl/>
              <w:jc w:val="left"/>
            </w:pPr>
            <w:r>
              <w:rPr>
                <w:b w:val="0"/>
                <w:sz w:val="17"/>
              </w:rPr>
              <w:t>C4</w:t>
            </w:r>
          </w:p>
        </w:tc>
        <w:tc>
          <w:tcPr>
            <w:tcW w:type="dxa" w:w="1701"/>
            <w:vAlign w:val="center"/>
            <w:tcMar>
              <w:top w:w="65" w:type="dxa"/>
              <w:left w:w="65" w:type="dxa"/>
              <w:bottom w:w="65" w:type="dxa"/>
              <w:right w:w="65" w:type="dxa"/>
            </w:tcMar>
          </w:tcPr>
          <w:p>
            <w:pPr>
              <w:pStyle w:val="TableText"/>
              <w:keepNext w:val="0"/>
              <w:widowControl/>
              <w:jc w:val="left"/>
            </w:pPr>
            <w:r>
              <w:rPr>
                <w:b w:val="0"/>
                <w:sz w:val="17"/>
              </w:rPr>
              <w:t>56.5185</w:t>
            </w:r>
          </w:p>
        </w:tc>
        <w:tc>
          <w:tcPr>
            <w:tcW w:type="dxa" w:w="1531"/>
            <w:vAlign w:val="center"/>
            <w:tcMar>
              <w:top w:w="65" w:type="dxa"/>
              <w:left w:w="65" w:type="dxa"/>
              <w:bottom w:w="65" w:type="dxa"/>
              <w:right w:w="65" w:type="dxa"/>
            </w:tcMar>
          </w:tcPr>
          <w:p>
            <w:pPr>
              <w:pStyle w:val="TableText"/>
              <w:keepNext w:val="0"/>
              <w:widowControl/>
              <w:jc w:val="left"/>
            </w:pPr>
            <w:r>
              <w:rPr>
                <w:b w:val="0"/>
                <w:sz w:val="17"/>
              </w:rPr>
              <w:t>+1.4818</w:t>
            </w:r>
          </w:p>
        </w:tc>
        <w:tc>
          <w:tcPr>
            <w:tcW w:type="dxa" w:w="1531"/>
            <w:vAlign w:val="center"/>
            <w:tcMar>
              <w:top w:w="65" w:type="dxa"/>
              <w:left w:w="65" w:type="dxa"/>
              <w:bottom w:w="65" w:type="dxa"/>
              <w:right w:w="65" w:type="dxa"/>
            </w:tcMar>
          </w:tcPr>
          <w:p>
            <w:pPr>
              <w:pStyle w:val="TableText"/>
              <w:keepNext w:val="0"/>
              <w:widowControl/>
              <w:jc w:val="left"/>
            </w:pPr>
            <w:r>
              <w:rPr>
                <w:b w:val="0"/>
                <w:sz w:val="17"/>
              </w:rPr>
              <w:t>+0.3265</w:t>
            </w:r>
          </w:p>
        </w:tc>
        <w:tc>
          <w:tcPr>
            <w:tcW w:type="dxa" w:w="1531"/>
            <w:vAlign w:val="center"/>
            <w:tcMar>
              <w:top w:w="65" w:type="dxa"/>
              <w:left w:w="65" w:type="dxa"/>
              <w:bottom w:w="65" w:type="dxa"/>
              <w:right w:w="65" w:type="dxa"/>
            </w:tcMar>
          </w:tcPr>
          <w:p>
            <w:pPr>
              <w:pStyle w:val="TableText"/>
              <w:keepNext w:val="0"/>
              <w:widowControl/>
              <w:jc w:val="left"/>
            </w:pPr>
            <w:r>
              <w:rPr>
                <w:b w:val="0"/>
                <w:sz w:val="17"/>
              </w:rPr>
              <w:t>+0.3197</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7"/>
              </w:rPr>
              <w:t>BINF</w:t>
            </w:r>
          </w:p>
        </w:tc>
        <w:tc>
          <w:tcPr>
            <w:tcW w:type="dxa" w:w="964"/>
            <w:vAlign w:val="center"/>
            <w:tcMar>
              <w:top w:w="65" w:type="dxa"/>
              <w:left w:w="65" w:type="dxa"/>
              <w:bottom w:w="65" w:type="dxa"/>
              <w:right w:w="65" w:type="dxa"/>
            </w:tcMar>
          </w:tcPr>
          <w:p>
            <w:pPr>
              <w:pStyle w:val="TableText"/>
              <w:keepNext w:val="0"/>
              <w:widowControl/>
              <w:jc w:val="left"/>
            </w:pPr>
            <w:r>
              <w:rPr>
                <w:b w:val="0"/>
                <w:sz w:val="17"/>
              </w:rPr>
              <w:t>C4R</w:t>
            </w:r>
          </w:p>
        </w:tc>
        <w:tc>
          <w:tcPr>
            <w:tcW w:type="dxa" w:w="1701"/>
            <w:vAlign w:val="center"/>
            <w:tcMar>
              <w:top w:w="65" w:type="dxa"/>
              <w:left w:w="65" w:type="dxa"/>
              <w:bottom w:w="65" w:type="dxa"/>
              <w:right w:w="65" w:type="dxa"/>
            </w:tcMar>
          </w:tcPr>
          <w:p>
            <w:pPr>
              <w:pStyle w:val="TableText"/>
              <w:keepNext w:val="0"/>
              <w:widowControl/>
              <w:jc w:val="left"/>
            </w:pPr>
            <w:r>
              <w:rPr>
                <w:b w:val="0"/>
                <w:sz w:val="17"/>
              </w:rPr>
              <w:t>56.6612</w:t>
            </w:r>
          </w:p>
        </w:tc>
        <w:tc>
          <w:tcPr>
            <w:tcW w:type="dxa" w:w="1531"/>
            <w:vAlign w:val="center"/>
            <w:tcMar>
              <w:top w:w="65" w:type="dxa"/>
              <w:left w:w="65" w:type="dxa"/>
              <w:bottom w:w="65" w:type="dxa"/>
              <w:right w:w="65" w:type="dxa"/>
            </w:tcMar>
          </w:tcPr>
          <w:p>
            <w:pPr>
              <w:pStyle w:val="TableText"/>
              <w:keepNext w:val="0"/>
              <w:widowControl/>
              <w:jc w:val="left"/>
            </w:pPr>
            <w:r>
              <w:rPr>
                <w:b w:val="0"/>
                <w:sz w:val="17"/>
              </w:rPr>
              <w:t>+1.6245</w:t>
            </w:r>
          </w:p>
        </w:tc>
        <w:tc>
          <w:tcPr>
            <w:tcW w:type="dxa" w:w="1531"/>
            <w:vAlign w:val="center"/>
            <w:tcMar>
              <w:top w:w="65" w:type="dxa"/>
              <w:left w:w="65" w:type="dxa"/>
              <w:bottom w:w="65" w:type="dxa"/>
              <w:right w:w="65" w:type="dxa"/>
            </w:tcMar>
          </w:tcPr>
          <w:p>
            <w:pPr>
              <w:pStyle w:val="TableText"/>
              <w:keepNext w:val="0"/>
              <w:widowControl/>
              <w:jc w:val="left"/>
            </w:pPr>
            <w:r>
              <w:rPr>
                <w:b w:val="0"/>
                <w:sz w:val="17"/>
              </w:rPr>
              <w:t>+0.3454</w:t>
            </w:r>
          </w:p>
        </w:tc>
        <w:tc>
          <w:tcPr>
            <w:tcW w:type="dxa" w:w="1531"/>
            <w:vAlign w:val="center"/>
            <w:tcMar>
              <w:top w:w="65" w:type="dxa"/>
              <w:left w:w="65" w:type="dxa"/>
              <w:bottom w:w="65" w:type="dxa"/>
              <w:right w:w="65" w:type="dxa"/>
            </w:tcMar>
          </w:tcPr>
          <w:p>
            <w:pPr>
              <w:pStyle w:val="TableText"/>
              <w:keepNext w:val="0"/>
              <w:widowControl/>
              <w:jc w:val="left"/>
            </w:pPr>
            <w:r>
              <w:rPr>
                <w:b w:val="0"/>
                <w:sz w:val="17"/>
              </w:rPr>
              <w:t>+0.3488</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7"/>
              </w:rPr>
              <w:t>BINF</w:t>
            </w:r>
          </w:p>
        </w:tc>
        <w:tc>
          <w:tcPr>
            <w:tcW w:type="dxa" w:w="964"/>
            <w:vAlign w:val="center"/>
            <w:tcMar>
              <w:top w:w="65" w:type="dxa"/>
              <w:left w:w="65" w:type="dxa"/>
              <w:bottom w:w="65" w:type="dxa"/>
              <w:right w:w="65" w:type="dxa"/>
            </w:tcMar>
          </w:tcPr>
          <w:p>
            <w:pPr>
              <w:pStyle w:val="TableText"/>
              <w:keepNext w:val="0"/>
              <w:widowControl/>
              <w:jc w:val="left"/>
            </w:pPr>
            <w:r>
              <w:rPr>
                <w:b w:val="0"/>
                <w:sz w:val="17"/>
              </w:rPr>
              <w:t>C5</w:t>
            </w:r>
          </w:p>
        </w:tc>
        <w:tc>
          <w:tcPr>
            <w:tcW w:type="dxa" w:w="1701"/>
            <w:vAlign w:val="center"/>
            <w:tcMar>
              <w:top w:w="65" w:type="dxa"/>
              <w:left w:w="65" w:type="dxa"/>
              <w:bottom w:w="65" w:type="dxa"/>
              <w:right w:w="65" w:type="dxa"/>
            </w:tcMar>
          </w:tcPr>
          <w:p>
            <w:pPr>
              <w:pStyle w:val="TableText"/>
              <w:keepNext w:val="0"/>
              <w:widowControl/>
              <w:jc w:val="left"/>
            </w:pPr>
            <w:r>
              <w:rPr>
                <w:b w:val="0"/>
                <w:sz w:val="17"/>
              </w:rPr>
              <w:t>56.4470</w:t>
            </w:r>
          </w:p>
        </w:tc>
        <w:tc>
          <w:tcPr>
            <w:tcW w:type="dxa" w:w="1531"/>
            <w:vAlign w:val="center"/>
            <w:tcMar>
              <w:top w:w="65" w:type="dxa"/>
              <w:left w:w="65" w:type="dxa"/>
              <w:bottom w:w="65" w:type="dxa"/>
              <w:right w:w="65" w:type="dxa"/>
            </w:tcMar>
          </w:tcPr>
          <w:p>
            <w:pPr>
              <w:pStyle w:val="TableText"/>
              <w:keepNext w:val="0"/>
              <w:widowControl/>
              <w:jc w:val="left"/>
            </w:pPr>
            <w:r>
              <w:rPr>
                <w:b w:val="0"/>
                <w:sz w:val="17"/>
              </w:rPr>
              <w:t>+1.4104</w:t>
            </w:r>
          </w:p>
        </w:tc>
        <w:tc>
          <w:tcPr>
            <w:tcW w:type="dxa" w:w="1531"/>
            <w:vAlign w:val="center"/>
            <w:tcMar>
              <w:top w:w="65" w:type="dxa"/>
              <w:left w:w="65" w:type="dxa"/>
              <w:bottom w:w="65" w:type="dxa"/>
              <w:right w:w="65" w:type="dxa"/>
            </w:tcMar>
          </w:tcPr>
          <w:p>
            <w:pPr>
              <w:pStyle w:val="TableText"/>
              <w:keepNext w:val="0"/>
              <w:widowControl/>
              <w:jc w:val="left"/>
            </w:pPr>
            <w:r>
              <w:rPr>
                <w:b w:val="0"/>
                <w:sz w:val="17"/>
              </w:rPr>
              <w:t>+0.3168</w:t>
            </w:r>
          </w:p>
        </w:tc>
        <w:tc>
          <w:tcPr>
            <w:tcW w:type="dxa" w:w="1531"/>
            <w:vAlign w:val="center"/>
            <w:tcMar>
              <w:top w:w="65" w:type="dxa"/>
              <w:left w:w="65" w:type="dxa"/>
              <w:bottom w:w="65" w:type="dxa"/>
              <w:right w:w="65" w:type="dxa"/>
            </w:tcMar>
          </w:tcPr>
          <w:p>
            <w:pPr>
              <w:pStyle w:val="TableText"/>
              <w:keepNext w:val="0"/>
              <w:widowControl/>
              <w:jc w:val="left"/>
            </w:pPr>
            <w:r>
              <w:rPr>
                <w:b w:val="0"/>
                <w:sz w:val="17"/>
              </w:rPr>
              <w:t>+0.3162</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7"/>
              </w:rPr>
              <w:t>BINF</w:t>
            </w:r>
          </w:p>
        </w:tc>
        <w:tc>
          <w:tcPr>
            <w:tcW w:type="dxa" w:w="964"/>
            <w:vAlign w:val="center"/>
            <w:tcMar>
              <w:top w:w="65" w:type="dxa"/>
              <w:left w:w="65" w:type="dxa"/>
              <w:bottom w:w="65" w:type="dxa"/>
              <w:right w:w="65" w:type="dxa"/>
            </w:tcMar>
          </w:tcPr>
          <w:p>
            <w:pPr>
              <w:pStyle w:val="TableText"/>
              <w:keepNext w:val="0"/>
              <w:widowControl/>
              <w:jc w:val="left"/>
            </w:pPr>
            <w:r>
              <w:rPr>
                <w:b w:val="0"/>
                <w:sz w:val="17"/>
              </w:rPr>
              <w:t>C6-E</w:t>
            </w:r>
          </w:p>
        </w:tc>
        <w:tc>
          <w:tcPr>
            <w:tcW w:type="dxa" w:w="1701"/>
            <w:vAlign w:val="center"/>
            <w:tcMar>
              <w:top w:w="65" w:type="dxa"/>
              <w:left w:w="65" w:type="dxa"/>
              <w:bottom w:w="65" w:type="dxa"/>
              <w:right w:w="65" w:type="dxa"/>
            </w:tcMar>
          </w:tcPr>
          <w:p>
            <w:pPr>
              <w:pStyle w:val="TableText"/>
              <w:keepNext w:val="0"/>
              <w:widowControl/>
              <w:jc w:val="left"/>
            </w:pPr>
            <w:r>
              <w:rPr>
                <w:b w:val="0"/>
                <w:sz w:val="17"/>
              </w:rPr>
              <w:t>56.6792</w:t>
            </w:r>
          </w:p>
        </w:tc>
        <w:tc>
          <w:tcPr>
            <w:tcW w:type="dxa" w:w="1531"/>
            <w:vAlign w:val="center"/>
            <w:tcMar>
              <w:top w:w="65" w:type="dxa"/>
              <w:left w:w="65" w:type="dxa"/>
              <w:bottom w:w="65" w:type="dxa"/>
              <w:right w:w="65" w:type="dxa"/>
            </w:tcMar>
          </w:tcPr>
          <w:p>
            <w:pPr>
              <w:pStyle w:val="TableText"/>
              <w:keepNext w:val="0"/>
              <w:widowControl/>
              <w:jc w:val="left"/>
            </w:pPr>
            <w:r>
              <w:rPr>
                <w:b w:val="0"/>
                <w:sz w:val="17"/>
              </w:rPr>
              <w:t>+1.6426</w:t>
            </w:r>
          </w:p>
        </w:tc>
        <w:tc>
          <w:tcPr>
            <w:tcW w:type="dxa" w:w="1531"/>
            <w:vAlign w:val="center"/>
            <w:tcMar>
              <w:top w:w="65" w:type="dxa"/>
              <w:left w:w="65" w:type="dxa"/>
              <w:bottom w:w="65" w:type="dxa"/>
              <w:right w:w="65" w:type="dxa"/>
            </w:tcMar>
          </w:tcPr>
          <w:p>
            <w:pPr>
              <w:pStyle w:val="TableText"/>
              <w:keepNext w:val="0"/>
              <w:widowControl/>
              <w:jc w:val="left"/>
            </w:pPr>
            <w:r>
              <w:rPr>
                <w:b w:val="0"/>
                <w:sz w:val="17"/>
              </w:rPr>
              <w:t>+0.3503</w:t>
            </w:r>
          </w:p>
        </w:tc>
        <w:tc>
          <w:tcPr>
            <w:tcW w:type="dxa" w:w="1531"/>
            <w:vAlign w:val="center"/>
            <w:tcMar>
              <w:top w:w="65" w:type="dxa"/>
              <w:left w:w="65" w:type="dxa"/>
              <w:bottom w:w="65" w:type="dxa"/>
              <w:right w:w="65" w:type="dxa"/>
            </w:tcMar>
          </w:tcPr>
          <w:p>
            <w:pPr>
              <w:pStyle w:val="TableText"/>
              <w:keepNext w:val="0"/>
              <w:widowControl/>
              <w:jc w:val="left"/>
            </w:pPr>
            <w:r>
              <w:rPr>
                <w:b w:val="0"/>
                <w:sz w:val="17"/>
              </w:rPr>
              <w:t>+0.3559</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7"/>
              </w:rPr>
              <w:t>BINF</w:t>
            </w:r>
          </w:p>
        </w:tc>
        <w:tc>
          <w:tcPr>
            <w:tcW w:type="dxa" w:w="964"/>
            <w:vAlign w:val="center"/>
            <w:tcMar>
              <w:top w:w="65" w:type="dxa"/>
              <w:left w:w="65" w:type="dxa"/>
              <w:bottom w:w="65" w:type="dxa"/>
              <w:right w:w="65" w:type="dxa"/>
            </w:tcMar>
          </w:tcPr>
          <w:p>
            <w:pPr>
              <w:pStyle w:val="TableText"/>
              <w:keepNext w:val="0"/>
              <w:widowControl/>
              <w:jc w:val="left"/>
            </w:pPr>
            <w:r>
              <w:rPr>
                <w:b w:val="0"/>
                <w:sz w:val="17"/>
              </w:rPr>
              <w:t>C6-EX</w:t>
            </w:r>
          </w:p>
        </w:tc>
        <w:tc>
          <w:tcPr>
            <w:tcW w:type="dxa" w:w="1701"/>
            <w:vAlign w:val="center"/>
            <w:tcMar>
              <w:top w:w="65" w:type="dxa"/>
              <w:left w:w="65" w:type="dxa"/>
              <w:bottom w:w="65" w:type="dxa"/>
              <w:right w:w="65" w:type="dxa"/>
            </w:tcMar>
          </w:tcPr>
          <w:p>
            <w:pPr>
              <w:pStyle w:val="TableText"/>
              <w:keepNext w:val="0"/>
              <w:widowControl/>
              <w:jc w:val="left"/>
            </w:pPr>
            <w:r>
              <w:rPr>
                <w:b w:val="0"/>
                <w:sz w:val="17"/>
              </w:rPr>
              <w:t>56.6216</w:t>
            </w:r>
          </w:p>
        </w:tc>
        <w:tc>
          <w:tcPr>
            <w:tcW w:type="dxa" w:w="1531"/>
            <w:vAlign w:val="center"/>
            <w:tcMar>
              <w:top w:w="65" w:type="dxa"/>
              <w:left w:w="65" w:type="dxa"/>
              <w:bottom w:w="65" w:type="dxa"/>
              <w:right w:w="65" w:type="dxa"/>
            </w:tcMar>
          </w:tcPr>
          <w:p>
            <w:pPr>
              <w:pStyle w:val="TableText"/>
              <w:keepNext w:val="0"/>
              <w:widowControl/>
              <w:jc w:val="left"/>
            </w:pPr>
            <w:r>
              <w:rPr>
                <w:b w:val="0"/>
                <w:sz w:val="17"/>
              </w:rPr>
              <w:t>+1.5850</w:t>
            </w:r>
          </w:p>
        </w:tc>
        <w:tc>
          <w:tcPr>
            <w:tcW w:type="dxa" w:w="1531"/>
            <w:vAlign w:val="center"/>
            <w:tcMar>
              <w:top w:w="65" w:type="dxa"/>
              <w:left w:w="65" w:type="dxa"/>
              <w:bottom w:w="65" w:type="dxa"/>
              <w:right w:w="65" w:type="dxa"/>
            </w:tcMar>
          </w:tcPr>
          <w:p>
            <w:pPr>
              <w:pStyle w:val="TableText"/>
              <w:keepNext w:val="0"/>
              <w:widowControl/>
              <w:jc w:val="left"/>
            </w:pPr>
            <w:r>
              <w:rPr>
                <w:b w:val="0"/>
                <w:sz w:val="17"/>
              </w:rPr>
              <w:t>+0.3366</w:t>
            </w:r>
          </w:p>
        </w:tc>
        <w:tc>
          <w:tcPr>
            <w:tcW w:type="dxa" w:w="1531"/>
            <w:vAlign w:val="center"/>
            <w:tcMar>
              <w:top w:w="65" w:type="dxa"/>
              <w:left w:w="65" w:type="dxa"/>
              <w:bottom w:w="65" w:type="dxa"/>
              <w:right w:w="65" w:type="dxa"/>
            </w:tcMar>
          </w:tcPr>
          <w:p>
            <w:pPr>
              <w:pStyle w:val="TableText"/>
              <w:keepNext w:val="0"/>
              <w:widowControl/>
              <w:jc w:val="left"/>
            </w:pPr>
            <w:r>
              <w:rPr>
                <w:b w:val="0"/>
                <w:sz w:val="17"/>
              </w:rPr>
              <w:t>+0.3461</w:t>
            </w:r>
          </w:p>
        </w:tc>
      </w:tr>
    </w:tbl>
    <w:p>
      <w:pPr>
        <w:pStyle w:val="SourceNote"/>
        <w:widowControl/>
      </w:pPr>
      <w:r>
        <w:t>자료: V4.3 최종 평가 패키지의 기업별 Stage9 ITT 기록을 재집계. Main Run1, IC-b, 기업 575개. 표본은 usable subset이 아니라 각 셀의 전체 575개 기업이다. 절대평점과 A0 대비 증분가치를 분리하였다.</w:t>
      </w:r>
    </w:p>
    <w:p>
      <w:bookmarkStart w:id="109" w:name="cap_24"/>
      <w:pPr>
        <w:pStyle w:val="af"/>
        <w:widowControl/>
      </w:pPr>
      <w:r>
        <w:t>표 5-4. GPT-5.4-mini Baseline Strict ITT 정책가치</w:t>
      </w:r>
      <w:bookmarkEnd w:id="109"/>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680"/>
        <w:gridCol w:w="964"/>
        <w:gridCol w:w="1701"/>
        <w:gridCol w:w="1531"/>
        <w:gridCol w:w="1531"/>
        <w:gridCol w:w="1531"/>
      </w:tblGrid>
      <w:tr>
        <w:trPr>
          <w:cantSplit/>
          <w:tblHeader/>
        </w:trPr>
        <w:tc>
          <w:tcPr>
            <w:tcW w:type="dxa" w:w="680"/>
            <w:vAlign w:val="center"/>
            <w:shd w:fill="F1F1F1"/>
            <w:tcMar>
              <w:top w:w="65" w:type="dxa"/>
              <w:left w:w="65" w:type="dxa"/>
              <w:bottom w:w="65" w:type="dxa"/>
              <w:right w:w="65" w:type="dxa"/>
            </w:tcMar>
          </w:tcPr>
          <w:p>
            <w:pPr>
              <w:pStyle w:val="TableText"/>
              <w:keepNext/>
              <w:widowControl/>
              <w:jc w:val="center"/>
            </w:pPr>
            <w:r>
              <w:rPr>
                <w:b/>
                <w:sz w:val="17"/>
              </w:rPr>
              <w:t>예산</w:t>
            </w:r>
          </w:p>
        </w:tc>
        <w:tc>
          <w:tcPr>
            <w:tcW w:type="dxa" w:w="964"/>
            <w:vAlign w:val="center"/>
            <w:shd w:fill="F1F1F1"/>
            <w:tcMar>
              <w:top w:w="65" w:type="dxa"/>
              <w:left w:w="65" w:type="dxa"/>
              <w:bottom w:w="65" w:type="dxa"/>
              <w:right w:w="65" w:type="dxa"/>
            </w:tcMar>
          </w:tcPr>
          <w:p>
            <w:pPr>
              <w:pStyle w:val="TableText"/>
              <w:keepNext/>
              <w:widowControl/>
              <w:jc w:val="center"/>
            </w:pPr>
            <w:r>
              <w:rPr>
                <w:b/>
                <w:sz w:val="17"/>
              </w:rPr>
              <w:t>정책</w:t>
            </w:r>
          </w:p>
        </w:tc>
        <w:tc>
          <w:tcPr>
            <w:tcW w:type="dxa" w:w="1701"/>
            <w:vAlign w:val="center"/>
            <w:shd w:fill="F1F1F1"/>
            <w:tcMar>
              <w:top w:w="65" w:type="dxa"/>
              <w:left w:w="65" w:type="dxa"/>
              <w:bottom w:w="65" w:type="dxa"/>
              <w:right w:w="65" w:type="dxa"/>
            </w:tcMar>
          </w:tcPr>
          <w:p>
            <w:pPr>
              <w:pStyle w:val="TableText"/>
              <w:keepNext/>
              <w:widowControl/>
              <w:jc w:val="center"/>
            </w:pPr>
            <w:r>
              <w:rPr>
                <w:b/>
                <w:sz w:val="17"/>
              </w:rPr>
              <w:t>α 절대평점</w:t>
            </w:r>
          </w:p>
        </w:tc>
        <w:tc>
          <w:tcPr>
            <w:tcW w:type="dxa" w:w="1531"/>
            <w:vAlign w:val="center"/>
            <w:shd w:fill="F1F1F1"/>
            <w:tcMar>
              <w:top w:w="65" w:type="dxa"/>
              <w:left w:w="65" w:type="dxa"/>
              <w:bottom w:w="65" w:type="dxa"/>
              <w:right w:w="65" w:type="dxa"/>
            </w:tcMar>
          </w:tcPr>
          <w:p>
            <w:pPr>
              <w:pStyle w:val="TableText"/>
              <w:keepNext/>
              <w:widowControl/>
              <w:jc w:val="center"/>
            </w:pPr>
            <w:r>
              <w:rPr>
                <w:b/>
                <w:sz w:val="17"/>
              </w:rPr>
              <w:t>ΔA0 (α)</w:t>
            </w:r>
          </w:p>
        </w:tc>
        <w:tc>
          <w:tcPr>
            <w:tcW w:type="dxa" w:w="1531"/>
            <w:vAlign w:val="center"/>
            <w:shd w:fill="F1F1F1"/>
            <w:tcMar>
              <w:top w:w="65" w:type="dxa"/>
              <w:left w:w="65" w:type="dxa"/>
              <w:bottom w:w="65" w:type="dxa"/>
              <w:right w:w="65" w:type="dxa"/>
            </w:tcMar>
          </w:tcPr>
          <w:p>
            <w:pPr>
              <w:pStyle w:val="TableText"/>
              <w:keepNext/>
              <w:widowControl/>
              <w:jc w:val="center"/>
            </w:pPr>
            <w:r>
              <w:rPr>
                <w:b/>
                <w:sz w:val="17"/>
              </w:rPr>
              <w:t>ΔA0 (β)</w:t>
            </w:r>
          </w:p>
        </w:tc>
        <w:tc>
          <w:tcPr>
            <w:tcW w:type="dxa" w:w="1531"/>
            <w:vAlign w:val="center"/>
            <w:shd w:fill="F1F1F1"/>
            <w:tcMar>
              <w:top w:w="65" w:type="dxa"/>
              <w:left w:w="65" w:type="dxa"/>
              <w:bottom w:w="65" w:type="dxa"/>
              <w:right w:w="65" w:type="dxa"/>
            </w:tcMar>
          </w:tcPr>
          <w:p>
            <w:pPr>
              <w:pStyle w:val="TableText"/>
              <w:keepNext/>
              <w:widowControl/>
              <w:jc w:val="center"/>
            </w:pPr>
            <w:r>
              <w:rPr>
                <w:b/>
                <w:sz w:val="17"/>
              </w:rPr>
              <w:t>ΔA0 (γ)</w:t>
            </w:r>
          </w:p>
        </w:tc>
      </w:tr>
      <w:tr>
        <w:trPr>
          <w:cantSplit/>
        </w:trPr>
        <w:tc>
          <w:tcPr>
            <w:tcW w:type="dxa" w:w="680"/>
            <w:vAlign w:val="center"/>
            <w:tcMar>
              <w:top w:w="65" w:type="dxa"/>
              <w:left w:w="65" w:type="dxa"/>
              <w:bottom w:w="65" w:type="dxa"/>
              <w:right w:w="65" w:type="dxa"/>
            </w:tcMar>
          </w:tcPr>
          <w:p>
            <w:pPr>
              <w:pStyle w:val="TableText"/>
              <w:keepNext/>
              <w:widowControl/>
              <w:jc w:val="left"/>
            </w:pPr>
            <w:r>
              <w:rPr>
                <w:b w:val="0"/>
                <w:sz w:val="17"/>
              </w:rPr>
              <w:t>B1</w:t>
            </w:r>
          </w:p>
        </w:tc>
        <w:tc>
          <w:tcPr>
            <w:tcW w:type="dxa" w:w="964"/>
            <w:vAlign w:val="center"/>
            <w:tcMar>
              <w:top w:w="65" w:type="dxa"/>
              <w:left w:w="65" w:type="dxa"/>
              <w:bottom w:w="65" w:type="dxa"/>
              <w:right w:w="65" w:type="dxa"/>
            </w:tcMar>
          </w:tcPr>
          <w:p>
            <w:pPr>
              <w:pStyle w:val="TableText"/>
              <w:keepNext/>
              <w:widowControl/>
              <w:jc w:val="left"/>
            </w:pPr>
            <w:r>
              <w:rPr>
                <w:b w:val="0"/>
                <w:sz w:val="17"/>
              </w:rPr>
              <w:t>C4</w:t>
            </w:r>
          </w:p>
        </w:tc>
        <w:tc>
          <w:tcPr>
            <w:tcW w:type="dxa" w:w="1701"/>
            <w:vAlign w:val="center"/>
            <w:tcMar>
              <w:top w:w="65" w:type="dxa"/>
              <w:left w:w="65" w:type="dxa"/>
              <w:bottom w:w="65" w:type="dxa"/>
              <w:right w:w="65" w:type="dxa"/>
            </w:tcMar>
          </w:tcPr>
          <w:p>
            <w:pPr>
              <w:pStyle w:val="TableText"/>
              <w:keepNext/>
              <w:widowControl/>
              <w:jc w:val="left"/>
            </w:pPr>
            <w:r>
              <w:rPr>
                <w:b w:val="0"/>
                <w:sz w:val="17"/>
              </w:rPr>
              <w:t>55.3013</w:t>
            </w:r>
          </w:p>
        </w:tc>
        <w:tc>
          <w:tcPr>
            <w:tcW w:type="dxa" w:w="1531"/>
            <w:vAlign w:val="center"/>
            <w:tcMar>
              <w:top w:w="65" w:type="dxa"/>
              <w:left w:w="65" w:type="dxa"/>
              <w:bottom w:w="65" w:type="dxa"/>
              <w:right w:w="65" w:type="dxa"/>
            </w:tcMar>
          </w:tcPr>
          <w:p>
            <w:pPr>
              <w:pStyle w:val="TableText"/>
              <w:keepNext/>
              <w:widowControl/>
              <w:jc w:val="left"/>
            </w:pPr>
            <w:r>
              <w:rPr>
                <w:b w:val="0"/>
                <w:sz w:val="17"/>
              </w:rPr>
              <w:t>+0.2647</w:t>
            </w:r>
          </w:p>
        </w:tc>
        <w:tc>
          <w:tcPr>
            <w:tcW w:type="dxa" w:w="1531"/>
            <w:vAlign w:val="center"/>
            <w:tcMar>
              <w:top w:w="65" w:type="dxa"/>
              <w:left w:w="65" w:type="dxa"/>
              <w:bottom w:w="65" w:type="dxa"/>
              <w:right w:w="65" w:type="dxa"/>
            </w:tcMar>
          </w:tcPr>
          <w:p>
            <w:pPr>
              <w:pStyle w:val="TableText"/>
              <w:keepNext/>
              <w:widowControl/>
              <w:jc w:val="left"/>
            </w:pPr>
            <w:r>
              <w:rPr>
                <w:b w:val="0"/>
                <w:sz w:val="17"/>
              </w:rPr>
              <w:t>+0.0490</w:t>
            </w:r>
          </w:p>
        </w:tc>
        <w:tc>
          <w:tcPr>
            <w:tcW w:type="dxa" w:w="1531"/>
            <w:vAlign w:val="center"/>
            <w:tcMar>
              <w:top w:w="65" w:type="dxa"/>
              <w:left w:w="65" w:type="dxa"/>
              <w:bottom w:w="65" w:type="dxa"/>
              <w:right w:w="65" w:type="dxa"/>
            </w:tcMar>
          </w:tcPr>
          <w:p>
            <w:pPr>
              <w:pStyle w:val="TableText"/>
              <w:keepNext/>
              <w:widowControl/>
              <w:jc w:val="left"/>
            </w:pPr>
            <w:r>
              <w:rPr>
                <w:b w:val="0"/>
                <w:sz w:val="17"/>
              </w:rPr>
              <w:t>+0.0600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7"/>
              </w:rPr>
              <w:t>B1</w:t>
            </w:r>
          </w:p>
        </w:tc>
        <w:tc>
          <w:tcPr>
            <w:tcW w:type="dxa" w:w="964"/>
            <w:vAlign w:val="center"/>
            <w:tcMar>
              <w:top w:w="65" w:type="dxa"/>
              <w:left w:w="65" w:type="dxa"/>
              <w:bottom w:w="65" w:type="dxa"/>
              <w:right w:w="65" w:type="dxa"/>
            </w:tcMar>
          </w:tcPr>
          <w:p>
            <w:pPr>
              <w:pStyle w:val="TableText"/>
              <w:keepNext w:val="0"/>
              <w:widowControl/>
              <w:jc w:val="left"/>
            </w:pPr>
            <w:r>
              <w:rPr>
                <w:b w:val="0"/>
                <w:sz w:val="17"/>
              </w:rPr>
              <w:t>C4R</w:t>
            </w:r>
          </w:p>
        </w:tc>
        <w:tc>
          <w:tcPr>
            <w:tcW w:type="dxa" w:w="1701"/>
            <w:vAlign w:val="center"/>
            <w:tcMar>
              <w:top w:w="65" w:type="dxa"/>
              <w:left w:w="65" w:type="dxa"/>
              <w:bottom w:w="65" w:type="dxa"/>
              <w:right w:w="65" w:type="dxa"/>
            </w:tcMar>
          </w:tcPr>
          <w:p>
            <w:pPr>
              <w:pStyle w:val="TableText"/>
              <w:keepNext w:val="0"/>
              <w:widowControl/>
              <w:jc w:val="left"/>
            </w:pPr>
            <w:r>
              <w:rPr>
                <w:b w:val="0"/>
                <w:sz w:val="17"/>
              </w:rPr>
              <w:t>55.4706</w:t>
            </w:r>
          </w:p>
        </w:tc>
        <w:tc>
          <w:tcPr>
            <w:tcW w:type="dxa" w:w="1531"/>
            <w:vAlign w:val="center"/>
            <w:tcMar>
              <w:top w:w="65" w:type="dxa"/>
              <w:left w:w="65" w:type="dxa"/>
              <w:bottom w:w="65" w:type="dxa"/>
              <w:right w:w="65" w:type="dxa"/>
            </w:tcMar>
          </w:tcPr>
          <w:p>
            <w:pPr>
              <w:pStyle w:val="TableText"/>
              <w:keepNext w:val="0"/>
              <w:widowControl/>
              <w:jc w:val="left"/>
            </w:pPr>
            <w:r>
              <w:rPr>
                <w:b w:val="0"/>
                <w:sz w:val="17"/>
              </w:rPr>
              <w:t>+0.4339</w:t>
            </w:r>
          </w:p>
        </w:tc>
        <w:tc>
          <w:tcPr>
            <w:tcW w:type="dxa" w:w="1531"/>
            <w:vAlign w:val="center"/>
            <w:tcMar>
              <w:top w:w="65" w:type="dxa"/>
              <w:left w:w="65" w:type="dxa"/>
              <w:bottom w:w="65" w:type="dxa"/>
              <w:right w:w="65" w:type="dxa"/>
            </w:tcMar>
          </w:tcPr>
          <w:p>
            <w:pPr>
              <w:pStyle w:val="TableText"/>
              <w:keepNext w:val="0"/>
              <w:widowControl/>
              <w:jc w:val="left"/>
            </w:pPr>
            <w:r>
              <w:rPr>
                <w:b w:val="0"/>
                <w:sz w:val="17"/>
              </w:rPr>
              <w:t>+0.0704</w:t>
            </w:r>
          </w:p>
        </w:tc>
        <w:tc>
          <w:tcPr>
            <w:tcW w:type="dxa" w:w="1531"/>
            <w:vAlign w:val="center"/>
            <w:tcMar>
              <w:top w:w="65" w:type="dxa"/>
              <w:left w:w="65" w:type="dxa"/>
              <w:bottom w:w="65" w:type="dxa"/>
              <w:right w:w="65" w:type="dxa"/>
            </w:tcMar>
          </w:tcPr>
          <w:p>
            <w:pPr>
              <w:pStyle w:val="TableText"/>
              <w:keepNext w:val="0"/>
              <w:widowControl/>
              <w:jc w:val="left"/>
            </w:pPr>
            <w:r>
              <w:rPr>
                <w:b w:val="0"/>
                <w:sz w:val="17"/>
              </w:rPr>
              <w:t>+0.1077</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7"/>
              </w:rPr>
              <w:t>B1</w:t>
            </w:r>
          </w:p>
        </w:tc>
        <w:tc>
          <w:tcPr>
            <w:tcW w:type="dxa" w:w="964"/>
            <w:vAlign w:val="center"/>
            <w:tcMar>
              <w:top w:w="65" w:type="dxa"/>
              <w:left w:w="65" w:type="dxa"/>
              <w:bottom w:w="65" w:type="dxa"/>
              <w:right w:w="65" w:type="dxa"/>
            </w:tcMar>
          </w:tcPr>
          <w:p>
            <w:pPr>
              <w:pStyle w:val="TableText"/>
              <w:keepNext w:val="0"/>
              <w:widowControl/>
              <w:jc w:val="left"/>
            </w:pPr>
            <w:r>
              <w:rPr>
                <w:b w:val="0"/>
                <w:sz w:val="17"/>
              </w:rPr>
              <w:t>C5</w:t>
            </w:r>
          </w:p>
        </w:tc>
        <w:tc>
          <w:tcPr>
            <w:tcW w:type="dxa" w:w="1701"/>
            <w:vAlign w:val="center"/>
            <w:tcMar>
              <w:top w:w="65" w:type="dxa"/>
              <w:left w:w="65" w:type="dxa"/>
              <w:bottom w:w="65" w:type="dxa"/>
              <w:right w:w="65" w:type="dxa"/>
            </w:tcMar>
          </w:tcPr>
          <w:p>
            <w:pPr>
              <w:pStyle w:val="TableText"/>
              <w:keepNext w:val="0"/>
              <w:widowControl/>
              <w:jc w:val="left"/>
            </w:pPr>
            <w:r>
              <w:rPr>
                <w:b w:val="0"/>
                <w:sz w:val="17"/>
              </w:rPr>
              <w:t>55.4973</w:t>
            </w:r>
          </w:p>
        </w:tc>
        <w:tc>
          <w:tcPr>
            <w:tcW w:type="dxa" w:w="1531"/>
            <w:vAlign w:val="center"/>
            <w:tcMar>
              <w:top w:w="65" w:type="dxa"/>
              <w:left w:w="65" w:type="dxa"/>
              <w:bottom w:w="65" w:type="dxa"/>
              <w:right w:w="65" w:type="dxa"/>
            </w:tcMar>
          </w:tcPr>
          <w:p>
            <w:pPr>
              <w:pStyle w:val="TableText"/>
              <w:keepNext w:val="0"/>
              <w:widowControl/>
              <w:jc w:val="left"/>
            </w:pPr>
            <w:r>
              <w:rPr>
                <w:b w:val="0"/>
                <w:sz w:val="17"/>
              </w:rPr>
              <w:t>+0.4606</w:t>
            </w:r>
          </w:p>
        </w:tc>
        <w:tc>
          <w:tcPr>
            <w:tcW w:type="dxa" w:w="1531"/>
            <w:vAlign w:val="center"/>
            <w:tcMar>
              <w:top w:w="65" w:type="dxa"/>
              <w:left w:w="65" w:type="dxa"/>
              <w:bottom w:w="65" w:type="dxa"/>
              <w:right w:w="65" w:type="dxa"/>
            </w:tcMar>
          </w:tcPr>
          <w:p>
            <w:pPr>
              <w:pStyle w:val="TableText"/>
              <w:keepNext w:val="0"/>
              <w:widowControl/>
              <w:jc w:val="left"/>
            </w:pPr>
            <w:r>
              <w:rPr>
                <w:b w:val="0"/>
                <w:sz w:val="17"/>
              </w:rPr>
              <w:t>+0.0972</w:t>
            </w:r>
          </w:p>
        </w:tc>
        <w:tc>
          <w:tcPr>
            <w:tcW w:type="dxa" w:w="1531"/>
            <w:vAlign w:val="center"/>
            <w:tcMar>
              <w:top w:w="65" w:type="dxa"/>
              <w:left w:w="65" w:type="dxa"/>
              <w:bottom w:w="65" w:type="dxa"/>
              <w:right w:w="65" w:type="dxa"/>
            </w:tcMar>
          </w:tcPr>
          <w:p>
            <w:pPr>
              <w:pStyle w:val="TableText"/>
              <w:keepNext w:val="0"/>
              <w:widowControl/>
              <w:jc w:val="left"/>
            </w:pPr>
            <w:r>
              <w:rPr>
                <w:b w:val="0"/>
                <w:sz w:val="17"/>
              </w:rPr>
              <w:t>+0.1131</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7"/>
              </w:rPr>
              <w:t>B1</w:t>
            </w:r>
          </w:p>
        </w:tc>
        <w:tc>
          <w:tcPr>
            <w:tcW w:type="dxa" w:w="964"/>
            <w:vAlign w:val="center"/>
            <w:tcMar>
              <w:top w:w="65" w:type="dxa"/>
              <w:left w:w="65" w:type="dxa"/>
              <w:bottom w:w="65" w:type="dxa"/>
              <w:right w:w="65" w:type="dxa"/>
            </w:tcMar>
          </w:tcPr>
          <w:p>
            <w:pPr>
              <w:pStyle w:val="TableText"/>
              <w:keepNext w:val="0"/>
              <w:widowControl/>
              <w:jc w:val="left"/>
            </w:pPr>
            <w:r>
              <w:rPr>
                <w:b w:val="0"/>
                <w:sz w:val="17"/>
              </w:rPr>
              <w:t>C6-E</w:t>
            </w:r>
          </w:p>
        </w:tc>
        <w:tc>
          <w:tcPr>
            <w:tcW w:type="dxa" w:w="1701"/>
            <w:vAlign w:val="center"/>
            <w:tcMar>
              <w:top w:w="65" w:type="dxa"/>
              <w:left w:w="65" w:type="dxa"/>
              <w:bottom w:w="65" w:type="dxa"/>
              <w:right w:w="65" w:type="dxa"/>
            </w:tcMar>
          </w:tcPr>
          <w:p>
            <w:pPr>
              <w:pStyle w:val="TableText"/>
              <w:keepNext w:val="0"/>
              <w:widowControl/>
              <w:jc w:val="left"/>
            </w:pPr>
            <w:r>
              <w:rPr>
                <w:b w:val="0"/>
                <w:sz w:val="17"/>
              </w:rPr>
              <w:t>55.5081</w:t>
            </w:r>
          </w:p>
        </w:tc>
        <w:tc>
          <w:tcPr>
            <w:tcW w:type="dxa" w:w="1531"/>
            <w:vAlign w:val="center"/>
            <w:tcMar>
              <w:top w:w="65" w:type="dxa"/>
              <w:left w:w="65" w:type="dxa"/>
              <w:bottom w:w="65" w:type="dxa"/>
              <w:right w:w="65" w:type="dxa"/>
            </w:tcMar>
          </w:tcPr>
          <w:p>
            <w:pPr>
              <w:pStyle w:val="TableText"/>
              <w:keepNext w:val="0"/>
              <w:widowControl/>
              <w:jc w:val="left"/>
            </w:pPr>
            <w:r>
              <w:rPr>
                <w:b w:val="0"/>
                <w:sz w:val="17"/>
              </w:rPr>
              <w:t>+0.4714</w:t>
            </w:r>
          </w:p>
        </w:tc>
        <w:tc>
          <w:tcPr>
            <w:tcW w:type="dxa" w:w="1531"/>
            <w:vAlign w:val="center"/>
            <w:tcMar>
              <w:top w:w="65" w:type="dxa"/>
              <w:left w:w="65" w:type="dxa"/>
              <w:bottom w:w="65" w:type="dxa"/>
              <w:right w:w="65" w:type="dxa"/>
            </w:tcMar>
          </w:tcPr>
          <w:p>
            <w:pPr>
              <w:pStyle w:val="TableText"/>
              <w:keepNext w:val="0"/>
              <w:widowControl/>
              <w:jc w:val="left"/>
            </w:pPr>
            <w:r>
              <w:rPr>
                <w:b w:val="0"/>
                <w:sz w:val="17"/>
              </w:rPr>
              <w:t>+0.0928</w:t>
            </w:r>
          </w:p>
        </w:tc>
        <w:tc>
          <w:tcPr>
            <w:tcW w:type="dxa" w:w="1531"/>
            <w:vAlign w:val="center"/>
            <w:tcMar>
              <w:top w:w="65" w:type="dxa"/>
              <w:left w:w="65" w:type="dxa"/>
              <w:bottom w:w="65" w:type="dxa"/>
              <w:right w:w="65" w:type="dxa"/>
            </w:tcMar>
          </w:tcPr>
          <w:p>
            <w:pPr>
              <w:pStyle w:val="TableText"/>
              <w:keepNext w:val="0"/>
              <w:widowControl/>
              <w:jc w:val="left"/>
            </w:pPr>
            <w:r>
              <w:rPr>
                <w:b w:val="0"/>
                <w:sz w:val="17"/>
              </w:rPr>
              <w:t>+0.1192</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7"/>
              </w:rPr>
              <w:t>B1</w:t>
            </w:r>
          </w:p>
        </w:tc>
        <w:tc>
          <w:tcPr>
            <w:tcW w:type="dxa" w:w="964"/>
            <w:vAlign w:val="center"/>
            <w:tcMar>
              <w:top w:w="65" w:type="dxa"/>
              <w:left w:w="65" w:type="dxa"/>
              <w:bottom w:w="65" w:type="dxa"/>
              <w:right w:w="65" w:type="dxa"/>
            </w:tcMar>
          </w:tcPr>
          <w:p>
            <w:pPr>
              <w:pStyle w:val="TableText"/>
              <w:keepNext w:val="0"/>
              <w:widowControl/>
              <w:jc w:val="left"/>
            </w:pPr>
            <w:r>
              <w:rPr>
                <w:b w:val="0"/>
                <w:sz w:val="17"/>
              </w:rPr>
              <w:t>C6-EX</w:t>
            </w:r>
          </w:p>
        </w:tc>
        <w:tc>
          <w:tcPr>
            <w:tcW w:type="dxa" w:w="1701"/>
            <w:vAlign w:val="center"/>
            <w:tcMar>
              <w:top w:w="65" w:type="dxa"/>
              <w:left w:w="65" w:type="dxa"/>
              <w:bottom w:w="65" w:type="dxa"/>
              <w:right w:w="65" w:type="dxa"/>
            </w:tcMar>
          </w:tcPr>
          <w:p>
            <w:pPr>
              <w:pStyle w:val="TableText"/>
              <w:keepNext w:val="0"/>
              <w:widowControl/>
              <w:jc w:val="left"/>
            </w:pPr>
            <w:r>
              <w:rPr>
                <w:b w:val="0"/>
                <w:sz w:val="17"/>
              </w:rPr>
              <w:t>55.3339</w:t>
            </w:r>
          </w:p>
        </w:tc>
        <w:tc>
          <w:tcPr>
            <w:tcW w:type="dxa" w:w="1531"/>
            <w:vAlign w:val="center"/>
            <w:tcMar>
              <w:top w:w="65" w:type="dxa"/>
              <w:left w:w="65" w:type="dxa"/>
              <w:bottom w:w="65" w:type="dxa"/>
              <w:right w:w="65" w:type="dxa"/>
            </w:tcMar>
          </w:tcPr>
          <w:p>
            <w:pPr>
              <w:pStyle w:val="TableText"/>
              <w:keepNext w:val="0"/>
              <w:widowControl/>
              <w:jc w:val="left"/>
            </w:pPr>
            <w:r>
              <w:rPr>
                <w:b w:val="0"/>
                <w:sz w:val="17"/>
              </w:rPr>
              <w:t>+0.2973</w:t>
            </w:r>
          </w:p>
        </w:tc>
        <w:tc>
          <w:tcPr>
            <w:tcW w:type="dxa" w:w="1531"/>
            <w:vAlign w:val="center"/>
            <w:tcMar>
              <w:top w:w="65" w:type="dxa"/>
              <w:left w:w="65" w:type="dxa"/>
              <w:bottom w:w="65" w:type="dxa"/>
              <w:right w:w="65" w:type="dxa"/>
            </w:tcMar>
          </w:tcPr>
          <w:p>
            <w:pPr>
              <w:pStyle w:val="TableText"/>
              <w:keepNext w:val="0"/>
              <w:widowControl/>
              <w:jc w:val="left"/>
            </w:pPr>
            <w:r>
              <w:rPr>
                <w:b w:val="0"/>
                <w:sz w:val="17"/>
              </w:rPr>
              <w:t>+0.0714</w:t>
            </w:r>
          </w:p>
        </w:tc>
        <w:tc>
          <w:tcPr>
            <w:tcW w:type="dxa" w:w="1531"/>
            <w:vAlign w:val="center"/>
            <w:tcMar>
              <w:top w:w="65" w:type="dxa"/>
              <w:left w:w="65" w:type="dxa"/>
              <w:bottom w:w="65" w:type="dxa"/>
              <w:right w:w="65" w:type="dxa"/>
            </w:tcMar>
          </w:tcPr>
          <w:p>
            <w:pPr>
              <w:pStyle w:val="TableText"/>
              <w:keepNext w:val="0"/>
              <w:widowControl/>
              <w:jc w:val="left"/>
            </w:pPr>
            <w:r>
              <w:rPr>
                <w:b w:val="0"/>
                <w:sz w:val="17"/>
              </w:rPr>
              <w:t>+0.0792</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7"/>
              </w:rPr>
              <w:t>BINF</w:t>
            </w:r>
          </w:p>
        </w:tc>
        <w:tc>
          <w:tcPr>
            <w:tcW w:type="dxa" w:w="964"/>
            <w:vAlign w:val="center"/>
            <w:tcMar>
              <w:top w:w="65" w:type="dxa"/>
              <w:left w:w="65" w:type="dxa"/>
              <w:bottom w:w="65" w:type="dxa"/>
              <w:right w:w="65" w:type="dxa"/>
            </w:tcMar>
          </w:tcPr>
          <w:p>
            <w:pPr>
              <w:pStyle w:val="TableText"/>
              <w:keepNext w:val="0"/>
              <w:widowControl/>
              <w:jc w:val="left"/>
            </w:pPr>
            <w:r>
              <w:rPr>
                <w:b w:val="0"/>
                <w:sz w:val="17"/>
              </w:rPr>
              <w:t>C4</w:t>
            </w:r>
          </w:p>
        </w:tc>
        <w:tc>
          <w:tcPr>
            <w:tcW w:type="dxa" w:w="1701"/>
            <w:vAlign w:val="center"/>
            <w:tcMar>
              <w:top w:w="65" w:type="dxa"/>
              <w:left w:w="65" w:type="dxa"/>
              <w:bottom w:w="65" w:type="dxa"/>
              <w:right w:w="65" w:type="dxa"/>
            </w:tcMar>
          </w:tcPr>
          <w:p>
            <w:pPr>
              <w:pStyle w:val="TableText"/>
              <w:keepNext w:val="0"/>
              <w:widowControl/>
              <w:jc w:val="left"/>
            </w:pPr>
            <w:r>
              <w:rPr>
                <w:b w:val="0"/>
                <w:sz w:val="17"/>
              </w:rPr>
              <w:t>55.6313</w:t>
            </w:r>
          </w:p>
        </w:tc>
        <w:tc>
          <w:tcPr>
            <w:tcW w:type="dxa" w:w="1531"/>
            <w:vAlign w:val="center"/>
            <w:tcMar>
              <w:top w:w="65" w:type="dxa"/>
              <w:left w:w="65" w:type="dxa"/>
              <w:bottom w:w="65" w:type="dxa"/>
              <w:right w:w="65" w:type="dxa"/>
            </w:tcMar>
          </w:tcPr>
          <w:p>
            <w:pPr>
              <w:pStyle w:val="TableText"/>
              <w:keepNext w:val="0"/>
              <w:widowControl/>
              <w:jc w:val="left"/>
            </w:pPr>
            <w:r>
              <w:rPr>
                <w:b w:val="0"/>
                <w:sz w:val="17"/>
              </w:rPr>
              <w:t>+0.5946</w:t>
            </w:r>
          </w:p>
        </w:tc>
        <w:tc>
          <w:tcPr>
            <w:tcW w:type="dxa" w:w="1531"/>
            <w:vAlign w:val="center"/>
            <w:tcMar>
              <w:top w:w="65" w:type="dxa"/>
              <w:left w:w="65" w:type="dxa"/>
              <w:bottom w:w="65" w:type="dxa"/>
              <w:right w:w="65" w:type="dxa"/>
            </w:tcMar>
          </w:tcPr>
          <w:p>
            <w:pPr>
              <w:pStyle w:val="TableText"/>
              <w:keepNext w:val="0"/>
              <w:widowControl/>
              <w:jc w:val="left"/>
            </w:pPr>
            <w:r>
              <w:rPr>
                <w:b w:val="0"/>
                <w:sz w:val="17"/>
              </w:rPr>
              <w:t>+0.1194</w:t>
            </w:r>
          </w:p>
        </w:tc>
        <w:tc>
          <w:tcPr>
            <w:tcW w:type="dxa" w:w="1531"/>
            <w:vAlign w:val="center"/>
            <w:tcMar>
              <w:top w:w="65" w:type="dxa"/>
              <w:left w:w="65" w:type="dxa"/>
              <w:bottom w:w="65" w:type="dxa"/>
              <w:right w:w="65" w:type="dxa"/>
            </w:tcMar>
          </w:tcPr>
          <w:p>
            <w:pPr>
              <w:pStyle w:val="TableText"/>
              <w:keepNext w:val="0"/>
              <w:widowControl/>
              <w:jc w:val="left"/>
            </w:pPr>
            <w:r>
              <w:rPr>
                <w:b w:val="0"/>
                <w:sz w:val="17"/>
              </w:rPr>
              <w:t>+0.1724</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7"/>
              </w:rPr>
              <w:t>BINF</w:t>
            </w:r>
          </w:p>
        </w:tc>
        <w:tc>
          <w:tcPr>
            <w:tcW w:type="dxa" w:w="964"/>
            <w:vAlign w:val="center"/>
            <w:tcMar>
              <w:top w:w="65" w:type="dxa"/>
              <w:left w:w="65" w:type="dxa"/>
              <w:bottom w:w="65" w:type="dxa"/>
              <w:right w:w="65" w:type="dxa"/>
            </w:tcMar>
          </w:tcPr>
          <w:p>
            <w:pPr>
              <w:pStyle w:val="TableText"/>
              <w:keepNext w:val="0"/>
              <w:widowControl/>
              <w:jc w:val="left"/>
            </w:pPr>
            <w:r>
              <w:rPr>
                <w:b w:val="0"/>
                <w:sz w:val="17"/>
              </w:rPr>
              <w:t>C4R</w:t>
            </w:r>
          </w:p>
        </w:tc>
        <w:tc>
          <w:tcPr>
            <w:tcW w:type="dxa" w:w="1701"/>
            <w:vAlign w:val="center"/>
            <w:tcMar>
              <w:top w:w="65" w:type="dxa"/>
              <w:left w:w="65" w:type="dxa"/>
              <w:bottom w:w="65" w:type="dxa"/>
              <w:right w:w="65" w:type="dxa"/>
            </w:tcMar>
          </w:tcPr>
          <w:p>
            <w:pPr>
              <w:pStyle w:val="TableText"/>
              <w:keepNext w:val="0"/>
              <w:widowControl/>
              <w:jc w:val="left"/>
            </w:pPr>
            <w:r>
              <w:rPr>
                <w:b w:val="0"/>
                <w:sz w:val="17"/>
              </w:rPr>
              <w:t>55.7679</w:t>
            </w:r>
          </w:p>
        </w:tc>
        <w:tc>
          <w:tcPr>
            <w:tcW w:type="dxa" w:w="1531"/>
            <w:vAlign w:val="center"/>
            <w:tcMar>
              <w:top w:w="65" w:type="dxa"/>
              <w:left w:w="65" w:type="dxa"/>
              <w:bottom w:w="65" w:type="dxa"/>
              <w:right w:w="65" w:type="dxa"/>
            </w:tcMar>
          </w:tcPr>
          <w:p>
            <w:pPr>
              <w:pStyle w:val="TableText"/>
              <w:keepNext w:val="0"/>
              <w:widowControl/>
              <w:jc w:val="left"/>
            </w:pPr>
            <w:r>
              <w:rPr>
                <w:b w:val="0"/>
                <w:sz w:val="17"/>
              </w:rPr>
              <w:t>+0.7313</w:t>
            </w:r>
          </w:p>
        </w:tc>
        <w:tc>
          <w:tcPr>
            <w:tcW w:type="dxa" w:w="1531"/>
            <w:vAlign w:val="center"/>
            <w:tcMar>
              <w:top w:w="65" w:type="dxa"/>
              <w:left w:w="65" w:type="dxa"/>
              <w:bottom w:w="65" w:type="dxa"/>
              <w:right w:w="65" w:type="dxa"/>
            </w:tcMar>
          </w:tcPr>
          <w:p>
            <w:pPr>
              <w:pStyle w:val="TableText"/>
              <w:keepNext w:val="0"/>
              <w:widowControl/>
              <w:jc w:val="left"/>
            </w:pPr>
            <w:r>
              <w:rPr>
                <w:b w:val="0"/>
                <w:sz w:val="17"/>
              </w:rPr>
              <w:t>+0.1324</w:t>
            </w:r>
          </w:p>
        </w:tc>
        <w:tc>
          <w:tcPr>
            <w:tcW w:type="dxa" w:w="1531"/>
            <w:vAlign w:val="center"/>
            <w:tcMar>
              <w:top w:w="65" w:type="dxa"/>
              <w:left w:w="65" w:type="dxa"/>
              <w:bottom w:w="65" w:type="dxa"/>
              <w:right w:w="65" w:type="dxa"/>
            </w:tcMar>
          </w:tcPr>
          <w:p>
            <w:pPr>
              <w:pStyle w:val="TableText"/>
              <w:keepNext w:val="0"/>
              <w:widowControl/>
              <w:jc w:val="left"/>
            </w:pPr>
            <w:r>
              <w:rPr>
                <w:b w:val="0"/>
                <w:sz w:val="17"/>
              </w:rPr>
              <w:t>+0.2174</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7"/>
              </w:rPr>
              <w:t>BINF</w:t>
            </w:r>
          </w:p>
        </w:tc>
        <w:tc>
          <w:tcPr>
            <w:tcW w:type="dxa" w:w="964"/>
            <w:vAlign w:val="center"/>
            <w:tcMar>
              <w:top w:w="65" w:type="dxa"/>
              <w:left w:w="65" w:type="dxa"/>
              <w:bottom w:w="65" w:type="dxa"/>
              <w:right w:w="65" w:type="dxa"/>
            </w:tcMar>
          </w:tcPr>
          <w:p>
            <w:pPr>
              <w:pStyle w:val="TableText"/>
              <w:keepNext w:val="0"/>
              <w:widowControl/>
              <w:jc w:val="left"/>
            </w:pPr>
            <w:r>
              <w:rPr>
                <w:b w:val="0"/>
                <w:sz w:val="17"/>
              </w:rPr>
              <w:t>C5</w:t>
            </w:r>
          </w:p>
        </w:tc>
        <w:tc>
          <w:tcPr>
            <w:tcW w:type="dxa" w:w="1701"/>
            <w:vAlign w:val="center"/>
            <w:tcMar>
              <w:top w:w="65" w:type="dxa"/>
              <w:left w:w="65" w:type="dxa"/>
              <w:bottom w:w="65" w:type="dxa"/>
              <w:right w:w="65" w:type="dxa"/>
            </w:tcMar>
          </w:tcPr>
          <w:p>
            <w:pPr>
              <w:pStyle w:val="TableText"/>
              <w:keepNext w:val="0"/>
              <w:widowControl/>
              <w:jc w:val="left"/>
            </w:pPr>
            <w:r>
              <w:rPr>
                <w:b w:val="0"/>
                <w:sz w:val="17"/>
              </w:rPr>
              <w:t>55.7324</w:t>
            </w:r>
          </w:p>
        </w:tc>
        <w:tc>
          <w:tcPr>
            <w:tcW w:type="dxa" w:w="1531"/>
            <w:vAlign w:val="center"/>
            <w:tcMar>
              <w:top w:w="65" w:type="dxa"/>
              <w:left w:w="65" w:type="dxa"/>
              <w:bottom w:w="65" w:type="dxa"/>
              <w:right w:w="65" w:type="dxa"/>
            </w:tcMar>
          </w:tcPr>
          <w:p>
            <w:pPr>
              <w:pStyle w:val="TableText"/>
              <w:keepNext w:val="0"/>
              <w:widowControl/>
              <w:jc w:val="left"/>
            </w:pPr>
            <w:r>
              <w:rPr>
                <w:b w:val="0"/>
                <w:sz w:val="17"/>
              </w:rPr>
              <w:t>+0.6957</w:t>
            </w:r>
          </w:p>
        </w:tc>
        <w:tc>
          <w:tcPr>
            <w:tcW w:type="dxa" w:w="1531"/>
            <w:vAlign w:val="center"/>
            <w:tcMar>
              <w:top w:w="65" w:type="dxa"/>
              <w:left w:w="65" w:type="dxa"/>
              <w:bottom w:w="65" w:type="dxa"/>
              <w:right w:w="65" w:type="dxa"/>
            </w:tcMar>
          </w:tcPr>
          <w:p>
            <w:pPr>
              <w:pStyle w:val="TableText"/>
              <w:keepNext w:val="0"/>
              <w:widowControl/>
              <w:jc w:val="left"/>
            </w:pPr>
            <w:r>
              <w:rPr>
                <w:b w:val="0"/>
                <w:sz w:val="17"/>
              </w:rPr>
              <w:t>+0.1353</w:t>
            </w:r>
          </w:p>
        </w:tc>
        <w:tc>
          <w:tcPr>
            <w:tcW w:type="dxa" w:w="1531"/>
            <w:vAlign w:val="center"/>
            <w:tcMar>
              <w:top w:w="65" w:type="dxa"/>
              <w:left w:w="65" w:type="dxa"/>
              <w:bottom w:w="65" w:type="dxa"/>
              <w:right w:w="65" w:type="dxa"/>
            </w:tcMar>
          </w:tcPr>
          <w:p>
            <w:pPr>
              <w:pStyle w:val="TableText"/>
              <w:keepNext w:val="0"/>
              <w:widowControl/>
              <w:jc w:val="left"/>
            </w:pPr>
            <w:r>
              <w:rPr>
                <w:b w:val="0"/>
                <w:sz w:val="17"/>
              </w:rPr>
              <w:t>+0.1492</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7"/>
              </w:rPr>
              <w:t>BINF</w:t>
            </w:r>
          </w:p>
        </w:tc>
        <w:tc>
          <w:tcPr>
            <w:tcW w:type="dxa" w:w="964"/>
            <w:vAlign w:val="center"/>
            <w:tcMar>
              <w:top w:w="65" w:type="dxa"/>
              <w:left w:w="65" w:type="dxa"/>
              <w:bottom w:w="65" w:type="dxa"/>
              <w:right w:w="65" w:type="dxa"/>
            </w:tcMar>
          </w:tcPr>
          <w:p>
            <w:pPr>
              <w:pStyle w:val="TableText"/>
              <w:keepNext w:val="0"/>
              <w:widowControl/>
              <w:jc w:val="left"/>
            </w:pPr>
            <w:r>
              <w:rPr>
                <w:b w:val="0"/>
                <w:sz w:val="17"/>
              </w:rPr>
              <w:t>C6-E</w:t>
            </w:r>
          </w:p>
        </w:tc>
        <w:tc>
          <w:tcPr>
            <w:tcW w:type="dxa" w:w="1701"/>
            <w:vAlign w:val="center"/>
            <w:tcMar>
              <w:top w:w="65" w:type="dxa"/>
              <w:left w:w="65" w:type="dxa"/>
              <w:bottom w:w="65" w:type="dxa"/>
              <w:right w:w="65" w:type="dxa"/>
            </w:tcMar>
          </w:tcPr>
          <w:p>
            <w:pPr>
              <w:pStyle w:val="TableText"/>
              <w:keepNext w:val="0"/>
              <w:widowControl/>
              <w:jc w:val="left"/>
            </w:pPr>
            <w:r>
              <w:rPr>
                <w:b w:val="0"/>
                <w:sz w:val="17"/>
              </w:rPr>
              <w:t>55.9151</w:t>
            </w:r>
          </w:p>
        </w:tc>
        <w:tc>
          <w:tcPr>
            <w:tcW w:type="dxa" w:w="1531"/>
            <w:vAlign w:val="center"/>
            <w:tcMar>
              <w:top w:w="65" w:type="dxa"/>
              <w:left w:w="65" w:type="dxa"/>
              <w:bottom w:w="65" w:type="dxa"/>
              <w:right w:w="65" w:type="dxa"/>
            </w:tcMar>
          </w:tcPr>
          <w:p>
            <w:pPr>
              <w:pStyle w:val="TableText"/>
              <w:keepNext w:val="0"/>
              <w:widowControl/>
              <w:jc w:val="left"/>
            </w:pPr>
            <w:r>
              <w:rPr>
                <w:b w:val="0"/>
                <w:sz w:val="17"/>
              </w:rPr>
              <w:t>+0.8785</w:t>
            </w:r>
          </w:p>
        </w:tc>
        <w:tc>
          <w:tcPr>
            <w:tcW w:type="dxa" w:w="1531"/>
            <w:vAlign w:val="center"/>
            <w:tcMar>
              <w:top w:w="65" w:type="dxa"/>
              <w:left w:w="65" w:type="dxa"/>
              <w:bottom w:w="65" w:type="dxa"/>
              <w:right w:w="65" w:type="dxa"/>
            </w:tcMar>
          </w:tcPr>
          <w:p>
            <w:pPr>
              <w:pStyle w:val="TableText"/>
              <w:keepNext w:val="0"/>
              <w:widowControl/>
              <w:jc w:val="left"/>
            </w:pPr>
            <w:r>
              <w:rPr>
                <w:b w:val="0"/>
                <w:sz w:val="17"/>
              </w:rPr>
              <w:t>+0.1825</w:t>
            </w:r>
          </w:p>
        </w:tc>
        <w:tc>
          <w:tcPr>
            <w:tcW w:type="dxa" w:w="1531"/>
            <w:vAlign w:val="center"/>
            <w:tcMar>
              <w:top w:w="65" w:type="dxa"/>
              <w:left w:w="65" w:type="dxa"/>
              <w:bottom w:w="65" w:type="dxa"/>
              <w:right w:w="65" w:type="dxa"/>
            </w:tcMar>
          </w:tcPr>
          <w:p>
            <w:pPr>
              <w:pStyle w:val="TableText"/>
              <w:keepNext w:val="0"/>
              <w:widowControl/>
              <w:jc w:val="left"/>
            </w:pPr>
            <w:r>
              <w:rPr>
                <w:b w:val="0"/>
                <w:sz w:val="17"/>
              </w:rPr>
              <w:t>+0.2395</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7"/>
              </w:rPr>
              <w:t>BINF</w:t>
            </w:r>
          </w:p>
        </w:tc>
        <w:tc>
          <w:tcPr>
            <w:tcW w:type="dxa" w:w="964"/>
            <w:vAlign w:val="center"/>
            <w:tcMar>
              <w:top w:w="65" w:type="dxa"/>
              <w:left w:w="65" w:type="dxa"/>
              <w:bottom w:w="65" w:type="dxa"/>
              <w:right w:w="65" w:type="dxa"/>
            </w:tcMar>
          </w:tcPr>
          <w:p>
            <w:pPr>
              <w:pStyle w:val="TableText"/>
              <w:keepNext w:val="0"/>
              <w:widowControl/>
              <w:jc w:val="left"/>
            </w:pPr>
            <w:r>
              <w:rPr>
                <w:b w:val="0"/>
                <w:sz w:val="17"/>
              </w:rPr>
              <w:t>C6-EX</w:t>
            </w:r>
          </w:p>
        </w:tc>
        <w:tc>
          <w:tcPr>
            <w:tcW w:type="dxa" w:w="1701"/>
            <w:vAlign w:val="center"/>
            <w:tcMar>
              <w:top w:w="65" w:type="dxa"/>
              <w:left w:w="65" w:type="dxa"/>
              <w:bottom w:w="65" w:type="dxa"/>
              <w:right w:w="65" w:type="dxa"/>
            </w:tcMar>
          </w:tcPr>
          <w:p>
            <w:pPr>
              <w:pStyle w:val="TableText"/>
              <w:keepNext w:val="0"/>
              <w:widowControl/>
              <w:jc w:val="left"/>
            </w:pPr>
            <w:r>
              <w:rPr>
                <w:b w:val="0"/>
                <w:sz w:val="17"/>
              </w:rPr>
              <w:t>55.7882</w:t>
            </w:r>
          </w:p>
        </w:tc>
        <w:tc>
          <w:tcPr>
            <w:tcW w:type="dxa" w:w="1531"/>
            <w:vAlign w:val="center"/>
            <w:tcMar>
              <w:top w:w="65" w:type="dxa"/>
              <w:left w:w="65" w:type="dxa"/>
              <w:bottom w:w="65" w:type="dxa"/>
              <w:right w:w="65" w:type="dxa"/>
            </w:tcMar>
          </w:tcPr>
          <w:p>
            <w:pPr>
              <w:pStyle w:val="TableText"/>
              <w:keepNext w:val="0"/>
              <w:widowControl/>
              <w:jc w:val="left"/>
            </w:pPr>
            <w:r>
              <w:rPr>
                <w:b w:val="0"/>
                <w:sz w:val="17"/>
              </w:rPr>
              <w:t>+0.7515</w:t>
            </w:r>
          </w:p>
        </w:tc>
        <w:tc>
          <w:tcPr>
            <w:tcW w:type="dxa" w:w="1531"/>
            <w:vAlign w:val="center"/>
            <w:tcMar>
              <w:top w:w="65" w:type="dxa"/>
              <w:left w:w="65" w:type="dxa"/>
              <w:bottom w:w="65" w:type="dxa"/>
              <w:right w:w="65" w:type="dxa"/>
            </w:tcMar>
          </w:tcPr>
          <w:p>
            <w:pPr>
              <w:pStyle w:val="TableText"/>
              <w:keepNext w:val="0"/>
              <w:widowControl/>
              <w:jc w:val="left"/>
            </w:pPr>
            <w:r>
              <w:rPr>
                <w:b w:val="0"/>
                <w:sz w:val="17"/>
              </w:rPr>
              <w:t>+0.1597</w:t>
            </w:r>
          </w:p>
        </w:tc>
        <w:tc>
          <w:tcPr>
            <w:tcW w:type="dxa" w:w="1531"/>
            <w:vAlign w:val="center"/>
            <w:tcMar>
              <w:top w:w="65" w:type="dxa"/>
              <w:left w:w="65" w:type="dxa"/>
              <w:bottom w:w="65" w:type="dxa"/>
              <w:right w:w="65" w:type="dxa"/>
            </w:tcMar>
          </w:tcPr>
          <w:p>
            <w:pPr>
              <w:pStyle w:val="TableText"/>
              <w:keepNext w:val="0"/>
              <w:widowControl/>
              <w:jc w:val="left"/>
            </w:pPr>
            <w:r>
              <w:rPr>
                <w:b w:val="0"/>
                <w:sz w:val="17"/>
              </w:rPr>
              <w:t>+0.2199</w:t>
            </w:r>
          </w:p>
        </w:tc>
      </w:tr>
    </w:tbl>
    <w:p>
      <w:pPr>
        <w:pStyle w:val="SourceNote"/>
        <w:widowControl/>
      </w:pPr>
      <w:r>
        <w:t>자료: V4.3 최종 평가 패키지의 기업별 Stage9 ITT 기록을 재집계. Main Run1, IC-b, 기업 575개. 표본은 usable subset이 아니라 각 셀의 전체 575개 기업이다. 절대평점과 A0 대비 증분가치를 분리하였다.</w:t>
      </w:r>
    </w:p>
    <w:p>
      <w:pPr>
        <w:widowControl/>
      </w:pPr>
      <w:r>
        <w:t>Gemini B1의 C4 절대평점은 55.183666이고 A0 대비 정책가치는 +0.147005이다. C6-E도 A0 대비 +0.166725에 머문다. GPT B1에서는 C4 +0.264654, C4R +0.433916, C6-E +0.471443으로 높은 값이 나타나지만, 이것만으로 각 수정의 원인을 판단할 수는 없다. C4와 후속 조건의 수용률이 다르고 원문 분기규칙이 불용 초안의 재검토를 허용하기 때문이다.</w:t>
      </w:r>
    </w:p>
    <w:p>
      <w:pPr>
        <w:widowControl/>
      </w:pPr>
      <w:r>
        <w:t>BINF에서는 행동공간의 총 강도 상한이 사라지고 수용률 및 생성된 행동도 달라진다. 더 높은 점수는 더 큰 행동이나 다른 조합을 사용한 결과일 수 있고 실제 비용의 증가를 반영하지 않을 수도 있다. 따라서 BINF의 큰 값으로 B1의 제약을 무시하거나, 제약이 적은 정책을 실제 기업에 더 좋은 권고라고 단정하지 않는다.</w:t>
      </w:r>
    </w:p>
    <w:p>
      <w:pPr>
        <w:widowControl/>
      </w:pPr>
      <w:r>
        <w:t>세 Oracle에서 A0 대비 점수의 크기를 합산하지 않는다. β와 γ는 α의 결론이 평가구조에 어느 정도 민감한지를 확인하는 별도 축이다. 원점수의 단위가 다른 평가자를 하나의 평균점수로 합치면 어떤 행동이 왜 높게 평가되는지 오히려 불분명해진다.</w:t>
      </w:r>
    </w:p>
    <w:p>
      <w:bookmarkStart w:id="110" w:name="head_86"/>
      <w:pPr>
        <w:pStyle w:val="3"/>
        <w:widowControl/>
      </w:pPr>
      <w:r>
        <w:t>5.2.2 학습 참조와 비교할 때의 주의점</w:t>
      </w:r>
      <w:bookmarkEnd w:id="110"/>
    </w:p>
    <w:p>
      <w:pPr>
        <w:widowControl/>
      </w:pPr>
      <w:r>
        <w:t>C3-E의 α 평균 정책가치 +0.923299은 모든 기업에 동결된 후보행동을 적용한 결과이다. B1 free8 Baseline의 평균이 이보다 낮다고 해서 언어모형이 어떤 정상적인 행동도 만들지 못했다는 뜻은 아니다. 이 비교는 확정된 불용 응답을 A0로 처리한 운영정책 전체와, 결정론적 후보출력의 참조정책을 비교한다.</w:t>
      </w:r>
    </w:p>
    <w:p>
      <w:pPr>
        <w:widowControl/>
      </w:pPr>
      <w:r>
        <w:t>반대로 usable 기업만 고른 LLM의 절대평점이 C3-E 전체 평균보다 높다는 이유로 LLM이 우월하다고 해석할 수 없다. usable 기업의 기초 신용상태가 다르면 절대점수 자체가 높아질 수 있기 때문이다. 비교정책과 같은 기업을 연결한 증분가치 또는 strict 교집합의 대응차이가 필요하다. PP와 실행규칙을 나누어 보는 제6장의 분석은 이 문제를 보완한다.</w:t>
      </w:r>
    </w:p>
    <w:p>
      <w:bookmarkStart w:id="111" w:name="head_87"/>
      <w:pPr>
        <w:pStyle w:val="2"/>
        <w:widowControl/>
      </w:pPr>
      <w:r>
        <w:t>5.3 자기 재검토, 진단 지시와 참조의 효과</w:t>
      </w:r>
      <w:bookmarkEnd w:id="111"/>
    </w:p>
    <w:p>
      <w:bookmarkStart w:id="112" w:name="cap_25"/>
      <w:pPr>
        <w:pStyle w:val="af"/>
        <w:widowControl/>
      </w:pPr>
      <w:r>
        <w:t>표 5-5. Gemini 3.1 Flash-Lite Baseline의 네 중심 대비</w:t>
      </w:r>
      <w:bookmarkEnd w:id="112"/>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680"/>
        <w:gridCol w:w="1757"/>
        <w:gridCol w:w="1417"/>
        <w:gridCol w:w="2665"/>
        <w:gridCol w:w="1417"/>
      </w:tblGrid>
      <w:tr>
        <w:trPr>
          <w:cantSplit/>
          <w:tblHeader/>
        </w:trPr>
        <w:tc>
          <w:tcPr>
            <w:tcW w:type="dxa" w:w="680"/>
            <w:vAlign w:val="center"/>
            <w:shd w:fill="F1F1F1"/>
            <w:tcMar>
              <w:top w:w="65" w:type="dxa"/>
              <w:left w:w="65" w:type="dxa"/>
              <w:bottom w:w="65" w:type="dxa"/>
              <w:right w:w="65" w:type="dxa"/>
            </w:tcMar>
          </w:tcPr>
          <w:p>
            <w:pPr>
              <w:pStyle w:val="TableText"/>
              <w:keepNext/>
              <w:widowControl/>
              <w:jc w:val="center"/>
            </w:pPr>
            <w:r>
              <w:rPr>
                <w:b/>
                <w:sz w:val="18"/>
              </w:rPr>
              <w:t>예산</w:t>
            </w:r>
          </w:p>
        </w:tc>
        <w:tc>
          <w:tcPr>
            <w:tcW w:type="dxa" w:w="1757"/>
            <w:vAlign w:val="center"/>
            <w:shd w:fill="F1F1F1"/>
            <w:tcMar>
              <w:top w:w="65" w:type="dxa"/>
              <w:left w:w="65" w:type="dxa"/>
              <w:bottom w:w="65" w:type="dxa"/>
              <w:right w:w="65" w:type="dxa"/>
            </w:tcMar>
          </w:tcPr>
          <w:p>
            <w:pPr>
              <w:pStyle w:val="TableText"/>
              <w:keepNext/>
              <w:widowControl/>
              <w:jc w:val="center"/>
            </w:pPr>
            <w:r>
              <w:rPr>
                <w:b/>
                <w:sz w:val="18"/>
              </w:rPr>
              <w:t>대비</w:t>
            </w:r>
          </w:p>
        </w:tc>
        <w:tc>
          <w:tcPr>
            <w:tcW w:type="dxa" w:w="1417"/>
            <w:vAlign w:val="center"/>
            <w:shd w:fill="F1F1F1"/>
            <w:tcMar>
              <w:top w:w="65" w:type="dxa"/>
              <w:left w:w="65" w:type="dxa"/>
              <w:bottom w:w="65" w:type="dxa"/>
              <w:right w:w="65" w:type="dxa"/>
            </w:tcMar>
          </w:tcPr>
          <w:p>
            <w:pPr>
              <w:pStyle w:val="TableText"/>
              <w:keepNext/>
              <w:widowControl/>
              <w:jc w:val="center"/>
            </w:pPr>
            <w:r>
              <w:rPr>
                <w:b/>
                <w:sz w:val="18"/>
              </w:rPr>
              <w:t>평균 Δα</w:t>
            </w:r>
          </w:p>
        </w:tc>
        <w:tc>
          <w:tcPr>
            <w:tcW w:type="dxa" w:w="2665"/>
            <w:vAlign w:val="center"/>
            <w:shd w:fill="F1F1F1"/>
            <w:tcMar>
              <w:top w:w="65" w:type="dxa"/>
              <w:left w:w="65" w:type="dxa"/>
              <w:bottom w:w="65" w:type="dxa"/>
              <w:right w:w="65" w:type="dxa"/>
            </w:tcMar>
          </w:tcPr>
          <w:p>
            <w:pPr>
              <w:pStyle w:val="TableText"/>
              <w:keepNext/>
              <w:widowControl/>
              <w:jc w:val="center"/>
            </w:pPr>
            <w:r>
              <w:rPr>
                <w:b/>
                <w:sz w:val="18"/>
              </w:rPr>
              <w:t>95% bootstrap 구간</w:t>
            </w:r>
          </w:p>
        </w:tc>
        <w:tc>
          <w:tcPr>
            <w:tcW w:type="dxa" w:w="1417"/>
            <w:vAlign w:val="center"/>
            <w:shd w:fill="F1F1F1"/>
            <w:tcMar>
              <w:top w:w="65" w:type="dxa"/>
              <w:left w:w="65" w:type="dxa"/>
              <w:bottom w:w="65" w:type="dxa"/>
              <w:right w:w="65" w:type="dxa"/>
            </w:tcMar>
          </w:tcPr>
          <w:p>
            <w:pPr>
              <w:pStyle w:val="TableText"/>
              <w:keepNext/>
              <w:widowControl/>
              <w:jc w:val="center"/>
            </w:pPr>
            <w:r>
              <w:rPr>
                <w:b/>
                <w:sz w:val="18"/>
              </w:rPr>
              <w:t>Holm p</w:t>
            </w:r>
          </w:p>
        </w:tc>
      </w:tr>
      <w:tr>
        <w:trPr>
          <w:cantSplit/>
        </w:trPr>
        <w:tc>
          <w:tcPr>
            <w:tcW w:type="dxa" w:w="680"/>
            <w:vAlign w:val="center"/>
            <w:tcMar>
              <w:top w:w="65" w:type="dxa"/>
              <w:left w:w="65" w:type="dxa"/>
              <w:bottom w:w="65" w:type="dxa"/>
              <w:right w:w="65" w:type="dxa"/>
            </w:tcMar>
          </w:tcPr>
          <w:p>
            <w:pPr>
              <w:pStyle w:val="TableText"/>
              <w:keepNext/>
              <w:widowControl/>
              <w:jc w:val="left"/>
            </w:pPr>
            <w:r>
              <w:rPr>
                <w:b w:val="0"/>
                <w:sz w:val="18"/>
              </w:rPr>
              <w:t>B1</w:t>
            </w:r>
          </w:p>
        </w:tc>
        <w:tc>
          <w:tcPr>
            <w:tcW w:type="dxa" w:w="1757"/>
            <w:vAlign w:val="center"/>
            <w:tcMar>
              <w:top w:w="65" w:type="dxa"/>
              <w:left w:w="65" w:type="dxa"/>
              <w:bottom w:w="65" w:type="dxa"/>
              <w:right w:w="65" w:type="dxa"/>
            </w:tcMar>
          </w:tcPr>
          <w:p>
            <w:pPr>
              <w:pStyle w:val="TableText"/>
              <w:keepNext/>
              <w:widowControl/>
              <w:jc w:val="left"/>
            </w:pPr>
            <w:r>
              <w:rPr>
                <w:b w:val="0"/>
                <w:sz w:val="18"/>
              </w:rPr>
              <w:t>C4R−C4</w:t>
            </w:r>
          </w:p>
        </w:tc>
        <w:tc>
          <w:tcPr>
            <w:tcW w:type="dxa" w:w="1417"/>
            <w:vAlign w:val="center"/>
            <w:tcMar>
              <w:top w:w="65" w:type="dxa"/>
              <w:left w:w="65" w:type="dxa"/>
              <w:bottom w:w="65" w:type="dxa"/>
              <w:right w:w="65" w:type="dxa"/>
            </w:tcMar>
          </w:tcPr>
          <w:p>
            <w:pPr>
              <w:pStyle w:val="TableText"/>
              <w:keepNext/>
              <w:widowControl/>
              <w:jc w:val="left"/>
            </w:pPr>
            <w:r>
              <w:rPr>
                <w:b w:val="0"/>
                <w:sz w:val="18"/>
              </w:rPr>
              <w:t>-0.0023</w:t>
            </w:r>
          </w:p>
        </w:tc>
        <w:tc>
          <w:tcPr>
            <w:tcW w:type="dxa" w:w="2665"/>
            <w:vAlign w:val="center"/>
            <w:tcMar>
              <w:top w:w="65" w:type="dxa"/>
              <w:left w:w="65" w:type="dxa"/>
              <w:bottom w:w="65" w:type="dxa"/>
              <w:right w:w="65" w:type="dxa"/>
            </w:tcMar>
          </w:tcPr>
          <w:p>
            <w:pPr>
              <w:pStyle w:val="TableText"/>
              <w:keepNext/>
              <w:widowControl/>
              <w:jc w:val="left"/>
            </w:pPr>
            <w:r>
              <w:rPr>
                <w:b w:val="0"/>
                <w:sz w:val="18"/>
              </w:rPr>
              <w:t>[-0.0563, +0.0519]</w:t>
            </w:r>
          </w:p>
        </w:tc>
        <w:tc>
          <w:tcPr>
            <w:tcW w:type="dxa" w:w="1417"/>
            <w:vAlign w:val="center"/>
            <w:tcMar>
              <w:top w:w="65" w:type="dxa"/>
              <w:left w:w="65" w:type="dxa"/>
              <w:bottom w:w="65" w:type="dxa"/>
              <w:right w:w="65" w:type="dxa"/>
            </w:tcMar>
          </w:tcPr>
          <w:p>
            <w:pPr>
              <w:pStyle w:val="TableText"/>
              <w:keepNext/>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757"/>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+0.1153</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[+0.0471, +0.1896]</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0.0084</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757"/>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+0.0220</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[-0.0241, +0.0665]</w:t>
            </w:r>
          </w:p>
        </w:tc>
        <w:tc>
          <w:tcPr>
            <w:tcW w:type="dxa" w:w="1417"/>
            <w:vAlign w:val="center"/>
            <w:tcMar>
              <w:top w:w="65" w:type="dxa"/>
              <w:left w:w="65" w:type="dxa"/>
              <w:bottom w:w="65" w:type="dxa"/>
              <w:right w:w="65" w:type="dxa"/>
            </w:tcMar>
          </w:tcPr>
          <w:p>
            <w:pPr>
              <w:pStyle w:val="TableText"/>
              <w:keepNext w:val="0"/>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757"/>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+0.0452</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[-0.0155, +0.1059]</w:t>
            </w:r>
          </w:p>
        </w:tc>
        <w:tc>
          <w:tcPr>
            <w:tcW w:type="dxa" w:w="1417"/>
            <w:vAlign w:val="center"/>
            <w:tcMar>
              <w:top w:w="65" w:type="dxa"/>
              <w:left w:w="65" w:type="dxa"/>
              <w:bottom w:w="65" w:type="dxa"/>
              <w:right w:w="65" w:type="dxa"/>
            </w:tcMar>
          </w:tcPr>
          <w:p>
            <w:pPr>
              <w:pStyle w:val="TableText"/>
              <w:keepNext w:val="0"/>
              <w:widowControl/>
              <w:jc w:val="left"/>
            </w:pPr>
            <w:r>
              <w:rPr>
                <w:b w:val="0"/>
                <w:sz w:val="18"/>
              </w:rPr>
              <w:t>0.6489</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757"/>
            <w:vAlign w:val="center"/>
            <w:tcMar>
              <w:top w:w="65" w:type="dxa"/>
              <w:left w:w="65" w:type="dxa"/>
              <w:bottom w:w="65" w:type="dxa"/>
              <w:right w:w="65" w:type="dxa"/>
            </w:tcMar>
          </w:tcPr>
          <w:p>
            <w:pPr>
              <w:pStyle w:val="TableText"/>
              <w:keepNext w:val="0"/>
              <w:widowControl/>
              <w:jc w:val="left"/>
            </w:pPr>
            <w:r>
              <w:rPr>
                <w:b w:val="0"/>
                <w:sz w:val="18"/>
              </w:rPr>
              <w:t>C4R−C4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+0.1427</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[+0.0891, +0.1993]</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0.0016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757"/>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-0.0715</w:t>
            </w:r>
          </w:p>
        </w:tc>
        <w:tc>
          <w:tcPr>
            <w:tcW w:type="dxa" w:w="2665"/>
            <w:vAlign w:val="center"/>
            <w:tcMar>
              <w:top w:w="65" w:type="dxa"/>
              <w:left w:w="65" w:type="dxa"/>
              <w:bottom w:w="65" w:type="dxa"/>
              <w:right w:w="65" w:type="dxa"/>
            </w:tcMar>
          </w:tcPr>
          <w:p>
            <w:pPr>
              <w:pStyle w:val="TableText"/>
              <w:keepNext w:val="0"/>
              <w:widowControl/>
              <w:jc w:val="left"/>
            </w:pPr>
            <w:r>
              <w:rPr>
                <w:b w:val="0"/>
                <w:sz w:val="18"/>
              </w:rPr>
              <w:t>[-0.1649, +0.0199]</w:t>
            </w:r>
          </w:p>
        </w:tc>
        <w:tc>
          <w:tcPr>
            <w:tcW w:type="dxa" w:w="1417"/>
            <w:vAlign w:val="center"/>
            <w:tcMar>
              <w:top w:w="65" w:type="dxa"/>
              <w:left w:w="65" w:type="dxa"/>
              <w:bottom w:w="65" w:type="dxa"/>
              <w:right w:w="65" w:type="dxa"/>
            </w:tcMar>
          </w:tcPr>
          <w:p>
            <w:pPr>
              <w:pStyle w:val="TableText"/>
              <w:keepNext w:val="0"/>
              <w:widowControl/>
              <w:jc w:val="left"/>
            </w:pPr>
            <w:r>
              <w:rPr>
                <w:b w:val="0"/>
                <w:sz w:val="18"/>
              </w:rPr>
              <w:t>0.6489</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757"/>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+0.0180</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[-0.0548, +0.0895]</w:t>
            </w:r>
          </w:p>
        </w:tc>
        <w:tc>
          <w:tcPr>
            <w:tcW w:type="dxa" w:w="1417"/>
            <w:vAlign w:val="center"/>
            <w:tcMar>
              <w:top w:w="65" w:type="dxa"/>
              <w:left w:w="65" w:type="dxa"/>
              <w:bottom w:w="65" w:type="dxa"/>
              <w:right w:w="65" w:type="dxa"/>
            </w:tcMar>
          </w:tcPr>
          <w:p>
            <w:pPr>
              <w:pStyle w:val="TableText"/>
              <w:keepNext w:val="0"/>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757"/>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+0.0576</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[-0.0073, +0.1228]</w:t>
            </w:r>
          </w:p>
        </w:tc>
        <w:tc>
          <w:tcPr>
            <w:tcW w:type="dxa" w:w="1417"/>
            <w:vAlign w:val="center"/>
            <w:tcMar>
              <w:top w:w="65" w:type="dxa"/>
              <w:left w:w="65" w:type="dxa"/>
              <w:bottom w:w="65" w:type="dxa"/>
              <w:right w:w="65" w:type="dxa"/>
            </w:tcMar>
          </w:tcPr>
          <w:p>
            <w:pPr>
              <w:pStyle w:val="TableText"/>
              <w:keepNext w:val="0"/>
              <w:widowControl/>
              <w:jc w:val="left"/>
            </w:pPr>
            <w:r>
              <w:rPr>
                <w:b w:val="0"/>
                <w:sz w:val="18"/>
              </w:rPr>
              <w:t>0.4848</w:t>
            </w:r>
          </w:p>
        </w:tc>
      </w:tr>
    </w:tbl>
    <w:p>
      <w:pPr>
        <w:pStyle w:val="SourceNote"/>
        <w:widowControl/>
      </w:pPr>
      <w:r>
        <w:t>자료: 원 Stage9의 기업별 대응차이, Run1/free8/IC-b/Strict ITT, N=575. p는 제3.9절의 bootstrap sign-tail plus-one 통계량에 모델·Oracle별 8개 family의 Holm 조정을 적용한 값이다. 구간은 미조정이다.</w:t>
      </w:r>
    </w:p>
    <w:p>
      <w:bookmarkStart w:id="113" w:name="cap_26"/>
      <w:pPr>
        <w:pStyle w:val="af"/>
        <w:widowControl/>
      </w:pPr>
      <w:r>
        <w:t>표 5-6. GPT-5.4-mini Baseline의 네 중심 대비</w:t>
      </w:r>
      <w:bookmarkEnd w:id="113"/>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680"/>
        <w:gridCol w:w="1757"/>
        <w:gridCol w:w="1417"/>
        <w:gridCol w:w="2665"/>
        <w:gridCol w:w="1417"/>
      </w:tblGrid>
      <w:tr>
        <w:trPr>
          <w:cantSplit/>
          <w:tblHeader/>
        </w:trPr>
        <w:tc>
          <w:tcPr>
            <w:tcW w:type="dxa" w:w="680"/>
            <w:vAlign w:val="center"/>
            <w:shd w:fill="F1F1F1"/>
            <w:tcMar>
              <w:top w:w="65" w:type="dxa"/>
              <w:left w:w="65" w:type="dxa"/>
              <w:bottom w:w="65" w:type="dxa"/>
              <w:right w:w="65" w:type="dxa"/>
            </w:tcMar>
          </w:tcPr>
          <w:p>
            <w:pPr>
              <w:pStyle w:val="TableText"/>
              <w:keepNext/>
              <w:widowControl/>
              <w:jc w:val="center"/>
            </w:pPr>
            <w:r>
              <w:rPr>
                <w:b/>
                <w:sz w:val="18"/>
              </w:rPr>
              <w:t>예산</w:t>
            </w:r>
          </w:p>
        </w:tc>
        <w:tc>
          <w:tcPr>
            <w:tcW w:type="dxa" w:w="1757"/>
            <w:vAlign w:val="center"/>
            <w:shd w:fill="F1F1F1"/>
            <w:tcMar>
              <w:top w:w="65" w:type="dxa"/>
              <w:left w:w="65" w:type="dxa"/>
              <w:bottom w:w="65" w:type="dxa"/>
              <w:right w:w="65" w:type="dxa"/>
            </w:tcMar>
          </w:tcPr>
          <w:p>
            <w:pPr>
              <w:pStyle w:val="TableText"/>
              <w:keepNext/>
              <w:widowControl/>
              <w:jc w:val="center"/>
            </w:pPr>
            <w:r>
              <w:rPr>
                <w:b/>
                <w:sz w:val="18"/>
              </w:rPr>
              <w:t>대비</w:t>
            </w:r>
          </w:p>
        </w:tc>
        <w:tc>
          <w:tcPr>
            <w:tcW w:type="dxa" w:w="1417"/>
            <w:vAlign w:val="center"/>
            <w:shd w:fill="F1F1F1"/>
            <w:tcMar>
              <w:top w:w="65" w:type="dxa"/>
              <w:left w:w="65" w:type="dxa"/>
              <w:bottom w:w="65" w:type="dxa"/>
              <w:right w:w="65" w:type="dxa"/>
            </w:tcMar>
          </w:tcPr>
          <w:p>
            <w:pPr>
              <w:pStyle w:val="TableText"/>
              <w:keepNext/>
              <w:widowControl/>
              <w:jc w:val="center"/>
            </w:pPr>
            <w:r>
              <w:rPr>
                <w:b/>
                <w:sz w:val="18"/>
              </w:rPr>
              <w:t>평균 Δα</w:t>
            </w:r>
          </w:p>
        </w:tc>
        <w:tc>
          <w:tcPr>
            <w:tcW w:type="dxa" w:w="2665"/>
            <w:vAlign w:val="center"/>
            <w:shd w:fill="F1F1F1"/>
            <w:tcMar>
              <w:top w:w="65" w:type="dxa"/>
              <w:left w:w="65" w:type="dxa"/>
              <w:bottom w:w="65" w:type="dxa"/>
              <w:right w:w="65" w:type="dxa"/>
            </w:tcMar>
          </w:tcPr>
          <w:p>
            <w:pPr>
              <w:pStyle w:val="TableText"/>
              <w:keepNext/>
              <w:widowControl/>
              <w:jc w:val="center"/>
            </w:pPr>
            <w:r>
              <w:rPr>
                <w:b/>
                <w:sz w:val="18"/>
              </w:rPr>
              <w:t>95% bootstrap 구간</w:t>
            </w:r>
          </w:p>
        </w:tc>
        <w:tc>
          <w:tcPr>
            <w:tcW w:type="dxa" w:w="1417"/>
            <w:vAlign w:val="center"/>
            <w:shd w:fill="F1F1F1"/>
            <w:tcMar>
              <w:top w:w="65" w:type="dxa"/>
              <w:left w:w="65" w:type="dxa"/>
              <w:bottom w:w="65" w:type="dxa"/>
              <w:right w:w="65" w:type="dxa"/>
            </w:tcMar>
          </w:tcPr>
          <w:p>
            <w:pPr>
              <w:pStyle w:val="TableText"/>
              <w:keepNext/>
              <w:widowControl/>
              <w:jc w:val="center"/>
            </w:pPr>
            <w:r>
              <w:rPr>
                <w:b/>
                <w:sz w:val="18"/>
              </w:rPr>
              <w:t>Holm p</w:t>
            </w:r>
          </w:p>
        </w:tc>
      </w:tr>
      <w:tr>
        <w:trPr>
          <w:cantSplit/>
        </w:trPr>
        <w:tc>
          <w:tcPr>
            <w:tcW w:type="dxa" w:w="680"/>
            <w:vAlign w:val="center"/>
            <w:tcMar>
              <w:top w:w="65" w:type="dxa"/>
              <w:left w:w="65" w:type="dxa"/>
              <w:bottom w:w="65" w:type="dxa"/>
              <w:right w:w="65" w:type="dxa"/>
            </w:tcMar>
          </w:tcPr>
          <w:p>
            <w:pPr>
              <w:pStyle w:val="TableText"/>
              <w:keepNext/>
              <w:widowControl/>
              <w:jc w:val="left"/>
            </w:pPr>
            <w:r>
              <w:rPr>
                <w:b w:val="0"/>
                <w:sz w:val="18"/>
              </w:rPr>
              <w:t>B1</w:t>
            </w:r>
          </w:p>
        </w:tc>
        <w:tc>
          <w:tcPr>
            <w:tcW w:type="dxa" w:w="1757"/>
            <w:vAlign w:val="center"/>
            <w:tcMar>
              <w:top w:w="65" w:type="dxa"/>
              <w:left w:w="65" w:type="dxa"/>
              <w:bottom w:w="65" w:type="dxa"/>
              <w:right w:w="65" w:type="dxa"/>
            </w:tcMar>
          </w:tcPr>
          <w:p>
            <w:pPr>
              <w:pStyle w:val="TableText"/>
              <w:keepNext/>
              <w:widowControl/>
              <w:jc w:val="left"/>
            </w:pPr>
            <w:r>
              <w:rPr>
                <w:b w:val="0"/>
                <w:sz w:val="18"/>
              </w:rPr>
              <w:t>C4R−C4</w:t>
            </w:r>
          </w:p>
        </w:tc>
        <w:tc>
          <w:tcPr>
            <w:tcW w:type="dxa" w:w="1417"/>
            <w:vAlign w:val="center"/>
            <w:tcMar>
              <w:top w:w="65" w:type="dxa"/>
              <w:left w:w="65" w:type="dxa"/>
              <w:bottom w:w="65" w:type="dxa"/>
              <w:right w:w="65" w:type="dxa"/>
            </w:tcMar>
          </w:tcPr>
          <w:p>
            <w:pPr>
              <w:pStyle w:val="TableText"/>
              <w:keepNext/>
              <w:widowControl/>
              <w:jc w:val="left"/>
            </w:pPr>
            <w:r>
              <w:rPr>
                <w:b w:val="0"/>
                <w:sz w:val="18"/>
              </w:rPr>
              <w:t>+0.1693</w:t>
            </w:r>
          </w:p>
        </w:tc>
        <w:tc>
          <w:tcPr>
            <w:tcW w:type="dxa" w:w="2665"/>
            <w:vAlign w:val="center"/>
            <w:tcMar>
              <w:top w:w="65" w:type="dxa"/>
              <w:left w:w="65" w:type="dxa"/>
              <w:bottom w:w="65" w:type="dxa"/>
              <w:right w:w="65" w:type="dxa"/>
            </w:tcMar>
          </w:tcPr>
          <w:p>
            <w:pPr>
              <w:pStyle w:val="TableText"/>
              <w:keepNext/>
              <w:widowControl/>
              <w:jc w:val="left"/>
            </w:pPr>
            <w:r>
              <w:rPr>
                <w:b w:val="0"/>
                <w:sz w:val="18"/>
              </w:rPr>
              <w:t>[+0.1150, +0.2293]</w:t>
            </w:r>
          </w:p>
        </w:tc>
        <w:tc>
          <w:tcPr>
            <w:tcW w:type="dxa" w:w="1417"/>
            <w:vAlign w:val="center"/>
            <w:tcMar>
              <w:top w:w="65" w:type="dxa"/>
              <w:left w:w="65" w:type="dxa"/>
              <w:bottom w:w="65" w:type="dxa"/>
              <w:right w:w="65" w:type="dxa"/>
            </w:tcMar>
          </w:tcPr>
          <w:p>
            <w:pPr>
              <w:pStyle w:val="TableText"/>
              <w:keepNext/>
              <w:widowControl/>
              <w:jc w:val="left"/>
            </w:pPr>
            <w:r>
              <w:rPr>
                <w:b w:val="0"/>
                <w:sz w:val="18"/>
              </w:rPr>
              <w:t>0.0016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757"/>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+0.1960</w:t>
            </w:r>
          </w:p>
        </w:tc>
        <w:tc>
          <w:tcPr>
            <w:tcW w:type="dxa" w:w="2665"/>
            <w:vAlign w:val="center"/>
            <w:tcMar>
              <w:top w:w="65" w:type="dxa"/>
              <w:left w:w="65" w:type="dxa"/>
              <w:bottom w:w="65" w:type="dxa"/>
              <w:right w:w="65" w:type="dxa"/>
            </w:tcMar>
          </w:tcPr>
          <w:p>
            <w:pPr>
              <w:pStyle w:val="TableText"/>
              <w:keepNext w:val="0"/>
              <w:widowControl/>
              <w:jc w:val="left"/>
            </w:pPr>
            <w:r>
              <w:rPr>
                <w:b w:val="0"/>
                <w:sz w:val="18"/>
              </w:rPr>
              <w:t>[+0.1035, +0.2884]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0.0016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757"/>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+0.0375</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[-0.0548, +0.1273]</w:t>
            </w:r>
          </w:p>
        </w:tc>
        <w:tc>
          <w:tcPr>
            <w:tcW w:type="dxa" w:w="1417"/>
            <w:vAlign w:val="center"/>
            <w:tcMar>
              <w:top w:w="65" w:type="dxa"/>
              <w:left w:w="65" w:type="dxa"/>
              <w:bottom w:w="65" w:type="dxa"/>
              <w:right w:w="65" w:type="dxa"/>
            </w:tcMar>
          </w:tcPr>
          <w:p>
            <w:pPr>
              <w:pStyle w:val="TableText"/>
              <w:keepNext w:val="0"/>
              <w:widowControl/>
              <w:jc w:val="left"/>
            </w:pPr>
            <w:r>
              <w:rPr>
                <w:b w:val="0"/>
                <w:sz w:val="18"/>
              </w:rPr>
              <w:t>0.4036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757"/>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+0.1742</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[+0.0751, +0.2767]</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0.0020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757"/>
            <w:vAlign w:val="center"/>
            <w:tcMar>
              <w:top w:w="65" w:type="dxa"/>
              <w:left w:w="65" w:type="dxa"/>
              <w:bottom w:w="65" w:type="dxa"/>
              <w:right w:w="65" w:type="dxa"/>
            </w:tcMar>
          </w:tcPr>
          <w:p>
            <w:pPr>
              <w:pStyle w:val="TableText"/>
              <w:keepNext w:val="0"/>
              <w:widowControl/>
              <w:jc w:val="left"/>
            </w:pPr>
            <w:r>
              <w:rPr>
                <w:b w:val="0"/>
                <w:sz w:val="18"/>
              </w:rPr>
              <w:t>C4R−C4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+0.1366</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[+0.0775, +0.1985]</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0.0016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757"/>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+0.1011</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[-0.0082, +0.2106]</w:t>
            </w:r>
          </w:p>
        </w:tc>
        <w:tc>
          <w:tcPr>
            <w:tcW w:type="dxa" w:w="1417"/>
            <w:vAlign w:val="center"/>
            <w:tcMar>
              <w:top w:w="65" w:type="dxa"/>
              <w:left w:w="65" w:type="dxa"/>
              <w:bottom w:w="65" w:type="dxa"/>
              <w:right w:w="65" w:type="dxa"/>
            </w:tcMar>
          </w:tcPr>
          <w:p>
            <w:pPr>
              <w:pStyle w:val="TableText"/>
              <w:keepNext w:val="0"/>
              <w:widowControl/>
              <w:jc w:val="left"/>
            </w:pPr>
            <w:r>
              <w:rPr>
                <w:b w:val="0"/>
                <w:sz w:val="18"/>
              </w:rPr>
              <w:t>0.1376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757"/>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+0.1472</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[+0.0511, +0.2445]</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0.0200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757"/>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+0.1270</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[+0.0173, +0.2390]</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0.0672</w:t>
            </w:r>
          </w:p>
        </w:tc>
      </w:tr>
    </w:tbl>
    <w:p>
      <w:pPr>
        <w:pStyle w:val="SourceNote"/>
        <w:widowControl/>
      </w:pPr>
      <w:r>
        <w:t>자료: 원 Stage9의 기업별 대응차이, Run1/free8/IC-b/Strict ITT, N=575. p는 제3.9절의 bootstrap sign-tail plus-one 통계량에 모델·Oracle별 8개 family의 Holm 조정을 적용한 값이다. 구간은 미조정이다.</w:t>
      </w:r>
    </w:p>
    <w:p>
      <w:bookmarkStart w:id="114" w:name="head_88"/>
      <w:pPr>
        <w:pStyle w:val="3"/>
        <w:widowControl/>
      </w:pPr>
      <w:r>
        <w:t>5.3.1 C4R−C4: 다시 검토하는 조건의 가치</w:t>
      </w:r>
      <w:bookmarkEnd w:id="114"/>
    </w:p>
    <w:p>
      <w:pPr>
        <w:widowControl/>
      </w:pPr>
      <w:r>
        <w:t>B1에서 GPT의 C4R−C4는 +0.010520이며 95% 구간은 [+0.114964,+0.229326]이다. 같은 조건의 Gemini 차이는 −0.002294로 0 부근이고 구간은 양쪽 부호를 포함한다. BINF에서는 두 모델 모두 양의 자기 재검토 차이가 관찰된다. 따라서 ‘자기 재검토는 항상 유익하다’나 ‘아무 도움이 없다’는 하나의 결론으로 정리할 수 없다.</w:t>
      </w:r>
    </w:p>
    <w:p>
      <w:pPr>
        <w:widowControl/>
      </w:pPr>
      <w:r>
        <w:t>이 차이는 같은 부모 초안을 다시 검토하는 실행조건의 전체 결과이다. GPT B1에서 수용률이 C4 44.3%에서 C4R 64.0%로 높아지므로, 원문이 읽기 어렵거나 예산을 넘은 초안을 더 자주 수용 가능한 행동으로 바꾼 영향도 포함된다. 이것을 경제적 판단의 순수한 개선으로 분리하려면 실행규칙과 분석표본의 역할을 확인해야 한다. Repaired 또는 usable-parent 민감도에서 같은 차이가 유지되는지는 제6장에서 검토한다.</w:t>
      </w:r>
    </w:p>
    <w:p>
      <w:bookmarkStart w:id="115" w:name="head_89"/>
      <w:pPr>
        <w:pStyle w:val="3"/>
        <w:widowControl/>
      </w:pPr>
      <w:r>
        <w:t>5.3.2 C5−C4: 프롬프트 진단 유도</w:t>
      </w:r>
      <w:bookmarkEnd w:id="115"/>
    </w:p>
    <w:p>
      <w:pPr>
        <w:widowControl/>
      </w:pPr>
      <w:r>
        <w:t>B1의 C5−C4는 Gemini +0.115271, GPT +0.195995로 양수이고 각각의 8개 family Holm 조정값도 0.05보다 작다. 따라서 구형 원고의 ‘세 모델 모두 자유작성에서 추론 지시가 정책가치를 낮췄다’는 결론은 최신 Baseline의 일반 결론으로 유지할 수 없다. 여기서 C5는 같은 API 추론설정 아래에서 진단 scaffold를 추가한 조건이라는 점이 중요하다.</w:t>
      </w:r>
    </w:p>
    <w:p>
      <w:pPr>
        <w:widowControl/>
      </w:pPr>
      <w:r>
        <w:t>BINF에서는 Gemini −0.071465, GPT +0.101118로 방향이 다르고 다중비교 후 명확한 차이로 확정되지 않는다. C5 효과가 B1과 BINF에서 달라진다는 사실은 추론 지시의 유용성이 행동제약 및 출력 수용성과 함께 작동한다는 해석과 양립한다. 그러나 C5가 어떤 내부 추론을 수행했는지를 직접 관찰한 것은 아니므로, 특정 인지기제를 입증했다고 표현하지 않는다.</w:t>
      </w:r>
    </w:p>
    <w:p>
      <w:bookmarkStart w:id="116" w:name="cap_27"/>
      <w:pPr>
        <w:pStyle w:val="af"/>
        <w:widowControl/>
      </w:pPr>
      <w:r>
        <w:t>표 5-7. 진단 유도 전후의 행동강도와 활성 차원</w:t>
      </w:r>
      <w:bookmarkEnd w:id="116"/>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737"/>
        <w:gridCol w:w="680"/>
        <w:gridCol w:w="1616"/>
        <w:gridCol w:w="1616"/>
        <w:gridCol w:w="1644"/>
        <w:gridCol w:w="1644"/>
      </w:tblGrid>
      <w:tr>
        <w:trPr>
          <w:cantSplit/>
          <w:tblHeader/>
        </w:trPr>
        <w:tc>
          <w:tcPr>
            <w:tcW w:type="dxa" w:w="737"/>
            <w:vAlign w:val="center"/>
            <w:shd w:fill="F1F1F1"/>
            <w:tcMar>
              <w:top w:w="65" w:type="dxa"/>
              <w:left w:w="65" w:type="dxa"/>
              <w:bottom w:w="65" w:type="dxa"/>
              <w:right w:w="65" w:type="dxa"/>
            </w:tcMar>
          </w:tcPr>
          <w:p>
            <w:pPr>
              <w:pStyle w:val="TableText"/>
              <w:keepNext/>
              <w:widowControl/>
              <w:jc w:val="center"/>
            </w:pPr>
            <w:r>
              <w:rPr>
                <w:b/>
                <w:sz w:val="17"/>
              </w:rPr>
              <w:t>모델</w:t>
            </w:r>
          </w:p>
        </w:tc>
        <w:tc>
          <w:tcPr>
            <w:tcW w:type="dxa" w:w="680"/>
            <w:vAlign w:val="center"/>
            <w:shd w:fill="F1F1F1"/>
            <w:tcMar>
              <w:top w:w="65" w:type="dxa"/>
              <w:left w:w="65" w:type="dxa"/>
              <w:bottom w:w="65" w:type="dxa"/>
              <w:right w:w="65" w:type="dxa"/>
            </w:tcMar>
          </w:tcPr>
          <w:p>
            <w:pPr>
              <w:pStyle w:val="TableText"/>
              <w:keepNext/>
              <w:widowControl/>
              <w:jc w:val="center"/>
            </w:pPr>
            <w:r>
              <w:rPr>
                <w:b/>
                <w:sz w:val="17"/>
              </w:rPr>
              <w:t>예산</w:t>
            </w:r>
          </w:p>
        </w:tc>
        <w:tc>
          <w:tcPr>
            <w:tcW w:type="dxa" w:w="1616"/>
            <w:vAlign w:val="center"/>
            <w:shd w:fill="F1F1F1"/>
            <w:tcMar>
              <w:top w:w="65" w:type="dxa"/>
              <w:left w:w="65" w:type="dxa"/>
              <w:bottom w:w="65" w:type="dxa"/>
              <w:right w:w="65" w:type="dxa"/>
            </w:tcMar>
          </w:tcPr>
          <w:p>
            <w:pPr>
              <w:pStyle w:val="TableText"/>
              <w:keepNext/>
              <w:widowControl/>
              <w:jc w:val="center"/>
            </w:pPr>
            <w:r>
              <w:rPr>
                <w:b/>
                <w:sz w:val="17"/>
              </w:rPr>
              <w:t>C4 ITT 강도</w:t>
            </w:r>
          </w:p>
        </w:tc>
        <w:tc>
          <w:tcPr>
            <w:tcW w:type="dxa" w:w="1616"/>
            <w:vAlign w:val="center"/>
            <w:shd w:fill="F1F1F1"/>
            <w:tcMar>
              <w:top w:w="65" w:type="dxa"/>
              <w:left w:w="65" w:type="dxa"/>
              <w:bottom w:w="65" w:type="dxa"/>
              <w:right w:w="65" w:type="dxa"/>
            </w:tcMar>
          </w:tcPr>
          <w:p>
            <w:pPr>
              <w:pStyle w:val="TableText"/>
              <w:keepNext/>
              <w:widowControl/>
              <w:jc w:val="center"/>
            </w:pPr>
            <w:r>
              <w:rPr>
                <w:b/>
                <w:sz w:val="17"/>
              </w:rPr>
              <w:t>C5 ITT 강도</w:t>
            </w:r>
          </w:p>
        </w:tc>
        <w:tc>
          <w:tcPr>
            <w:tcW w:type="dxa" w:w="1644"/>
            <w:vAlign w:val="center"/>
            <w:shd w:fill="F1F1F1"/>
            <w:tcMar>
              <w:top w:w="65" w:type="dxa"/>
              <w:left w:w="65" w:type="dxa"/>
              <w:bottom w:w="65" w:type="dxa"/>
              <w:right w:w="65" w:type="dxa"/>
            </w:tcMar>
          </w:tcPr>
          <w:p>
            <w:pPr>
              <w:pStyle w:val="TableText"/>
              <w:keepNext/>
              <w:widowControl/>
              <w:jc w:val="center"/>
            </w:pPr>
            <w:r>
              <w:rPr>
                <w:b/>
                <w:sz w:val="17"/>
              </w:rPr>
              <w:t>C4 활성 축</w:t>
            </w:r>
          </w:p>
        </w:tc>
        <w:tc>
          <w:tcPr>
            <w:tcW w:type="dxa" w:w="1644"/>
            <w:vAlign w:val="center"/>
            <w:shd w:fill="F1F1F1"/>
            <w:tcMar>
              <w:top w:w="65" w:type="dxa"/>
              <w:left w:w="65" w:type="dxa"/>
              <w:bottom w:w="65" w:type="dxa"/>
              <w:right w:w="65" w:type="dxa"/>
            </w:tcMar>
          </w:tcPr>
          <w:p>
            <w:pPr>
              <w:pStyle w:val="TableText"/>
              <w:keepNext/>
              <w:widowControl/>
              <w:jc w:val="center"/>
            </w:pPr>
            <w:r>
              <w:rPr>
                <w:b/>
                <w:sz w:val="17"/>
              </w:rPr>
              <w:t>C5 활성 축</w:t>
            </w:r>
          </w:p>
        </w:tc>
      </w:tr>
      <w:tr>
        <w:trPr>
          <w:cantSplit/>
        </w:trPr>
        <w:tc>
          <w:tcPr>
            <w:tcW w:type="dxa" w:w="737"/>
            <w:vAlign w:val="center"/>
            <w:tcMar>
              <w:top w:w="65" w:type="dxa"/>
              <w:left w:w="65" w:type="dxa"/>
              <w:bottom w:w="65" w:type="dxa"/>
              <w:right w:w="65" w:type="dxa"/>
            </w:tcMar>
          </w:tcPr>
          <w:p>
            <w:pPr>
              <w:pStyle w:val="TableText"/>
              <w:keepNext/>
              <w:widowControl/>
              <w:jc w:val="left"/>
            </w:pPr>
            <w:r>
              <w:rPr>
                <w:b w:val="0"/>
                <w:sz w:val="17"/>
              </w:rPr>
              <w:t>Gemini</w:t>
            </w:r>
          </w:p>
        </w:tc>
        <w:tc>
          <w:tcPr>
            <w:tcW w:type="dxa" w:w="680"/>
            <w:vAlign w:val="center"/>
            <w:tcMar>
              <w:top w:w="65" w:type="dxa"/>
              <w:left w:w="65" w:type="dxa"/>
              <w:bottom w:w="65" w:type="dxa"/>
              <w:right w:w="65" w:type="dxa"/>
            </w:tcMar>
          </w:tcPr>
          <w:p>
            <w:pPr>
              <w:pStyle w:val="TableText"/>
              <w:keepNext/>
              <w:widowControl/>
              <w:jc w:val="left"/>
            </w:pPr>
            <w:r>
              <w:rPr>
                <w:b w:val="0"/>
                <w:sz w:val="17"/>
              </w:rPr>
              <w:t>B1</w:t>
            </w:r>
          </w:p>
        </w:tc>
        <w:tc>
          <w:tcPr>
            <w:tcW w:type="dxa" w:w="1616"/>
            <w:vAlign w:val="center"/>
            <w:tcMar>
              <w:top w:w="65" w:type="dxa"/>
              <w:left w:w="65" w:type="dxa"/>
              <w:bottom w:w="65" w:type="dxa"/>
              <w:right w:w="65" w:type="dxa"/>
            </w:tcMar>
          </w:tcPr>
          <w:p>
            <w:pPr>
              <w:pStyle w:val="TableText"/>
              <w:keepNext/>
              <w:widowControl/>
              <w:jc w:val="left"/>
            </w:pPr>
            <w:r>
              <w:rPr>
                <w:b w:val="0"/>
                <w:sz w:val="17"/>
              </w:rPr>
              <w:t>0.148</w:t>
            </w:r>
          </w:p>
        </w:tc>
        <w:tc>
          <w:tcPr>
            <w:tcW w:type="dxa" w:w="1616"/>
            <w:vAlign w:val="center"/>
            <w:tcMar>
              <w:top w:w="65" w:type="dxa"/>
              <w:left w:w="65" w:type="dxa"/>
              <w:bottom w:w="65" w:type="dxa"/>
              <w:right w:w="65" w:type="dxa"/>
            </w:tcMar>
          </w:tcPr>
          <w:p>
            <w:pPr>
              <w:pStyle w:val="TableText"/>
              <w:keepNext/>
              <w:widowControl/>
              <w:jc w:val="left"/>
            </w:pPr>
            <w:r>
              <w:rPr>
                <w:b w:val="0"/>
                <w:sz w:val="17"/>
              </w:rPr>
              <w:t>0.255</w:t>
            </w:r>
          </w:p>
        </w:tc>
        <w:tc>
          <w:tcPr>
            <w:tcW w:type="dxa" w:w="1644"/>
            <w:vAlign w:val="center"/>
            <w:tcMar>
              <w:top w:w="65" w:type="dxa"/>
              <w:left w:w="65" w:type="dxa"/>
              <w:bottom w:w="65" w:type="dxa"/>
              <w:right w:w="65" w:type="dxa"/>
            </w:tcMar>
          </w:tcPr>
          <w:p>
            <w:pPr>
              <w:pStyle w:val="TableText"/>
              <w:keepNext/>
              <w:widowControl/>
              <w:jc w:val="left"/>
            </w:pPr>
            <w:r>
              <w:rPr>
                <w:b w:val="0"/>
                <w:sz w:val="17"/>
              </w:rPr>
              <w:t>1.34</w:t>
            </w:r>
          </w:p>
        </w:tc>
        <w:tc>
          <w:tcPr>
            <w:tcW w:type="dxa" w:w="1644"/>
            <w:vAlign w:val="center"/>
            <w:tcMar>
              <w:top w:w="65" w:type="dxa"/>
              <w:left w:w="65" w:type="dxa"/>
              <w:bottom w:w="65" w:type="dxa"/>
              <w:right w:w="65" w:type="dxa"/>
            </w:tcMar>
          </w:tcPr>
          <w:p>
            <w:pPr>
              <w:pStyle w:val="TableText"/>
              <w:keepNext/>
              <w:widowControl/>
              <w:jc w:val="left"/>
            </w:pPr>
            <w:r>
              <w:rPr>
                <w:b w:val="0"/>
                <w:sz w:val="17"/>
              </w:rPr>
              <w:t>1.19</w:t>
            </w:r>
          </w:p>
        </w:tc>
      </w:tr>
      <w:tr>
        <w:trPr>
          <w:cantSplit/>
        </w:trPr>
        <w:tc>
          <w:tcPr>
            <w:tcW w:type="dxa" w:w="737"/>
            <w:vAlign w:val="center"/>
            <w:tcMar>
              <w:top w:w="65" w:type="dxa"/>
              <w:left w:w="65" w:type="dxa"/>
              <w:bottom w:w="65" w:type="dxa"/>
              <w:right w:w="65" w:type="dxa"/>
            </w:tcMar>
          </w:tcPr>
          <w:p>
            <w:pPr>
              <w:pStyle w:val="TableText"/>
              <w:keepNext w:val="0"/>
              <w:widowControl/>
              <w:jc w:val="left"/>
            </w:pPr>
            <w:r>
              <w:rPr>
                <w:b w:val="0"/>
                <w:sz w:val="17"/>
              </w:rPr>
              <w:t>Gemini</w:t>
            </w:r>
          </w:p>
        </w:tc>
        <w:tc>
          <w:tcPr>
            <w:tcW w:type="dxa" w:w="680"/>
            <w:vAlign w:val="center"/>
            <w:tcMar>
              <w:top w:w="65" w:type="dxa"/>
              <w:left w:w="65" w:type="dxa"/>
              <w:bottom w:w="65" w:type="dxa"/>
              <w:right w:w="65" w:type="dxa"/>
            </w:tcMar>
          </w:tcPr>
          <w:p>
            <w:pPr>
              <w:pStyle w:val="TableText"/>
              <w:keepNext w:val="0"/>
              <w:widowControl/>
              <w:jc w:val="left"/>
            </w:pPr>
            <w:r>
              <w:rPr>
                <w:b w:val="0"/>
                <w:sz w:val="17"/>
              </w:rPr>
              <w:t>BINF</w:t>
            </w:r>
          </w:p>
        </w:tc>
        <w:tc>
          <w:tcPr>
            <w:tcW w:type="dxa" w:w="1616"/>
            <w:vAlign w:val="center"/>
            <w:tcMar>
              <w:top w:w="65" w:type="dxa"/>
              <w:left w:w="65" w:type="dxa"/>
              <w:bottom w:w="65" w:type="dxa"/>
              <w:right w:w="65" w:type="dxa"/>
            </w:tcMar>
          </w:tcPr>
          <w:p>
            <w:pPr>
              <w:pStyle w:val="TableText"/>
              <w:keepNext w:val="0"/>
              <w:widowControl/>
              <w:jc w:val="left"/>
            </w:pPr>
            <w:r>
              <w:rPr>
                <w:b w:val="0"/>
                <w:sz w:val="17"/>
              </w:rPr>
              <w:t>2.499</w:t>
            </w:r>
          </w:p>
        </w:tc>
        <w:tc>
          <w:tcPr>
            <w:tcW w:type="dxa" w:w="1616"/>
            <w:vAlign w:val="center"/>
            <w:tcMar>
              <w:top w:w="65" w:type="dxa"/>
              <w:left w:w="65" w:type="dxa"/>
              <w:bottom w:w="65" w:type="dxa"/>
              <w:right w:w="65" w:type="dxa"/>
            </w:tcMar>
          </w:tcPr>
          <w:p>
            <w:pPr>
              <w:pStyle w:val="TableText"/>
              <w:keepNext w:val="0"/>
              <w:widowControl/>
              <w:jc w:val="left"/>
            </w:pPr>
            <w:r>
              <w:rPr>
                <w:b w:val="0"/>
                <w:sz w:val="17"/>
              </w:rPr>
              <w:t>2.169</w:t>
            </w:r>
          </w:p>
        </w:tc>
        <w:tc>
          <w:tcPr>
            <w:tcW w:type="dxa" w:w="1644"/>
            <w:vAlign w:val="center"/>
            <w:tcMar>
              <w:top w:w="65" w:type="dxa"/>
              <w:left w:w="65" w:type="dxa"/>
              <w:bottom w:w="65" w:type="dxa"/>
              <w:right w:w="65" w:type="dxa"/>
            </w:tcMar>
          </w:tcPr>
          <w:p>
            <w:pPr>
              <w:pStyle w:val="TableText"/>
              <w:keepNext w:val="0"/>
              <w:widowControl/>
              <w:jc w:val="left"/>
            </w:pPr>
            <w:r>
              <w:rPr>
                <w:b w:val="0"/>
                <w:sz w:val="17"/>
              </w:rPr>
              <w:t>4.73</w:t>
            </w:r>
          </w:p>
        </w:tc>
        <w:tc>
          <w:tcPr>
            <w:tcW w:type="dxa" w:w="1644"/>
            <w:vAlign w:val="center"/>
            <w:tcMar>
              <w:top w:w="65" w:type="dxa"/>
              <w:left w:w="65" w:type="dxa"/>
              <w:bottom w:w="65" w:type="dxa"/>
              <w:right w:w="65" w:type="dxa"/>
            </w:tcMar>
          </w:tcPr>
          <w:p>
            <w:pPr>
              <w:pStyle w:val="TableText"/>
              <w:keepNext w:val="0"/>
              <w:widowControl/>
              <w:jc w:val="left"/>
            </w:pPr>
            <w:r>
              <w:rPr>
                <w:b w:val="0"/>
                <w:sz w:val="17"/>
              </w:rPr>
              <w:t>3.42</w:t>
            </w:r>
          </w:p>
        </w:tc>
      </w:tr>
      <w:tr>
        <w:trPr>
          <w:cantSplit/>
        </w:trPr>
        <w:tc>
          <w:tcPr>
            <w:tcW w:type="dxa" w:w="737"/>
            <w:vAlign w:val="center"/>
            <w:tcMar>
              <w:top w:w="65" w:type="dxa"/>
              <w:left w:w="65" w:type="dxa"/>
              <w:bottom w:w="65" w:type="dxa"/>
              <w:right w:w="65" w:type="dxa"/>
            </w:tcMar>
          </w:tcPr>
          <w:p>
            <w:pPr>
              <w:pStyle w:val="TableText"/>
              <w:keepNext w:val="0"/>
              <w:widowControl/>
              <w:jc w:val="left"/>
            </w:pPr>
            <w:r>
              <w:rPr>
                <w:b w:val="0"/>
                <w:sz w:val="17"/>
              </w:rPr>
              <w:t>GPT</w:t>
            </w:r>
          </w:p>
        </w:tc>
        <w:tc>
          <w:tcPr>
            <w:tcW w:type="dxa" w:w="680"/>
            <w:vAlign w:val="center"/>
            <w:tcMar>
              <w:top w:w="65" w:type="dxa"/>
              <w:left w:w="65" w:type="dxa"/>
              <w:bottom w:w="65" w:type="dxa"/>
              <w:right w:w="65" w:type="dxa"/>
            </w:tcMar>
          </w:tcPr>
          <w:p>
            <w:pPr>
              <w:pStyle w:val="TableText"/>
              <w:keepNext w:val="0"/>
              <w:widowControl/>
              <w:jc w:val="left"/>
            </w:pPr>
            <w:r>
              <w:rPr>
                <w:b w:val="0"/>
                <w:sz w:val="17"/>
              </w:rPr>
              <w:t>B1</w:t>
            </w:r>
          </w:p>
        </w:tc>
        <w:tc>
          <w:tcPr>
            <w:tcW w:type="dxa" w:w="1616"/>
            <w:vAlign w:val="center"/>
            <w:tcMar>
              <w:top w:w="65" w:type="dxa"/>
              <w:left w:w="65" w:type="dxa"/>
              <w:bottom w:w="65" w:type="dxa"/>
              <w:right w:w="65" w:type="dxa"/>
            </w:tcMar>
          </w:tcPr>
          <w:p>
            <w:pPr>
              <w:pStyle w:val="TableText"/>
              <w:keepNext w:val="0"/>
              <w:widowControl/>
              <w:jc w:val="left"/>
            </w:pPr>
            <w:r>
              <w:rPr>
                <w:b w:val="0"/>
                <w:sz w:val="17"/>
              </w:rPr>
              <w:t>0.406</w:t>
            </w:r>
          </w:p>
        </w:tc>
        <w:tc>
          <w:tcPr>
            <w:tcW w:type="dxa" w:w="1616"/>
            <w:vAlign w:val="center"/>
            <w:tcMar>
              <w:top w:w="65" w:type="dxa"/>
              <w:left w:w="65" w:type="dxa"/>
              <w:bottom w:w="65" w:type="dxa"/>
              <w:right w:w="65" w:type="dxa"/>
            </w:tcMar>
          </w:tcPr>
          <w:p>
            <w:pPr>
              <w:pStyle w:val="TableText"/>
              <w:keepNext w:val="0"/>
              <w:widowControl/>
              <w:jc w:val="left"/>
            </w:pPr>
            <w:r>
              <w:rPr>
                <w:b w:val="0"/>
                <w:sz w:val="17"/>
              </w:rPr>
              <w:t>0.625</w:t>
            </w:r>
          </w:p>
        </w:tc>
        <w:tc>
          <w:tcPr>
            <w:tcW w:type="dxa" w:w="1644"/>
            <w:vAlign w:val="center"/>
            <w:tcMar>
              <w:top w:w="65" w:type="dxa"/>
              <w:left w:w="65" w:type="dxa"/>
              <w:bottom w:w="65" w:type="dxa"/>
              <w:right w:w="65" w:type="dxa"/>
            </w:tcMar>
          </w:tcPr>
          <w:p>
            <w:pPr>
              <w:pStyle w:val="TableText"/>
              <w:keepNext w:val="0"/>
              <w:widowControl/>
              <w:jc w:val="left"/>
            </w:pPr>
            <w:r>
              <w:rPr>
                <w:b w:val="0"/>
                <w:sz w:val="17"/>
              </w:rPr>
              <w:t>1.84</w:t>
            </w:r>
          </w:p>
        </w:tc>
        <w:tc>
          <w:tcPr>
            <w:tcW w:type="dxa" w:w="1644"/>
            <w:vAlign w:val="center"/>
            <w:tcMar>
              <w:top w:w="65" w:type="dxa"/>
              <w:left w:w="65" w:type="dxa"/>
              <w:bottom w:w="65" w:type="dxa"/>
              <w:right w:w="65" w:type="dxa"/>
            </w:tcMar>
          </w:tcPr>
          <w:p>
            <w:pPr>
              <w:pStyle w:val="TableText"/>
              <w:keepNext w:val="0"/>
              <w:widowControl/>
              <w:jc w:val="left"/>
            </w:pPr>
            <w:r>
              <w:rPr>
                <w:b w:val="0"/>
                <w:sz w:val="17"/>
              </w:rPr>
              <w:t>1.57</w:t>
            </w:r>
          </w:p>
        </w:tc>
      </w:tr>
      <w:tr>
        <w:trPr>
          <w:cantSplit/>
        </w:trPr>
        <w:tc>
          <w:tcPr>
            <w:tcW w:type="dxa" w:w="737"/>
            <w:vAlign w:val="center"/>
            <w:tcMar>
              <w:top w:w="65" w:type="dxa"/>
              <w:left w:w="65" w:type="dxa"/>
              <w:bottom w:w="65" w:type="dxa"/>
              <w:right w:w="65" w:type="dxa"/>
            </w:tcMar>
          </w:tcPr>
          <w:p>
            <w:pPr>
              <w:pStyle w:val="TableText"/>
              <w:keepNext w:val="0"/>
              <w:widowControl/>
              <w:jc w:val="left"/>
            </w:pPr>
            <w:r>
              <w:rPr>
                <w:b w:val="0"/>
                <w:sz w:val="17"/>
              </w:rPr>
              <w:t>GPT</w:t>
            </w:r>
          </w:p>
        </w:tc>
        <w:tc>
          <w:tcPr>
            <w:tcW w:type="dxa" w:w="680"/>
            <w:vAlign w:val="center"/>
            <w:tcMar>
              <w:top w:w="65" w:type="dxa"/>
              <w:left w:w="65" w:type="dxa"/>
              <w:bottom w:w="65" w:type="dxa"/>
              <w:right w:w="65" w:type="dxa"/>
            </w:tcMar>
          </w:tcPr>
          <w:p>
            <w:pPr>
              <w:pStyle w:val="TableText"/>
              <w:keepNext w:val="0"/>
              <w:widowControl/>
              <w:jc w:val="left"/>
            </w:pPr>
            <w:r>
              <w:rPr>
                <w:b w:val="0"/>
                <w:sz w:val="17"/>
              </w:rPr>
              <w:t>BINF</w:t>
            </w:r>
          </w:p>
        </w:tc>
        <w:tc>
          <w:tcPr>
            <w:tcW w:type="dxa" w:w="1616"/>
            <w:vAlign w:val="center"/>
            <w:tcMar>
              <w:top w:w="65" w:type="dxa"/>
              <w:left w:w="65" w:type="dxa"/>
              <w:bottom w:w="65" w:type="dxa"/>
              <w:right w:w="65" w:type="dxa"/>
            </w:tcMar>
          </w:tcPr>
          <w:p>
            <w:pPr>
              <w:pStyle w:val="TableText"/>
              <w:keepNext w:val="0"/>
              <w:widowControl/>
              <w:jc w:val="left"/>
            </w:pPr>
            <w:r>
              <w:rPr>
                <w:b w:val="0"/>
                <w:sz w:val="17"/>
              </w:rPr>
              <w:t>0.919</w:t>
            </w:r>
          </w:p>
        </w:tc>
        <w:tc>
          <w:tcPr>
            <w:tcW w:type="dxa" w:w="1616"/>
            <w:vAlign w:val="center"/>
            <w:tcMar>
              <w:top w:w="65" w:type="dxa"/>
              <w:left w:w="65" w:type="dxa"/>
              <w:bottom w:w="65" w:type="dxa"/>
              <w:right w:w="65" w:type="dxa"/>
            </w:tcMar>
          </w:tcPr>
          <w:p>
            <w:pPr>
              <w:pStyle w:val="TableText"/>
              <w:keepNext w:val="0"/>
              <w:widowControl/>
              <w:jc w:val="left"/>
            </w:pPr>
            <w:r>
              <w:rPr>
                <w:b w:val="0"/>
                <w:sz w:val="17"/>
              </w:rPr>
              <w:t>1.013</w:t>
            </w:r>
          </w:p>
        </w:tc>
        <w:tc>
          <w:tcPr>
            <w:tcW w:type="dxa" w:w="1644"/>
            <w:vAlign w:val="center"/>
            <w:tcMar>
              <w:top w:w="65" w:type="dxa"/>
              <w:left w:w="65" w:type="dxa"/>
              <w:bottom w:w="65" w:type="dxa"/>
              <w:right w:w="65" w:type="dxa"/>
            </w:tcMar>
          </w:tcPr>
          <w:p>
            <w:pPr>
              <w:pStyle w:val="TableText"/>
              <w:keepNext w:val="0"/>
              <w:widowControl/>
              <w:jc w:val="left"/>
            </w:pPr>
            <w:r>
              <w:rPr>
                <w:b w:val="0"/>
                <w:sz w:val="17"/>
              </w:rPr>
              <w:t>2.63</w:t>
            </w:r>
          </w:p>
        </w:tc>
        <w:tc>
          <w:tcPr>
            <w:tcW w:type="dxa" w:w="1644"/>
            <w:vAlign w:val="center"/>
            <w:tcMar>
              <w:top w:w="65" w:type="dxa"/>
              <w:left w:w="65" w:type="dxa"/>
              <w:bottom w:w="65" w:type="dxa"/>
              <w:right w:w="65" w:type="dxa"/>
            </w:tcMar>
          </w:tcPr>
          <w:p>
            <w:pPr>
              <w:pStyle w:val="TableText"/>
              <w:keepNext w:val="0"/>
              <w:widowControl/>
              <w:jc w:val="left"/>
            </w:pPr>
            <w:r>
              <w:rPr>
                <w:b w:val="0"/>
                <w:sz w:val="17"/>
              </w:rPr>
              <w:t>1.73</w:t>
            </w:r>
          </w:p>
        </w:tc>
      </w:tr>
    </w:tbl>
    <w:p>
      <w:pPr>
        <w:pStyle w:val="SourceNote"/>
        <w:widowControl/>
      </w:pPr>
      <w:r>
        <w:t>자료: Baseline Run1/free8/IC-b. ITT 강도는 A0를 포함한 전체 575개 평균, 활성 축 수는 각 조건에서 strict usable인 행동의 조건부 평균이다. 후자의 두 표본이 같다는 가정이나 통계적 효과 판정은 하지 않는다.</w:t>
      </w:r>
    </w:p>
    <w:p>
      <w:pPr>
        <w:widowControl/>
      </w:pPr>
      <w:r>
        <w:t>진단 지시는 수용률뿐 아니라 행동강도와 사용하는 차원의 조합을 바꿀 수 있다. 표의 활성 차원 수는 각 조건의 수용표본에서 계산한 기술통계이므로 동일 기업 교집합의 인과적 변화로 읽지 않는다. H2는 출력 유효성과 관측 행동의 변화를 함께 확인하는 질문으로 다루며, 구형 후보집합에서의 최근접 거리 수치를 현재 행동공간의 결과로 옮기지 않는다.</w:t>
      </w:r>
    </w:p>
    <w:p>
      <w:bookmarkStart w:id="117" w:name="head_90"/>
      <w:pPr>
        <w:pStyle w:val="3"/>
        <w:widowControl/>
      </w:pPr>
      <w:r>
        <w:t>5.3.3 C6-E−C4R: 학습참조의 추가 가치</w:t>
      </w:r>
      <w:bookmarkEnd w:id="117"/>
    </w:p>
    <w:p>
      <w:pPr>
        <w:widowControl/>
      </w:pPr>
      <w:r>
        <w:t>B1에서 C6-E−C4R은 Gemini +0.022015, GPT +0.037527이다. 두 구간은 0을 포함하고 Holm 조정 이후에도 양의 추가효과로 확정되지 않는다. 이는 참조가 모든 기업에서 무의미하다는 뜻이 아니라, 이 Baseline 생성·실행 조건에서 자기 재검토보다 평균적으로 더 높은 가치를 얻었다는 증거가 충분하지 않다는 뜻이다.</w:t>
      </w:r>
    </w:p>
    <w:p>
      <w:pPr>
        <w:widowControl/>
      </w:pPr>
      <w:r>
        <w:t>BINF에서는 GPT의 차이가 +0.147202이고 95% 구간은 [+0.051112,+0.244527], 이번 재현 방식의 Holm p는 약 0.0200이다. 반면 Gemini는 +0.018038이며 구간이 양과 음을 포함한다. 따라서 Baseline에서 학습참조의 추가효과가 두 모델 모두 없었다고 포괄적으로 쓰는 것도 틀리다. 모델과 행동예산을 명시해야 한다.</w:t>
      </w:r>
    </w:p>
    <w:p>
      <w:bookmarkStart w:id="118" w:name="head_91"/>
      <w:pPr>
        <w:pStyle w:val="3"/>
        <w:widowControl/>
      </w:pPr>
      <w:r>
        <w:t>5.3.4 C6-E−C6-EX: 기업과 참조의 연결</w:t>
      </w:r>
      <w:bookmarkEnd w:id="118"/>
    </w:p>
    <w:p>
      <w:pPr>
        <w:widowControl/>
      </w:pPr>
      <w:r>
        <w:t>B1에서 GPT의 C6-E−C6-EX는 +0.174192이며 구간은 [+0.075089,+0.276724]이다. 동일한 참조 주변분포를 유지하면서 기업별 연결을 바꿨을 때보다 원래 연결의 점수가 높았다. Gemini의 차이는 +0.045249이나 구간이 0을 포함한다. 이 결과는 고정된 derangement 아래의 기업–참조 연결 차이이며, 참조의 출처가 언제나 인식되거나 참조를 무비판적으로 수용했다는 증거가 아니다.</w:t>
      </w:r>
    </w:p>
    <w:p>
      <w:pPr>
        <w:widowControl/>
      </w:pPr>
      <w:r>
        <w:t>GPT BINF에서도 점추정은 +0.126973으로 양수이고 미조정 구간은 양의 범위이지만, 8개 family Holm 조정값은 약 0.0672이다. 미조정 구간만 보고 본문에 확정적인 별표를 붙이면 다중비교 규칙과 어긋난다. Gemini BINF도 양의 점추정이지만 조정 후 뚜렷하지 않다. 동일한 표에 추정치, 미조정 구간 및 조정 p를 함께 남긴 이유이다.</w:t>
      </w:r>
    </w:p>
    <w:p>
      <w:bookmarkStart w:id="119" w:name="head_92"/>
      <w:pPr>
        <w:pStyle w:val="2"/>
        <w:widowControl/>
      </w:pPr>
      <w:r>
        <w:t>5.4 행동예산과 수정효과의 상호작용</w:t>
      </w:r>
      <w:bookmarkEnd w:id="119"/>
    </w:p>
    <w:p>
      <w:bookmarkStart w:id="120" w:name="cap_28"/>
      <w:pPr>
        <w:pStyle w:val="af"/>
        <w:widowControl/>
      </w:pPr>
      <w:r>
        <w:t>표 5-8. Baseline 대비효과의 B1−BINF 차이</w:t>
      </w:r>
      <w:bookmarkEnd w:id="120"/>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794"/>
        <w:gridCol w:w="1814"/>
        <w:gridCol w:w="1531"/>
        <w:gridCol w:w="2438"/>
        <w:gridCol w:w="1361"/>
      </w:tblGrid>
      <w:tr>
        <w:trPr>
          <w:cantSplit/>
          <w:tblHeader/>
        </w:trPr>
        <w:tc>
          <w:tcPr>
            <w:tcW w:type="dxa" w:w="794"/>
            <w:vAlign w:val="center"/>
            <w:shd w:fill="F1F1F1"/>
            <w:tcMar>
              <w:top w:w="65" w:type="dxa"/>
              <w:left w:w="65" w:type="dxa"/>
              <w:bottom w:w="65" w:type="dxa"/>
              <w:right w:w="65" w:type="dxa"/>
            </w:tcMar>
          </w:tcPr>
          <w:p>
            <w:pPr>
              <w:pStyle w:val="TableText"/>
              <w:keepNext/>
              <w:widowControl/>
              <w:jc w:val="center"/>
            </w:pPr>
            <w:r>
              <w:rPr>
                <w:b/>
                <w:sz w:val="18"/>
              </w:rPr>
              <w:t>모델</w:t>
            </w:r>
          </w:p>
        </w:tc>
        <w:tc>
          <w:tcPr>
            <w:tcW w:type="dxa" w:w="1814"/>
            <w:vAlign w:val="center"/>
            <w:shd w:fill="F1F1F1"/>
            <w:tcMar>
              <w:top w:w="65" w:type="dxa"/>
              <w:left w:w="65" w:type="dxa"/>
              <w:bottom w:w="65" w:type="dxa"/>
              <w:right w:w="65" w:type="dxa"/>
            </w:tcMar>
          </w:tcPr>
          <w:p>
            <w:pPr>
              <w:pStyle w:val="TableText"/>
              <w:keepNext/>
              <w:widowControl/>
              <w:jc w:val="center"/>
            </w:pPr>
            <w:r>
              <w:rPr>
                <w:b/>
                <w:sz w:val="18"/>
              </w:rPr>
              <w:t>대비</w:t>
            </w:r>
          </w:p>
        </w:tc>
        <w:tc>
          <w:tcPr>
            <w:tcW w:type="dxa" w:w="1531"/>
            <w:vAlign w:val="center"/>
            <w:shd w:fill="F1F1F1"/>
            <w:tcMar>
              <w:top w:w="65" w:type="dxa"/>
              <w:left w:w="65" w:type="dxa"/>
              <w:bottom w:w="65" w:type="dxa"/>
              <w:right w:w="65" w:type="dxa"/>
            </w:tcMar>
          </w:tcPr>
          <w:p>
            <w:pPr>
              <w:pStyle w:val="TableText"/>
              <w:keepNext/>
              <w:widowControl/>
              <w:jc w:val="center"/>
            </w:pPr>
            <w:r>
              <w:rPr>
                <w:b/>
                <w:sz w:val="18"/>
              </w:rPr>
              <w:t>상호작용 Δα</w:t>
            </w:r>
          </w:p>
        </w:tc>
        <w:tc>
          <w:tcPr>
            <w:tcW w:type="dxa" w:w="2438"/>
            <w:vAlign w:val="center"/>
            <w:shd w:fill="F1F1F1"/>
            <w:tcMar>
              <w:top w:w="65" w:type="dxa"/>
              <w:left w:w="65" w:type="dxa"/>
              <w:bottom w:w="65" w:type="dxa"/>
              <w:right w:w="65" w:type="dxa"/>
            </w:tcMar>
          </w:tcPr>
          <w:p>
            <w:pPr>
              <w:pStyle w:val="TableText"/>
              <w:keepNext/>
              <w:widowControl/>
              <w:jc w:val="center"/>
            </w:pPr>
            <w:r>
              <w:rPr>
                <w:b/>
                <w:sz w:val="18"/>
              </w:rPr>
              <w:t>95% 구간</w:t>
            </w:r>
          </w:p>
        </w:tc>
        <w:tc>
          <w:tcPr>
            <w:tcW w:type="dxa" w:w="1361"/>
            <w:vAlign w:val="center"/>
            <w:shd w:fill="F1F1F1"/>
            <w:tcMar>
              <w:top w:w="65" w:type="dxa"/>
              <w:left w:w="65" w:type="dxa"/>
              <w:bottom w:w="65" w:type="dxa"/>
              <w:right w:w="65" w:type="dxa"/>
            </w:tcMar>
          </w:tcPr>
          <w:p>
            <w:pPr>
              <w:pStyle w:val="TableText"/>
              <w:keepNext/>
              <w:widowControl/>
              <w:jc w:val="center"/>
            </w:pPr>
            <w:r>
              <w:rPr>
                <w:b/>
                <w:sz w:val="18"/>
              </w:rPr>
              <w:t>Holm p</w:t>
            </w:r>
          </w:p>
        </w:tc>
      </w:tr>
      <w:tr>
        <w:trPr>
          <w:cantSplit/>
        </w:trPr>
        <w:tc>
          <w:tcPr>
            <w:tcW w:type="dxa" w:w="794"/>
            <w:vAlign w:val="center"/>
            <w:tcMar>
              <w:top w:w="65" w:type="dxa"/>
              <w:left w:w="65" w:type="dxa"/>
              <w:bottom w:w="65" w:type="dxa"/>
              <w:right w:w="65" w:type="dxa"/>
            </w:tcMar>
          </w:tcPr>
          <w:p>
            <w:pPr>
              <w:pStyle w:val="TableText"/>
              <w:keepNext/>
              <w:widowControl/>
              <w:jc w:val="left"/>
            </w:pPr>
            <w:r>
              <w:rPr>
                <w:b w:val="0"/>
                <w:sz w:val="18"/>
              </w:rPr>
              <w:t>Gemini</w:t>
            </w:r>
          </w:p>
        </w:tc>
        <w:tc>
          <w:tcPr>
            <w:tcW w:type="dxa" w:w="1814"/>
            <w:vAlign w:val="center"/>
            <w:tcMar>
              <w:top w:w="65" w:type="dxa"/>
              <w:left w:w="65" w:type="dxa"/>
              <w:bottom w:w="65" w:type="dxa"/>
              <w:right w:w="65" w:type="dxa"/>
            </w:tcMar>
          </w:tcPr>
          <w:p>
            <w:pPr>
              <w:pStyle w:val="TableText"/>
              <w:keepNext/>
              <w:widowControl/>
              <w:jc w:val="left"/>
            </w:pPr>
            <w:r>
              <w:rPr>
                <w:b w:val="0"/>
                <w:sz w:val="18"/>
              </w:rPr>
              <w:t>C4R−C4</w:t>
            </w:r>
          </w:p>
        </w:tc>
        <w:tc>
          <w:tcPr>
            <w:tcW w:type="dxa" w:w="1531"/>
            <w:vAlign w:val="center"/>
            <w:tcMar>
              <w:top w:w="65" w:type="dxa"/>
              <w:left w:w="65" w:type="dxa"/>
              <w:bottom w:w="65" w:type="dxa"/>
              <w:right w:w="65" w:type="dxa"/>
            </w:tcMar>
          </w:tcPr>
          <w:p>
            <w:pPr>
              <w:pStyle w:val="TableText"/>
              <w:keepNext/>
              <w:widowControl/>
              <w:jc w:val="left"/>
            </w:pPr>
            <w:r>
              <w:rPr>
                <w:b w:val="0"/>
                <w:sz w:val="18"/>
              </w:rPr>
              <w:t>-0.1450</w:t>
            </w:r>
          </w:p>
        </w:tc>
        <w:tc>
          <w:tcPr>
            <w:tcW w:type="dxa" w:w="2438"/>
            <w:vAlign w:val="center"/>
            <w:tcMar>
              <w:top w:w="65" w:type="dxa"/>
              <w:left w:w="65" w:type="dxa"/>
              <w:bottom w:w="65" w:type="dxa"/>
              <w:right w:w="65" w:type="dxa"/>
            </w:tcMar>
          </w:tcPr>
          <w:p>
            <w:pPr>
              <w:pStyle w:val="TableText"/>
              <w:keepNext/>
              <w:widowControl/>
              <w:jc w:val="left"/>
            </w:pPr>
            <w:r>
              <w:rPr>
                <w:b w:val="0"/>
                <w:sz w:val="18"/>
              </w:rPr>
              <w:t>[-0.2206, -0.0727]</w:t>
            </w:r>
          </w:p>
        </w:tc>
        <w:tc>
          <w:tcPr>
            <w:tcW w:type="dxa" w:w="1361"/>
            <w:vAlign w:val="center"/>
            <w:tcMar>
              <w:top w:w="65" w:type="dxa"/>
              <w:left w:w="65" w:type="dxa"/>
              <w:bottom w:w="65" w:type="dxa"/>
              <w:right w:w="65" w:type="dxa"/>
            </w:tcMar>
          </w:tcPr>
          <w:p>
            <w:pPr>
              <w:pStyle w:val="TableText"/>
              <w:keepNext/>
              <w:widowControl/>
              <w:jc w:val="left"/>
            </w:pPr>
            <w:r>
              <w:rPr>
                <w:b w:val="0"/>
                <w:sz w:val="18"/>
              </w:rPr>
              <w:t>0.0008</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8"/>
              </w:rPr>
              <w:t>Gemini</w:t>
            </w:r>
          </w:p>
        </w:tc>
        <w:tc>
          <w:tcPr>
            <w:tcW w:type="dxa" w:w="1814"/>
            <w:vAlign w:val="center"/>
            <w:tcMar>
              <w:top w:w="65" w:type="dxa"/>
              <w:left w:w="65" w:type="dxa"/>
              <w:bottom w:w="65" w:type="dxa"/>
              <w:right w:w="65" w:type="dxa"/>
            </w:tcMar>
          </w:tcPr>
          <w:p>
            <w:pPr>
              <w:pStyle w:val="TableText"/>
              <w:keepNext w:val="0"/>
              <w:widowControl/>
              <w:jc w:val="left"/>
            </w:pPr>
            <w:r>
              <w:rPr>
                <w:b w:val="0"/>
                <w:sz w:val="18"/>
              </w:rPr>
              <w:t>C5−C4</w:t>
            </w:r>
          </w:p>
        </w:tc>
        <w:tc>
          <w:tcPr>
            <w:tcW w:type="dxa" w:w="1531"/>
            <w:vAlign w:val="center"/>
            <w:tcMar>
              <w:top w:w="65" w:type="dxa"/>
              <w:left w:w="65" w:type="dxa"/>
              <w:bottom w:w="65" w:type="dxa"/>
              <w:right w:w="65" w:type="dxa"/>
            </w:tcMar>
          </w:tcPr>
          <w:p>
            <w:pPr>
              <w:pStyle w:val="TableText"/>
              <w:keepNext w:val="0"/>
              <w:widowControl/>
              <w:jc w:val="left"/>
            </w:pPr>
            <w:r>
              <w:rPr>
                <w:b w:val="0"/>
                <w:sz w:val="18"/>
              </w:rPr>
              <w:t>+0.1867</w:t>
            </w:r>
          </w:p>
        </w:tc>
        <w:tc>
          <w:tcPr>
            <w:tcW w:type="dxa" w:w="2438"/>
            <w:vAlign w:val="center"/>
            <w:tcMar>
              <w:top w:w="65" w:type="dxa"/>
              <w:left w:w="65" w:type="dxa"/>
              <w:bottom w:w="65" w:type="dxa"/>
              <w:right w:w="65" w:type="dxa"/>
            </w:tcMar>
          </w:tcPr>
          <w:p>
            <w:pPr>
              <w:pStyle w:val="TableText"/>
              <w:keepNext w:val="0"/>
              <w:widowControl/>
              <w:jc w:val="left"/>
            </w:pPr>
            <w:r>
              <w:rPr>
                <w:b w:val="0"/>
                <w:sz w:val="18"/>
              </w:rPr>
              <w:t>[+0.0750, +0.3017]</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0.0012</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8"/>
              </w:rPr>
              <w:t>Gemini</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531"/>
            <w:vAlign w:val="center"/>
            <w:tcMar>
              <w:top w:w="65" w:type="dxa"/>
              <w:left w:w="65" w:type="dxa"/>
              <w:bottom w:w="65" w:type="dxa"/>
              <w:right w:w="65" w:type="dxa"/>
            </w:tcMar>
          </w:tcPr>
          <w:p>
            <w:pPr>
              <w:pStyle w:val="TableText"/>
              <w:keepNext w:val="0"/>
              <w:widowControl/>
              <w:jc w:val="left"/>
            </w:pPr>
            <w:r>
              <w:rPr>
                <w:b w:val="0"/>
                <w:sz w:val="18"/>
              </w:rPr>
              <w:t>+0.0040</w:t>
            </w:r>
          </w:p>
        </w:tc>
        <w:tc>
          <w:tcPr>
            <w:tcW w:type="dxa" w:w="2438"/>
            <w:vAlign w:val="center"/>
            <w:tcMar>
              <w:top w:w="65" w:type="dxa"/>
              <w:left w:w="65" w:type="dxa"/>
              <w:bottom w:w="65" w:type="dxa"/>
              <w:right w:w="65" w:type="dxa"/>
            </w:tcMar>
          </w:tcPr>
          <w:p>
            <w:pPr>
              <w:pStyle w:val="TableText"/>
              <w:keepNext w:val="0"/>
              <w:widowControl/>
              <w:jc w:val="left"/>
            </w:pPr>
            <w:r>
              <w:rPr>
                <w:b w:val="0"/>
                <w:sz w:val="18"/>
              </w:rPr>
              <w:t>[-0.0786, +0.0859]</w:t>
            </w:r>
          </w:p>
        </w:tc>
        <w:tc>
          <w:tcPr>
            <w:tcW w:type="dxa" w:w="1361"/>
            <w:vAlign w:val="center"/>
            <w:tcMar>
              <w:top w:w="65" w:type="dxa"/>
              <w:left w:w="65" w:type="dxa"/>
              <w:bottom w:w="65" w:type="dxa"/>
              <w:right w:w="65" w:type="dxa"/>
            </w:tcMar>
          </w:tcPr>
          <w:p>
            <w:pPr>
              <w:pStyle w:val="TableText"/>
              <w:keepNext w:val="0"/>
              <w:widowControl/>
              <w:jc w:val="left"/>
            </w:pPr>
            <w:r>
              <w:rPr>
                <w:b w:val="0"/>
                <w:sz w:val="18"/>
              </w:rPr>
              <w:t>1.0000</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8"/>
              </w:rPr>
              <w:t>Gemini</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531"/>
            <w:vAlign w:val="center"/>
            <w:tcMar>
              <w:top w:w="65" w:type="dxa"/>
              <w:left w:w="65" w:type="dxa"/>
              <w:bottom w:w="65" w:type="dxa"/>
              <w:right w:w="65" w:type="dxa"/>
            </w:tcMar>
          </w:tcPr>
          <w:p>
            <w:pPr>
              <w:pStyle w:val="TableText"/>
              <w:keepNext w:val="0"/>
              <w:widowControl/>
              <w:jc w:val="left"/>
            </w:pPr>
            <w:r>
              <w:rPr>
                <w:b w:val="0"/>
                <w:sz w:val="18"/>
              </w:rPr>
              <w:t>-0.0124</w:t>
            </w:r>
          </w:p>
        </w:tc>
        <w:tc>
          <w:tcPr>
            <w:tcW w:type="dxa" w:w="2438"/>
            <w:vAlign w:val="center"/>
            <w:tcMar>
              <w:top w:w="65" w:type="dxa"/>
              <w:left w:w="65" w:type="dxa"/>
              <w:bottom w:w="65" w:type="dxa"/>
              <w:right w:w="65" w:type="dxa"/>
            </w:tcMar>
          </w:tcPr>
          <w:p>
            <w:pPr>
              <w:pStyle w:val="TableText"/>
              <w:keepNext w:val="0"/>
              <w:widowControl/>
              <w:jc w:val="left"/>
            </w:pPr>
            <w:r>
              <w:rPr>
                <w:b w:val="0"/>
                <w:sz w:val="18"/>
              </w:rPr>
              <w:t>[-0.1088, +0.0833]</w:t>
            </w:r>
          </w:p>
        </w:tc>
        <w:tc>
          <w:tcPr>
            <w:tcW w:type="dxa" w:w="1361"/>
            <w:vAlign w:val="center"/>
            <w:tcMar>
              <w:top w:w="65" w:type="dxa"/>
              <w:left w:w="65" w:type="dxa"/>
              <w:bottom w:w="65" w:type="dxa"/>
              <w:right w:w="65" w:type="dxa"/>
            </w:tcMar>
          </w:tcPr>
          <w:p>
            <w:pPr>
              <w:pStyle w:val="TableText"/>
              <w:keepNext w:val="0"/>
              <w:widowControl/>
              <w:jc w:val="left"/>
            </w:pPr>
            <w:r>
              <w:rPr>
                <w:b w:val="0"/>
                <w:sz w:val="18"/>
              </w:rPr>
              <w:t>1.0000</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8"/>
              </w:rPr>
              <w:t>GPT</w:t>
            </w:r>
          </w:p>
        </w:tc>
        <w:tc>
          <w:tcPr>
            <w:tcW w:type="dxa" w:w="1814"/>
            <w:vAlign w:val="center"/>
            <w:tcMar>
              <w:top w:w="65" w:type="dxa"/>
              <w:left w:w="65" w:type="dxa"/>
              <w:bottom w:w="65" w:type="dxa"/>
              <w:right w:w="65" w:type="dxa"/>
            </w:tcMar>
          </w:tcPr>
          <w:p>
            <w:pPr>
              <w:pStyle w:val="TableText"/>
              <w:keepNext w:val="0"/>
              <w:widowControl/>
              <w:jc w:val="left"/>
            </w:pPr>
            <w:r>
              <w:rPr>
                <w:b w:val="0"/>
                <w:sz w:val="18"/>
              </w:rPr>
              <w:t>C4R−C4</w:t>
            </w:r>
          </w:p>
        </w:tc>
        <w:tc>
          <w:tcPr>
            <w:tcW w:type="dxa" w:w="1531"/>
            <w:vAlign w:val="center"/>
            <w:tcMar>
              <w:top w:w="65" w:type="dxa"/>
              <w:left w:w="65" w:type="dxa"/>
              <w:bottom w:w="65" w:type="dxa"/>
              <w:right w:w="65" w:type="dxa"/>
            </w:tcMar>
          </w:tcPr>
          <w:p>
            <w:pPr>
              <w:pStyle w:val="TableText"/>
              <w:keepNext w:val="0"/>
              <w:widowControl/>
              <w:jc w:val="left"/>
            </w:pPr>
            <w:r>
              <w:rPr>
                <w:b w:val="0"/>
                <w:sz w:val="18"/>
              </w:rPr>
              <w:t>+0.0326</w:t>
            </w:r>
          </w:p>
        </w:tc>
        <w:tc>
          <w:tcPr>
            <w:tcW w:type="dxa" w:w="2438"/>
            <w:vAlign w:val="center"/>
            <w:tcMar>
              <w:top w:w="65" w:type="dxa"/>
              <w:left w:w="65" w:type="dxa"/>
              <w:bottom w:w="65" w:type="dxa"/>
              <w:right w:w="65" w:type="dxa"/>
            </w:tcMar>
          </w:tcPr>
          <w:p>
            <w:pPr>
              <w:pStyle w:val="TableText"/>
              <w:keepNext w:val="0"/>
              <w:widowControl/>
              <w:jc w:val="left"/>
            </w:pPr>
            <w:r>
              <w:rPr>
                <w:b w:val="0"/>
                <w:sz w:val="18"/>
              </w:rPr>
              <w:t>[-0.0534, +0.1185]</w:t>
            </w:r>
          </w:p>
        </w:tc>
        <w:tc>
          <w:tcPr>
            <w:tcW w:type="dxa" w:w="1361"/>
            <w:vAlign w:val="center"/>
            <w:tcMar>
              <w:top w:w="65" w:type="dxa"/>
              <w:left w:w="65" w:type="dxa"/>
              <w:bottom w:w="65" w:type="dxa"/>
              <w:right w:w="65" w:type="dxa"/>
            </w:tcMar>
          </w:tcPr>
          <w:p>
            <w:pPr>
              <w:pStyle w:val="TableText"/>
              <w:keepNext w:val="0"/>
              <w:widowControl/>
              <w:jc w:val="left"/>
            </w:pPr>
            <w:r>
              <w:rPr>
                <w:b w:val="0"/>
                <w:sz w:val="18"/>
              </w:rPr>
              <w:t>0.9295</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8"/>
              </w:rPr>
              <w:t>GPT</w:t>
            </w:r>
          </w:p>
        </w:tc>
        <w:tc>
          <w:tcPr>
            <w:tcW w:type="dxa" w:w="1814"/>
            <w:vAlign w:val="center"/>
            <w:tcMar>
              <w:top w:w="65" w:type="dxa"/>
              <w:left w:w="65" w:type="dxa"/>
              <w:bottom w:w="65" w:type="dxa"/>
              <w:right w:w="65" w:type="dxa"/>
            </w:tcMar>
          </w:tcPr>
          <w:p>
            <w:pPr>
              <w:pStyle w:val="TableText"/>
              <w:keepNext w:val="0"/>
              <w:widowControl/>
              <w:jc w:val="left"/>
            </w:pPr>
            <w:r>
              <w:rPr>
                <w:b w:val="0"/>
                <w:sz w:val="18"/>
              </w:rPr>
              <w:t>C5−C4</w:t>
            </w:r>
          </w:p>
        </w:tc>
        <w:tc>
          <w:tcPr>
            <w:tcW w:type="dxa" w:w="1531"/>
            <w:vAlign w:val="center"/>
            <w:tcMar>
              <w:top w:w="65" w:type="dxa"/>
              <w:left w:w="65" w:type="dxa"/>
              <w:bottom w:w="65" w:type="dxa"/>
              <w:right w:w="65" w:type="dxa"/>
            </w:tcMar>
          </w:tcPr>
          <w:p>
            <w:pPr>
              <w:pStyle w:val="TableText"/>
              <w:keepNext w:val="0"/>
              <w:widowControl/>
              <w:jc w:val="left"/>
            </w:pPr>
            <w:r>
              <w:rPr>
                <w:b w:val="0"/>
                <w:sz w:val="18"/>
              </w:rPr>
              <w:t>+0.0949</w:t>
            </w:r>
          </w:p>
        </w:tc>
        <w:tc>
          <w:tcPr>
            <w:tcW w:type="dxa" w:w="2438"/>
            <w:vAlign w:val="center"/>
            <w:tcMar>
              <w:top w:w="65" w:type="dxa"/>
              <w:left w:w="65" w:type="dxa"/>
              <w:bottom w:w="65" w:type="dxa"/>
              <w:right w:w="65" w:type="dxa"/>
            </w:tcMar>
          </w:tcPr>
          <w:p>
            <w:pPr>
              <w:pStyle w:val="TableText"/>
              <w:keepNext w:val="0"/>
              <w:widowControl/>
              <w:jc w:val="left"/>
            </w:pPr>
            <w:r>
              <w:rPr>
                <w:b w:val="0"/>
                <w:sz w:val="18"/>
              </w:rPr>
              <w:t>[-0.0461, +0.2344]</w:t>
            </w:r>
          </w:p>
        </w:tc>
        <w:tc>
          <w:tcPr>
            <w:tcW w:type="dxa" w:w="1361"/>
            <w:vAlign w:val="center"/>
            <w:tcMar>
              <w:top w:w="65" w:type="dxa"/>
              <w:left w:w="65" w:type="dxa"/>
              <w:bottom w:w="65" w:type="dxa"/>
              <w:right w:w="65" w:type="dxa"/>
            </w:tcMar>
          </w:tcPr>
          <w:p>
            <w:pPr>
              <w:pStyle w:val="TableText"/>
              <w:keepNext w:val="0"/>
              <w:widowControl/>
              <w:jc w:val="left"/>
            </w:pPr>
            <w:r>
              <w:rPr>
                <w:b w:val="0"/>
                <w:sz w:val="18"/>
              </w:rPr>
              <w:t>0.5651</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8"/>
              </w:rPr>
              <w:t>GPT</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531"/>
            <w:vAlign w:val="center"/>
            <w:tcMar>
              <w:top w:w="65" w:type="dxa"/>
              <w:left w:w="65" w:type="dxa"/>
              <w:bottom w:w="65" w:type="dxa"/>
              <w:right w:w="65" w:type="dxa"/>
            </w:tcMar>
          </w:tcPr>
          <w:p>
            <w:pPr>
              <w:pStyle w:val="TableText"/>
              <w:keepNext w:val="0"/>
              <w:widowControl/>
              <w:jc w:val="left"/>
            </w:pPr>
            <w:r>
              <w:rPr>
                <w:b w:val="0"/>
                <w:sz w:val="18"/>
              </w:rPr>
              <w:t>-0.1097</w:t>
            </w:r>
          </w:p>
        </w:tc>
        <w:tc>
          <w:tcPr>
            <w:tcW w:type="dxa" w:w="2438"/>
            <w:vAlign w:val="center"/>
            <w:tcMar>
              <w:top w:w="65" w:type="dxa"/>
              <w:left w:w="65" w:type="dxa"/>
              <w:bottom w:w="65" w:type="dxa"/>
              <w:right w:w="65" w:type="dxa"/>
            </w:tcMar>
          </w:tcPr>
          <w:p>
            <w:pPr>
              <w:pStyle w:val="TableText"/>
              <w:keepNext w:val="0"/>
              <w:widowControl/>
              <w:jc w:val="left"/>
            </w:pPr>
            <w:r>
              <w:rPr>
                <w:b w:val="0"/>
                <w:sz w:val="18"/>
              </w:rPr>
              <w:t>[-0.2405, +0.0229]</w:t>
            </w:r>
          </w:p>
        </w:tc>
        <w:tc>
          <w:tcPr>
            <w:tcW w:type="dxa" w:w="1361"/>
            <w:vAlign w:val="center"/>
            <w:tcMar>
              <w:top w:w="65" w:type="dxa"/>
              <w:left w:w="65" w:type="dxa"/>
              <w:bottom w:w="65" w:type="dxa"/>
              <w:right w:w="65" w:type="dxa"/>
            </w:tcMar>
          </w:tcPr>
          <w:p>
            <w:pPr>
              <w:pStyle w:val="TableText"/>
              <w:keepNext w:val="0"/>
              <w:widowControl/>
              <w:jc w:val="left"/>
            </w:pPr>
            <w:r>
              <w:rPr>
                <w:b w:val="0"/>
                <w:sz w:val="18"/>
              </w:rPr>
              <w:t>0.4480</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8"/>
              </w:rPr>
              <w:t>GPT</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531"/>
            <w:vAlign w:val="center"/>
            <w:tcMar>
              <w:top w:w="65" w:type="dxa"/>
              <w:left w:w="65" w:type="dxa"/>
              <w:bottom w:w="65" w:type="dxa"/>
              <w:right w:w="65" w:type="dxa"/>
            </w:tcMar>
          </w:tcPr>
          <w:p>
            <w:pPr>
              <w:pStyle w:val="TableText"/>
              <w:keepNext w:val="0"/>
              <w:widowControl/>
              <w:jc w:val="left"/>
            </w:pPr>
            <w:r>
              <w:rPr>
                <w:b w:val="0"/>
                <w:sz w:val="18"/>
              </w:rPr>
              <w:t>+0.0472</w:t>
            </w:r>
          </w:p>
        </w:tc>
        <w:tc>
          <w:tcPr>
            <w:tcW w:type="dxa" w:w="2438"/>
            <w:vAlign w:val="center"/>
            <w:tcMar>
              <w:top w:w="65" w:type="dxa"/>
              <w:left w:w="65" w:type="dxa"/>
              <w:bottom w:w="65" w:type="dxa"/>
              <w:right w:w="65" w:type="dxa"/>
            </w:tcMar>
          </w:tcPr>
          <w:p>
            <w:pPr>
              <w:pStyle w:val="TableText"/>
              <w:keepNext w:val="0"/>
              <w:widowControl/>
              <w:jc w:val="left"/>
            </w:pPr>
            <w:r>
              <w:rPr>
                <w:b w:val="0"/>
                <w:sz w:val="18"/>
              </w:rPr>
              <w:t>[-0.0888, +0.1851]</w:t>
            </w:r>
          </w:p>
        </w:tc>
        <w:tc>
          <w:tcPr>
            <w:tcW w:type="dxa" w:w="1361"/>
            <w:vAlign w:val="center"/>
            <w:tcMar>
              <w:top w:w="65" w:type="dxa"/>
              <w:left w:w="65" w:type="dxa"/>
              <w:bottom w:w="65" w:type="dxa"/>
              <w:right w:w="65" w:type="dxa"/>
            </w:tcMar>
          </w:tcPr>
          <w:p>
            <w:pPr>
              <w:pStyle w:val="TableText"/>
              <w:keepNext w:val="0"/>
              <w:widowControl/>
              <w:jc w:val="left"/>
            </w:pPr>
            <w:r>
              <w:rPr>
                <w:b w:val="0"/>
                <w:sz w:val="18"/>
              </w:rPr>
              <w:t>0.9295</w:t>
            </w:r>
          </w:p>
        </w:tc>
      </w:tr>
    </w:tbl>
    <w:p>
      <w:pPr>
        <w:pStyle w:val="SourceNote"/>
        <w:widowControl/>
      </w:pPr>
      <w:r>
        <w:t>자료: 같은 575개 기업의 예산별 대비 차이. 모델·Oracle별 상호작용 네 개를 별도 family로 조정하였다. 음수는 B1에서 해당 대비가 BINF보다 작다는 뜻이다.</w:t>
      </w:r>
    </w:p>
    <w:p>
      <w:pPr>
        <w:widowControl/>
      </w:pPr>
      <w:r>
        <w:t>Gemini의 자기 재검토 차이는 B1에서 BINF보다 −0.145017 낮고, C5−C4는 오히려 +0.186736 높다. 이 두 상호작용은 각각의 4개 family 조정에서도 차이가 남는다. 총 행동예산은 모든 수정조건을 같은 방향으로 약화시키는 단순한 스위치가 아니라, 직접생성과 진단·재검토의 상대적인 결과를 바꾸는 조건이다.</w:t>
      </w:r>
    </w:p>
    <w:p>
      <w:pPr>
        <w:widowControl/>
      </w:pPr>
      <w:r>
        <w:t>GPT에서는 자기 재검토, 진단 유도, 학습참조 및 연결 대비의 B1−BINF 차이가 모두 다중비교 후 뚜렷하지 않다. 특히 BINF에서 참조효과가 유의하고 B1에서 유의하지 않더라도, 그 사실만으로 예산 상호작용이 유의하다고 결론내릴 수 없다. 두 대비의 차이를 직접 계산한 결과와 각각의 조건 안에서 계산한 결과는 다른 질문이다.</w:t>
      </w:r>
    </w:p>
    <w:p>
      <w:bookmarkStart w:id="121" w:name="head_93"/>
      <w:pPr>
        <w:pStyle w:val="2"/>
        <w:widowControl/>
      </w:pPr>
      <w:r>
        <w:t>5.5 후보선택과 자유작성</w:t>
      </w:r>
      <w:bookmarkEnd w:id="121"/>
    </w:p>
    <w:p>
      <w:bookmarkStart w:id="122" w:name="cap_29"/>
      <w:pPr>
        <w:pStyle w:val="af"/>
        <w:widowControl/>
      </w:pPr>
      <w:r>
        <w:t>표 5-9. Baseline B1의 자유작성−후보선택 대비</w:t>
      </w:r>
      <w:bookmarkEnd w:id="122"/>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850"/>
        <w:gridCol w:w="1247"/>
        <w:gridCol w:w="1644"/>
        <w:gridCol w:w="2778"/>
        <w:gridCol w:w="1417"/>
      </w:tblGrid>
      <w:tr>
        <w:trPr>
          <w:cantSplit/>
          <w:tblHeader/>
        </w:trPr>
        <w:tc>
          <w:tcPr>
            <w:tcW w:type="dxa" w:w="850"/>
            <w:vAlign w:val="center"/>
            <w:shd w:fill="F1F1F1"/>
            <w:tcMar>
              <w:top w:w="65" w:type="dxa"/>
              <w:left w:w="65" w:type="dxa"/>
              <w:bottom w:w="65" w:type="dxa"/>
              <w:right w:w="65" w:type="dxa"/>
            </w:tcMar>
          </w:tcPr>
          <w:p>
            <w:pPr>
              <w:pStyle w:val="TableText"/>
              <w:keepNext/>
              <w:widowControl/>
              <w:jc w:val="center"/>
            </w:pPr>
            <w:r>
              <w:rPr>
                <w:b/>
                <w:sz w:val="18"/>
              </w:rPr>
              <w:t>모델</w:t>
            </w:r>
          </w:p>
        </w:tc>
        <w:tc>
          <w:tcPr>
            <w:tcW w:type="dxa" w:w="1247"/>
            <w:vAlign w:val="center"/>
            <w:shd w:fill="F1F1F1"/>
            <w:tcMar>
              <w:top w:w="65" w:type="dxa"/>
              <w:left w:w="65" w:type="dxa"/>
              <w:bottom w:w="65" w:type="dxa"/>
              <w:right w:w="65" w:type="dxa"/>
            </w:tcMar>
          </w:tcPr>
          <w:p>
            <w:pPr>
              <w:pStyle w:val="TableText"/>
              <w:keepNext/>
              <w:widowControl/>
              <w:jc w:val="center"/>
            </w:pPr>
            <w:r>
              <w:rPr>
                <w:b/>
                <w:sz w:val="18"/>
              </w:rPr>
              <w:t>정책</w:t>
            </w:r>
          </w:p>
        </w:tc>
        <w:tc>
          <w:tcPr>
            <w:tcW w:type="dxa" w:w="1644"/>
            <w:vAlign w:val="center"/>
            <w:shd w:fill="F1F1F1"/>
            <w:tcMar>
              <w:top w:w="65" w:type="dxa"/>
              <w:left w:w="65" w:type="dxa"/>
              <w:bottom w:w="65" w:type="dxa"/>
              <w:right w:w="65" w:type="dxa"/>
            </w:tcMar>
          </w:tcPr>
          <w:p>
            <w:pPr>
              <w:pStyle w:val="TableText"/>
              <w:keepNext/>
              <w:widowControl/>
              <w:jc w:val="center"/>
            </w:pPr>
            <w:r>
              <w:rPr>
                <w:b/>
                <w:sz w:val="18"/>
              </w:rPr>
              <w:t>평균 Δα</w:t>
            </w:r>
          </w:p>
        </w:tc>
        <w:tc>
          <w:tcPr>
            <w:tcW w:type="dxa" w:w="2778"/>
            <w:vAlign w:val="center"/>
            <w:shd w:fill="F1F1F1"/>
            <w:tcMar>
              <w:top w:w="65" w:type="dxa"/>
              <w:left w:w="65" w:type="dxa"/>
              <w:bottom w:w="65" w:type="dxa"/>
              <w:right w:w="65" w:type="dxa"/>
            </w:tcMar>
          </w:tcPr>
          <w:p>
            <w:pPr>
              <w:pStyle w:val="TableText"/>
              <w:keepNext/>
              <w:widowControl/>
              <w:jc w:val="center"/>
            </w:pPr>
            <w:r>
              <w:rPr>
                <w:b/>
                <w:sz w:val="18"/>
              </w:rPr>
              <w:t>95% 구간</w:t>
            </w:r>
          </w:p>
        </w:tc>
        <w:tc>
          <w:tcPr>
            <w:tcW w:type="dxa" w:w="1417"/>
            <w:vAlign w:val="center"/>
            <w:shd w:fill="F1F1F1"/>
            <w:tcMar>
              <w:top w:w="65" w:type="dxa"/>
              <w:left w:w="65" w:type="dxa"/>
              <w:bottom w:w="65" w:type="dxa"/>
              <w:right w:w="65" w:type="dxa"/>
            </w:tcMar>
          </w:tcPr>
          <w:p>
            <w:pPr>
              <w:pStyle w:val="TableText"/>
              <w:keepNext/>
              <w:widowControl/>
              <w:jc w:val="center"/>
            </w:pPr>
            <w:r>
              <w:rPr>
                <w:b/>
                <w:sz w:val="18"/>
              </w:rPr>
              <w:t>Holm p</w:t>
            </w:r>
          </w:p>
        </w:tc>
      </w:tr>
      <w:tr>
        <w:trPr>
          <w:cantSplit/>
        </w:trPr>
        <w:tc>
          <w:tcPr>
            <w:tcW w:type="dxa" w:w="850"/>
            <w:vAlign w:val="center"/>
            <w:tcMar>
              <w:top w:w="65" w:type="dxa"/>
              <w:left w:w="65" w:type="dxa"/>
              <w:bottom w:w="65" w:type="dxa"/>
              <w:right w:w="65" w:type="dxa"/>
            </w:tcMar>
          </w:tcPr>
          <w:p>
            <w:pPr>
              <w:pStyle w:val="TableText"/>
              <w:keepNext/>
              <w:widowControl/>
              <w:jc w:val="left"/>
            </w:pPr>
            <w:r>
              <w:rPr>
                <w:b w:val="0"/>
                <w:sz w:val="18"/>
              </w:rPr>
              <w:t>Gemini</w:t>
            </w:r>
          </w:p>
        </w:tc>
        <w:tc>
          <w:tcPr>
            <w:tcW w:type="dxa" w:w="1247"/>
            <w:vAlign w:val="center"/>
            <w:tcMar>
              <w:top w:w="65" w:type="dxa"/>
              <w:left w:w="65" w:type="dxa"/>
              <w:bottom w:w="65" w:type="dxa"/>
              <w:right w:w="65" w:type="dxa"/>
            </w:tcMar>
          </w:tcPr>
          <w:p>
            <w:pPr>
              <w:pStyle w:val="TableText"/>
              <w:keepNext/>
              <w:widowControl/>
              <w:jc w:val="left"/>
            </w:pPr>
            <w:r>
              <w:rPr>
                <w:b w:val="0"/>
                <w:sz w:val="18"/>
              </w:rPr>
              <w:t>C4</w:t>
            </w:r>
          </w:p>
        </w:tc>
        <w:tc>
          <w:tcPr>
            <w:tcW w:type="dxa" w:w="1644"/>
            <w:vAlign w:val="center"/>
            <w:tcMar>
              <w:top w:w="65" w:type="dxa"/>
              <w:left w:w="65" w:type="dxa"/>
              <w:bottom w:w="65" w:type="dxa"/>
              <w:right w:w="65" w:type="dxa"/>
            </w:tcMar>
          </w:tcPr>
          <w:p>
            <w:pPr>
              <w:pStyle w:val="TableText"/>
              <w:keepNext/>
              <w:widowControl/>
              <w:jc w:val="left"/>
            </w:pPr>
            <w:r>
              <w:rPr>
                <w:b w:val="0"/>
                <w:sz w:val="18"/>
              </w:rPr>
              <w:t>-0.7028</w:t>
            </w:r>
          </w:p>
        </w:tc>
        <w:tc>
          <w:tcPr>
            <w:tcW w:type="dxa" w:w="2778"/>
            <w:vAlign w:val="center"/>
            <w:tcMar>
              <w:top w:w="65" w:type="dxa"/>
              <w:left w:w="65" w:type="dxa"/>
              <w:bottom w:w="65" w:type="dxa"/>
              <w:right w:w="65" w:type="dxa"/>
            </w:tcMar>
          </w:tcPr>
          <w:p>
            <w:pPr>
              <w:pStyle w:val="TableText"/>
              <w:keepNext/>
              <w:widowControl/>
              <w:jc w:val="left"/>
            </w:pPr>
            <w:r>
              <w:rPr>
                <w:b w:val="0"/>
                <w:sz w:val="18"/>
              </w:rPr>
              <w:t>[-0.8174, -0.5929]</w:t>
            </w:r>
          </w:p>
        </w:tc>
        <w:tc>
          <w:tcPr>
            <w:tcW w:type="dxa" w:w="1417"/>
            <w:vAlign w:val="center"/>
            <w:tcMar>
              <w:top w:w="65" w:type="dxa"/>
              <w:left w:w="65" w:type="dxa"/>
              <w:bottom w:w="65" w:type="dxa"/>
              <w:right w:w="65" w:type="dxa"/>
            </w:tcMar>
          </w:tcPr>
          <w:p>
            <w:pPr>
              <w:pStyle w:val="TableText"/>
              <w:keepNext/>
              <w:widowControl/>
              <w:jc w:val="left"/>
            </w:pPr>
            <w:r>
              <w:rPr>
                <w:b w:val="0"/>
                <w:sz w:val="18"/>
              </w:rPr>
              <w:t>0.0006</w:t>
            </w:r>
          </w:p>
        </w:tc>
      </w:tr>
      <w:tr>
        <w:trPr>
          <w:cantSplit/>
        </w:trPr>
        <w:tc>
          <w:tcPr>
            <w:tcW w:type="dxa" w:w="850"/>
            <w:vAlign w:val="center"/>
            <w:tcMar>
              <w:top w:w="65" w:type="dxa"/>
              <w:left w:w="65" w:type="dxa"/>
              <w:bottom w:w="65" w:type="dxa"/>
              <w:right w:w="65" w:type="dxa"/>
            </w:tcMar>
          </w:tcPr>
          <w:p>
            <w:pPr>
              <w:pStyle w:val="TableText"/>
              <w:keepNext w:val="0"/>
              <w:widowControl/>
              <w:jc w:val="left"/>
            </w:pPr>
            <w:r>
              <w:rPr>
                <w:b w:val="0"/>
                <w:sz w:val="18"/>
              </w:rPr>
              <w:t>Gemini</w:t>
            </w:r>
          </w:p>
        </w:tc>
        <w:tc>
          <w:tcPr>
            <w:tcW w:type="dxa" w:w="1247"/>
            <w:vAlign w:val="center"/>
            <w:tcMar>
              <w:top w:w="65" w:type="dxa"/>
              <w:left w:w="65" w:type="dxa"/>
              <w:bottom w:w="65" w:type="dxa"/>
              <w:right w:w="65" w:type="dxa"/>
            </w:tcMar>
          </w:tcPr>
          <w:p>
            <w:pPr>
              <w:pStyle w:val="TableText"/>
              <w:keepNext w:val="0"/>
              <w:widowControl/>
              <w:jc w:val="left"/>
            </w:pPr>
            <w:r>
              <w:rPr>
                <w:b w:val="0"/>
                <w:sz w:val="18"/>
              </w:rPr>
              <w:t>C4R</w:t>
            </w:r>
          </w:p>
        </w:tc>
        <w:tc>
          <w:tcPr>
            <w:tcW w:type="dxa" w:w="1644"/>
            <w:vAlign w:val="center"/>
            <w:tcMar>
              <w:top w:w="65" w:type="dxa"/>
              <w:left w:w="65" w:type="dxa"/>
              <w:bottom w:w="65" w:type="dxa"/>
              <w:right w:w="65" w:type="dxa"/>
            </w:tcMar>
          </w:tcPr>
          <w:p>
            <w:pPr>
              <w:pStyle w:val="TableText"/>
              <w:keepNext w:val="0"/>
              <w:widowControl/>
              <w:jc w:val="left"/>
            </w:pPr>
            <w:r>
              <w:rPr>
                <w:b w:val="0"/>
                <w:sz w:val="18"/>
              </w:rPr>
              <w:t>-0.6661</w:t>
            </w:r>
          </w:p>
        </w:tc>
        <w:tc>
          <w:tcPr>
            <w:tcW w:type="dxa" w:w="2778"/>
            <w:vAlign w:val="center"/>
            <w:tcMar>
              <w:top w:w="65" w:type="dxa"/>
              <w:left w:w="65" w:type="dxa"/>
              <w:bottom w:w="65" w:type="dxa"/>
              <w:right w:w="65" w:type="dxa"/>
            </w:tcMar>
          </w:tcPr>
          <w:p>
            <w:pPr>
              <w:pStyle w:val="TableText"/>
              <w:keepNext w:val="0"/>
              <w:widowControl/>
              <w:jc w:val="left"/>
            </w:pPr>
            <w:r>
              <w:rPr>
                <w:b w:val="0"/>
                <w:sz w:val="18"/>
              </w:rPr>
              <w:t>[-0.7779, -0.5584]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0.0006</w:t>
            </w:r>
          </w:p>
        </w:tc>
      </w:tr>
      <w:tr>
        <w:trPr>
          <w:cantSplit/>
        </w:trPr>
        <w:tc>
          <w:tcPr>
            <w:tcW w:type="dxa" w:w="850"/>
            <w:vAlign w:val="center"/>
            <w:tcMar>
              <w:top w:w="65" w:type="dxa"/>
              <w:left w:w="65" w:type="dxa"/>
              <w:bottom w:w="65" w:type="dxa"/>
              <w:right w:w="65" w:type="dxa"/>
            </w:tcMar>
          </w:tcPr>
          <w:p>
            <w:pPr>
              <w:pStyle w:val="TableText"/>
              <w:keepNext w:val="0"/>
              <w:widowControl/>
              <w:jc w:val="left"/>
            </w:pPr>
            <w:r>
              <w:rPr>
                <w:b w:val="0"/>
                <w:sz w:val="18"/>
              </w:rPr>
              <w:t>Gemini</w:t>
            </w:r>
          </w:p>
        </w:tc>
        <w:tc>
          <w:tcPr>
            <w:tcW w:type="dxa" w:w="1247"/>
            <w:vAlign w:val="center"/>
            <w:tcMar>
              <w:top w:w="65" w:type="dxa"/>
              <w:left w:w="65" w:type="dxa"/>
              <w:bottom w:w="65" w:type="dxa"/>
              <w:right w:w="65" w:type="dxa"/>
            </w:tcMar>
          </w:tcPr>
          <w:p>
            <w:pPr>
              <w:pStyle w:val="TableText"/>
              <w:keepNext w:val="0"/>
              <w:widowControl/>
              <w:jc w:val="left"/>
            </w:pPr>
            <w:r>
              <w:rPr>
                <w:b w:val="0"/>
                <w:sz w:val="18"/>
              </w:rPr>
              <w:t>C6-E</w:t>
            </w:r>
          </w:p>
        </w:tc>
        <w:tc>
          <w:tcPr>
            <w:tcW w:type="dxa" w:w="1644"/>
            <w:vAlign w:val="center"/>
            <w:tcMar>
              <w:top w:w="65" w:type="dxa"/>
              <w:left w:w="65" w:type="dxa"/>
              <w:bottom w:w="65" w:type="dxa"/>
              <w:right w:w="65" w:type="dxa"/>
            </w:tcMar>
          </w:tcPr>
          <w:p>
            <w:pPr>
              <w:pStyle w:val="TableText"/>
              <w:keepNext w:val="0"/>
              <w:widowControl/>
              <w:jc w:val="left"/>
            </w:pPr>
            <w:r>
              <w:rPr>
                <w:b w:val="0"/>
                <w:sz w:val="18"/>
              </w:rPr>
              <w:t>-0.6881</w:t>
            </w:r>
          </w:p>
        </w:tc>
        <w:tc>
          <w:tcPr>
            <w:tcW w:type="dxa" w:w="2778"/>
            <w:vAlign w:val="center"/>
            <w:tcMar>
              <w:top w:w="65" w:type="dxa"/>
              <w:left w:w="65" w:type="dxa"/>
              <w:bottom w:w="65" w:type="dxa"/>
              <w:right w:w="65" w:type="dxa"/>
            </w:tcMar>
          </w:tcPr>
          <w:p>
            <w:pPr>
              <w:pStyle w:val="TableText"/>
              <w:keepNext w:val="0"/>
              <w:widowControl/>
              <w:jc w:val="left"/>
            </w:pPr>
            <w:r>
              <w:rPr>
                <w:b w:val="0"/>
                <w:sz w:val="18"/>
              </w:rPr>
              <w:t>[-0.8032, -0.5781]</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0.0006</w:t>
            </w:r>
          </w:p>
        </w:tc>
      </w:tr>
      <w:tr>
        <w:trPr>
          <w:cantSplit/>
        </w:trPr>
        <w:tc>
          <w:tcPr>
            <w:tcW w:type="dxa" w:w="850"/>
            <w:vAlign w:val="center"/>
            <w:tcMar>
              <w:top w:w="65" w:type="dxa"/>
              <w:left w:w="65" w:type="dxa"/>
              <w:bottom w:w="65" w:type="dxa"/>
              <w:right w:w="65" w:type="dxa"/>
            </w:tcMar>
          </w:tcPr>
          <w:p>
            <w:pPr>
              <w:pStyle w:val="TableText"/>
              <w:keepNext w:val="0"/>
              <w:widowControl/>
              <w:jc w:val="left"/>
            </w:pPr>
            <w:r>
              <w:rPr>
                <w:b w:val="0"/>
                <w:sz w:val="18"/>
              </w:rPr>
              <w:t>GPT</w:t>
            </w:r>
          </w:p>
        </w:tc>
        <w:tc>
          <w:tcPr>
            <w:tcW w:type="dxa" w:w="1247"/>
            <w:vAlign w:val="center"/>
            <w:tcMar>
              <w:top w:w="65" w:type="dxa"/>
              <w:left w:w="65" w:type="dxa"/>
              <w:bottom w:w="65" w:type="dxa"/>
              <w:right w:w="65" w:type="dxa"/>
            </w:tcMar>
          </w:tcPr>
          <w:p>
            <w:pPr>
              <w:pStyle w:val="TableText"/>
              <w:keepNext w:val="0"/>
              <w:widowControl/>
              <w:jc w:val="left"/>
            </w:pPr>
            <w:r>
              <w:rPr>
                <w:b w:val="0"/>
                <w:sz w:val="18"/>
              </w:rPr>
              <w:t>C4</w:t>
            </w:r>
          </w:p>
        </w:tc>
        <w:tc>
          <w:tcPr>
            <w:tcW w:type="dxa" w:w="1644"/>
            <w:vAlign w:val="center"/>
            <w:tcMar>
              <w:top w:w="65" w:type="dxa"/>
              <w:left w:w="65" w:type="dxa"/>
              <w:bottom w:w="65" w:type="dxa"/>
              <w:right w:w="65" w:type="dxa"/>
            </w:tcMar>
          </w:tcPr>
          <w:p>
            <w:pPr>
              <w:pStyle w:val="TableText"/>
              <w:keepNext w:val="0"/>
              <w:widowControl/>
              <w:jc w:val="left"/>
            </w:pPr>
            <w:r>
              <w:rPr>
                <w:b w:val="0"/>
                <w:sz w:val="18"/>
              </w:rPr>
              <w:t>-0.3372</w:t>
            </w:r>
          </w:p>
        </w:tc>
        <w:tc>
          <w:tcPr>
            <w:tcW w:type="dxa" w:w="2778"/>
            <w:vAlign w:val="center"/>
            <w:tcMar>
              <w:top w:w="65" w:type="dxa"/>
              <w:left w:w="65" w:type="dxa"/>
              <w:bottom w:w="65" w:type="dxa"/>
              <w:right w:w="65" w:type="dxa"/>
            </w:tcMar>
          </w:tcPr>
          <w:p>
            <w:pPr>
              <w:pStyle w:val="TableText"/>
              <w:keepNext w:val="0"/>
              <w:widowControl/>
              <w:jc w:val="left"/>
            </w:pPr>
            <w:r>
              <w:rPr>
                <w:b w:val="0"/>
                <w:sz w:val="18"/>
              </w:rPr>
              <w:t>[-0.4467, -0.2303]</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0.0006</w:t>
            </w:r>
          </w:p>
        </w:tc>
      </w:tr>
      <w:tr>
        <w:trPr>
          <w:cantSplit/>
        </w:trPr>
        <w:tc>
          <w:tcPr>
            <w:tcW w:type="dxa" w:w="850"/>
            <w:vAlign w:val="center"/>
            <w:tcMar>
              <w:top w:w="65" w:type="dxa"/>
              <w:left w:w="65" w:type="dxa"/>
              <w:bottom w:w="65" w:type="dxa"/>
              <w:right w:w="65" w:type="dxa"/>
            </w:tcMar>
          </w:tcPr>
          <w:p>
            <w:pPr>
              <w:pStyle w:val="TableText"/>
              <w:keepNext w:val="0"/>
              <w:widowControl/>
              <w:jc w:val="left"/>
            </w:pPr>
            <w:r>
              <w:rPr>
                <w:b w:val="0"/>
                <w:sz w:val="18"/>
              </w:rPr>
              <w:t>GPT</w:t>
            </w:r>
          </w:p>
        </w:tc>
        <w:tc>
          <w:tcPr>
            <w:tcW w:type="dxa" w:w="1247"/>
            <w:vAlign w:val="center"/>
            <w:tcMar>
              <w:top w:w="65" w:type="dxa"/>
              <w:left w:w="65" w:type="dxa"/>
              <w:bottom w:w="65" w:type="dxa"/>
              <w:right w:w="65" w:type="dxa"/>
            </w:tcMar>
          </w:tcPr>
          <w:p>
            <w:pPr>
              <w:pStyle w:val="TableText"/>
              <w:keepNext w:val="0"/>
              <w:widowControl/>
              <w:jc w:val="left"/>
            </w:pPr>
            <w:r>
              <w:rPr>
                <w:b w:val="0"/>
                <w:sz w:val="18"/>
              </w:rPr>
              <w:t>C4R</w:t>
            </w:r>
          </w:p>
        </w:tc>
        <w:tc>
          <w:tcPr>
            <w:tcW w:type="dxa" w:w="1644"/>
            <w:vAlign w:val="center"/>
            <w:tcMar>
              <w:top w:w="65" w:type="dxa"/>
              <w:left w:w="65" w:type="dxa"/>
              <w:bottom w:w="65" w:type="dxa"/>
              <w:right w:w="65" w:type="dxa"/>
            </w:tcMar>
          </w:tcPr>
          <w:p>
            <w:pPr>
              <w:pStyle w:val="TableText"/>
              <w:keepNext w:val="0"/>
              <w:widowControl/>
              <w:jc w:val="left"/>
            </w:pPr>
            <w:r>
              <w:rPr>
                <w:b w:val="0"/>
                <w:sz w:val="18"/>
              </w:rPr>
              <w:t>-0.1928</w:t>
            </w:r>
          </w:p>
        </w:tc>
        <w:tc>
          <w:tcPr>
            <w:tcW w:type="dxa" w:w="2778"/>
            <w:vAlign w:val="center"/>
            <w:tcMar>
              <w:top w:w="65" w:type="dxa"/>
              <w:left w:w="65" w:type="dxa"/>
              <w:bottom w:w="65" w:type="dxa"/>
              <w:right w:w="65" w:type="dxa"/>
            </w:tcMar>
          </w:tcPr>
          <w:p>
            <w:pPr>
              <w:pStyle w:val="TableText"/>
              <w:keepNext w:val="0"/>
              <w:widowControl/>
              <w:jc w:val="left"/>
            </w:pPr>
            <w:r>
              <w:rPr>
                <w:b w:val="0"/>
                <w:sz w:val="18"/>
              </w:rPr>
              <w:t>[-0.2976, -0.0914]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0.0006</w:t>
            </w:r>
          </w:p>
        </w:tc>
      </w:tr>
      <w:tr>
        <w:trPr>
          <w:cantSplit/>
        </w:trPr>
        <w:tc>
          <w:tcPr>
            <w:tcW w:type="dxa" w:w="850"/>
            <w:vAlign w:val="center"/>
            <w:tcMar>
              <w:top w:w="65" w:type="dxa"/>
              <w:left w:w="65" w:type="dxa"/>
              <w:bottom w:w="65" w:type="dxa"/>
              <w:right w:w="65" w:type="dxa"/>
            </w:tcMar>
          </w:tcPr>
          <w:p>
            <w:pPr>
              <w:pStyle w:val="TableText"/>
              <w:keepNext w:val="0"/>
              <w:widowControl/>
              <w:jc w:val="left"/>
            </w:pPr>
            <w:r>
              <w:rPr>
                <w:b w:val="0"/>
                <w:sz w:val="18"/>
              </w:rPr>
              <w:t>GPT</w:t>
            </w:r>
          </w:p>
        </w:tc>
        <w:tc>
          <w:tcPr>
            <w:tcW w:type="dxa" w:w="1247"/>
            <w:vAlign w:val="center"/>
            <w:tcMar>
              <w:top w:w="65" w:type="dxa"/>
              <w:left w:w="65" w:type="dxa"/>
              <w:bottom w:w="65" w:type="dxa"/>
              <w:right w:w="65" w:type="dxa"/>
            </w:tcMar>
          </w:tcPr>
          <w:p>
            <w:pPr>
              <w:pStyle w:val="TableText"/>
              <w:keepNext w:val="0"/>
              <w:widowControl/>
              <w:jc w:val="left"/>
            </w:pPr>
            <w:r>
              <w:rPr>
                <w:b w:val="0"/>
                <w:sz w:val="18"/>
              </w:rPr>
              <w:t>C6-E</w:t>
            </w:r>
          </w:p>
        </w:tc>
        <w:tc>
          <w:tcPr>
            <w:tcW w:type="dxa" w:w="1644"/>
            <w:vAlign w:val="center"/>
            <w:tcMar>
              <w:top w:w="65" w:type="dxa"/>
              <w:left w:w="65" w:type="dxa"/>
              <w:bottom w:w="65" w:type="dxa"/>
              <w:right w:w="65" w:type="dxa"/>
            </w:tcMar>
          </w:tcPr>
          <w:p>
            <w:pPr>
              <w:pStyle w:val="TableText"/>
              <w:keepNext w:val="0"/>
              <w:widowControl/>
              <w:jc w:val="left"/>
            </w:pPr>
            <w:r>
              <w:rPr>
                <w:b w:val="0"/>
                <w:sz w:val="18"/>
              </w:rPr>
              <w:t>-0.2404</w:t>
            </w:r>
          </w:p>
        </w:tc>
        <w:tc>
          <w:tcPr>
            <w:tcW w:type="dxa" w:w="2778"/>
            <w:vAlign w:val="center"/>
            <w:tcMar>
              <w:top w:w="65" w:type="dxa"/>
              <w:left w:w="65" w:type="dxa"/>
              <w:bottom w:w="65" w:type="dxa"/>
              <w:right w:w="65" w:type="dxa"/>
            </w:tcMar>
          </w:tcPr>
          <w:p>
            <w:pPr>
              <w:pStyle w:val="TableText"/>
              <w:keepNext w:val="0"/>
              <w:widowControl/>
              <w:jc w:val="left"/>
            </w:pPr>
            <w:r>
              <w:rPr>
                <w:b w:val="0"/>
                <w:sz w:val="18"/>
              </w:rPr>
              <w:t>[-0.3429, -0.1398]</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0.0006</w:t>
            </w:r>
          </w:p>
        </w:tc>
      </w:tr>
    </w:tbl>
    <w:p>
      <w:pPr>
        <w:pStyle w:val="SourceNote"/>
        <w:widowControl/>
      </w:pPr>
      <w:r>
        <w:t>자료: Run1/IC-b/B1/Strict ITT, 동일 575개 기업. 모델별 C4·C4R·C6-E 세 대비를 하나의 family로 처리하였다.</w:t>
      </w:r>
    </w:p>
    <w:p>
      <w:pPr>
        <w:widowControl/>
      </w:pPr>
      <w:r>
        <w:t>Baseline B1에서는 두 모델 모두 자유작성의 Strict ITT 가치가 후보선택보다 낮다. C4의 차이는 Gemini −0.702799, GPT −0.337179이며 다른 두 정책에서도 음의 차이가 남는다. 따라서 최신 본실험에서 자유작성이 언제나 후보선택보다 우월하다는 주장은 지지되지 않는다.</w:t>
      </w:r>
    </w:p>
    <w:p>
      <w:pPr>
        <w:widowControl/>
      </w:pPr>
      <w:r>
        <w:t>자유작성은 더 많은 조합을 허용하지만, 그만큼 응답형식과 연속값 및 총 강도를 함께 관리해야 한다. 후보선택은 동결된 ID 하나를 선택하므로 행동수용이 상대적으로 쉽다. 이 비교는 출력공간과 행동제약 준수 및 검증규칙을 포함한 정책 하네스 전체의 차이이다. ‘자유도가 크면 경제적 판단능력이 약해진다’라는 단일 원인으로 해석하지 않는다.</w:t>
      </w:r>
    </w:p>
    <w:p>
      <w:pPr>
        <w:widowControl/>
      </w:pPr>
      <w:r>
        <w:t>High에서 이 격차가 얼마나 줄어드는지와, 정상 수용집합에서 행동의 차이가 어떠한지는 추가 분석에서 확인한다. 과거 넓은 raw 행동공간의 점수가 높았다는 결과를 가져와 최신 B1의 낮은 운영가치를 덮어쓰지 않는다.</w:t>
      </w:r>
    </w:p>
    <w:p>
      <w:bookmarkStart w:id="123" w:name="head_94"/>
      <w:pPr>
        <w:pStyle w:val="2"/>
        <w:widowControl/>
      </w:pPr>
      <w:r>
        <w:t>5.6 정보조건: 업종코드와 기업명</w:t>
      </w:r>
      <w:bookmarkEnd w:id="123"/>
    </w:p>
    <w:p>
      <w:bookmarkStart w:id="124" w:name="cap_30"/>
      <w:pPr>
        <w:pStyle w:val="af"/>
        <w:widowControl/>
      </w:pPr>
      <w:r>
        <w:t>표 5-10. Baseline C4/free8/B1의 정보조건 대비</w:t>
      </w:r>
      <w:bookmarkEnd w:id="124"/>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794"/>
        <w:gridCol w:w="1757"/>
        <w:gridCol w:w="1417"/>
        <w:gridCol w:w="2551"/>
        <w:gridCol w:w="1417"/>
      </w:tblGrid>
      <w:tr>
        <w:trPr>
          <w:cantSplit/>
          <w:tblHeader/>
        </w:trPr>
        <w:tc>
          <w:tcPr>
            <w:tcW w:type="dxa" w:w="794"/>
            <w:vAlign w:val="center"/>
            <w:shd w:fill="F1F1F1"/>
            <w:tcMar>
              <w:top w:w="65" w:type="dxa"/>
              <w:left w:w="65" w:type="dxa"/>
              <w:bottom w:w="65" w:type="dxa"/>
              <w:right w:w="65" w:type="dxa"/>
            </w:tcMar>
          </w:tcPr>
          <w:p>
            <w:pPr>
              <w:pStyle w:val="TableText"/>
              <w:keepNext/>
              <w:widowControl/>
              <w:jc w:val="center"/>
            </w:pPr>
            <w:r>
              <w:rPr>
                <w:b/>
                <w:sz w:val="18"/>
              </w:rPr>
              <w:t>모델</w:t>
            </w:r>
          </w:p>
        </w:tc>
        <w:tc>
          <w:tcPr>
            <w:tcW w:type="dxa" w:w="1757"/>
            <w:vAlign w:val="center"/>
            <w:shd w:fill="F1F1F1"/>
            <w:tcMar>
              <w:top w:w="65" w:type="dxa"/>
              <w:left w:w="65" w:type="dxa"/>
              <w:bottom w:w="65" w:type="dxa"/>
              <w:right w:w="65" w:type="dxa"/>
            </w:tcMar>
          </w:tcPr>
          <w:p>
            <w:pPr>
              <w:pStyle w:val="TableText"/>
              <w:keepNext/>
              <w:widowControl/>
              <w:jc w:val="center"/>
            </w:pPr>
            <w:r>
              <w:rPr>
                <w:b/>
                <w:sz w:val="18"/>
              </w:rPr>
              <w:t>정보 대비</w:t>
            </w:r>
          </w:p>
        </w:tc>
        <w:tc>
          <w:tcPr>
            <w:tcW w:type="dxa" w:w="1417"/>
            <w:vAlign w:val="center"/>
            <w:shd w:fill="F1F1F1"/>
            <w:tcMar>
              <w:top w:w="65" w:type="dxa"/>
              <w:left w:w="65" w:type="dxa"/>
              <w:bottom w:w="65" w:type="dxa"/>
              <w:right w:w="65" w:type="dxa"/>
            </w:tcMar>
          </w:tcPr>
          <w:p>
            <w:pPr>
              <w:pStyle w:val="TableText"/>
              <w:keepNext/>
              <w:widowControl/>
              <w:jc w:val="center"/>
            </w:pPr>
            <w:r>
              <w:rPr>
                <w:b/>
                <w:sz w:val="18"/>
              </w:rPr>
              <w:t>평균 Δα</w:t>
            </w:r>
          </w:p>
        </w:tc>
        <w:tc>
          <w:tcPr>
            <w:tcW w:type="dxa" w:w="2551"/>
            <w:vAlign w:val="center"/>
            <w:shd w:fill="F1F1F1"/>
            <w:tcMar>
              <w:top w:w="65" w:type="dxa"/>
              <w:left w:w="65" w:type="dxa"/>
              <w:bottom w:w="65" w:type="dxa"/>
              <w:right w:w="65" w:type="dxa"/>
            </w:tcMar>
          </w:tcPr>
          <w:p>
            <w:pPr>
              <w:pStyle w:val="TableText"/>
              <w:keepNext/>
              <w:widowControl/>
              <w:jc w:val="center"/>
            </w:pPr>
            <w:r>
              <w:rPr>
                <w:b/>
                <w:sz w:val="18"/>
              </w:rPr>
              <w:t>95% 구간</w:t>
            </w:r>
          </w:p>
        </w:tc>
        <w:tc>
          <w:tcPr>
            <w:tcW w:type="dxa" w:w="1417"/>
            <w:vAlign w:val="center"/>
            <w:shd w:fill="F1F1F1"/>
            <w:tcMar>
              <w:top w:w="65" w:type="dxa"/>
              <w:left w:w="65" w:type="dxa"/>
              <w:bottom w:w="65" w:type="dxa"/>
              <w:right w:w="65" w:type="dxa"/>
            </w:tcMar>
          </w:tcPr>
          <w:p>
            <w:pPr>
              <w:pStyle w:val="TableText"/>
              <w:keepNext/>
              <w:widowControl/>
              <w:jc w:val="center"/>
            </w:pPr>
            <w:r>
              <w:rPr>
                <w:b/>
                <w:sz w:val="18"/>
              </w:rPr>
              <w:t>Holm p</w:t>
            </w:r>
          </w:p>
        </w:tc>
      </w:tr>
      <w:tr>
        <w:trPr>
          <w:cantSplit/>
        </w:trPr>
        <w:tc>
          <w:tcPr>
            <w:tcW w:type="dxa" w:w="794"/>
            <w:vAlign w:val="center"/>
            <w:tcMar>
              <w:top w:w="65" w:type="dxa"/>
              <w:left w:w="65" w:type="dxa"/>
              <w:bottom w:w="65" w:type="dxa"/>
              <w:right w:w="65" w:type="dxa"/>
            </w:tcMar>
          </w:tcPr>
          <w:p>
            <w:pPr>
              <w:pStyle w:val="TableText"/>
              <w:keepNext/>
              <w:widowControl/>
              <w:jc w:val="left"/>
            </w:pPr>
            <w:r>
              <w:rPr>
                <w:b w:val="0"/>
                <w:sz w:val="18"/>
              </w:rPr>
              <w:t>Gemini</w:t>
            </w:r>
          </w:p>
        </w:tc>
        <w:tc>
          <w:tcPr>
            <w:tcW w:type="dxa" w:w="1757"/>
            <w:vAlign w:val="center"/>
            <w:tcMar>
              <w:top w:w="65" w:type="dxa"/>
              <w:left w:w="65" w:type="dxa"/>
              <w:bottom w:w="65" w:type="dxa"/>
              <w:right w:w="65" w:type="dxa"/>
            </w:tcMar>
          </w:tcPr>
          <w:p>
            <w:pPr>
              <w:pStyle w:val="TableText"/>
              <w:keepNext/>
              <w:widowControl/>
              <w:jc w:val="left"/>
            </w:pPr>
            <w:r>
              <w:rPr>
                <w:b w:val="0"/>
                <w:sz w:val="18"/>
              </w:rPr>
              <w:t>IC-b-IC-a</w:t>
            </w:r>
          </w:p>
        </w:tc>
        <w:tc>
          <w:tcPr>
            <w:tcW w:type="dxa" w:w="1417"/>
            <w:vAlign w:val="center"/>
            <w:tcMar>
              <w:top w:w="65" w:type="dxa"/>
              <w:left w:w="65" w:type="dxa"/>
              <w:bottom w:w="65" w:type="dxa"/>
              <w:right w:w="65" w:type="dxa"/>
            </w:tcMar>
          </w:tcPr>
          <w:p>
            <w:pPr>
              <w:pStyle w:val="TableText"/>
              <w:keepNext/>
              <w:widowControl/>
              <w:jc w:val="left"/>
            </w:pPr>
            <w:r>
              <w:rPr>
                <w:b w:val="0"/>
                <w:sz w:val="18"/>
              </w:rPr>
              <w:t>-0.0175</w:t>
            </w:r>
          </w:p>
        </w:tc>
        <w:tc>
          <w:tcPr>
            <w:tcW w:type="dxa" w:w="2551"/>
            <w:vAlign w:val="center"/>
            <w:tcMar>
              <w:top w:w="65" w:type="dxa"/>
              <w:left w:w="65" w:type="dxa"/>
              <w:bottom w:w="65" w:type="dxa"/>
              <w:right w:w="65" w:type="dxa"/>
            </w:tcMar>
          </w:tcPr>
          <w:p>
            <w:pPr>
              <w:pStyle w:val="TableText"/>
              <w:keepNext/>
              <w:widowControl/>
              <w:jc w:val="left"/>
            </w:pPr>
            <w:r>
              <w:rPr>
                <w:b w:val="0"/>
                <w:sz w:val="18"/>
              </w:rPr>
              <w:t>[-0.0786, +0.0407]</w:t>
            </w:r>
          </w:p>
        </w:tc>
        <w:tc>
          <w:tcPr>
            <w:tcW w:type="dxa" w:w="1417"/>
            <w:vAlign w:val="center"/>
            <w:tcMar>
              <w:top w:w="65" w:type="dxa"/>
              <w:left w:w="65" w:type="dxa"/>
              <w:bottom w:w="65" w:type="dxa"/>
              <w:right w:w="65" w:type="dxa"/>
            </w:tcMar>
          </w:tcPr>
          <w:p>
            <w:pPr>
              <w:pStyle w:val="TableText"/>
              <w:keepNext/>
              <w:widowControl/>
              <w:jc w:val="left"/>
            </w:pPr>
            <w:r>
              <w:rPr>
                <w:b w:val="0"/>
                <w:sz w:val="18"/>
              </w:rPr>
              <w:t>1.0000</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8"/>
              </w:rPr>
              <w:t>Gemini</w:t>
            </w:r>
          </w:p>
        </w:tc>
        <w:tc>
          <w:tcPr>
            <w:tcW w:type="dxa" w:w="1757"/>
            <w:vAlign w:val="center"/>
            <w:tcMar>
              <w:top w:w="65" w:type="dxa"/>
              <w:left w:w="65" w:type="dxa"/>
              <w:bottom w:w="65" w:type="dxa"/>
              <w:right w:w="65" w:type="dxa"/>
            </w:tcMar>
          </w:tcPr>
          <w:p>
            <w:pPr>
              <w:pStyle w:val="TableText"/>
              <w:keepNext w:val="0"/>
              <w:widowControl/>
              <w:jc w:val="left"/>
            </w:pPr>
            <w:r>
              <w:rPr>
                <w:b w:val="0"/>
                <w:sz w:val="18"/>
              </w:rPr>
              <w:t>IC-c-IC-b</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+0.0228</w:t>
            </w:r>
          </w:p>
        </w:tc>
        <w:tc>
          <w:tcPr>
            <w:tcW w:type="dxa" w:w="2551"/>
            <w:vAlign w:val="center"/>
            <w:tcMar>
              <w:top w:w="65" w:type="dxa"/>
              <w:left w:w="65" w:type="dxa"/>
              <w:bottom w:w="65" w:type="dxa"/>
              <w:right w:w="65" w:type="dxa"/>
            </w:tcMar>
          </w:tcPr>
          <w:p>
            <w:pPr>
              <w:pStyle w:val="TableText"/>
              <w:keepNext w:val="0"/>
              <w:widowControl/>
              <w:jc w:val="left"/>
            </w:pPr>
            <w:r>
              <w:rPr>
                <w:b w:val="0"/>
                <w:sz w:val="18"/>
              </w:rPr>
              <w:t>[-0.0556, +0.1040]</w:t>
            </w:r>
          </w:p>
        </w:tc>
        <w:tc>
          <w:tcPr>
            <w:tcW w:type="dxa" w:w="1417"/>
            <w:vAlign w:val="center"/>
            <w:tcMar>
              <w:top w:w="65" w:type="dxa"/>
              <w:left w:w="65" w:type="dxa"/>
              <w:bottom w:w="65" w:type="dxa"/>
              <w:right w:w="65" w:type="dxa"/>
            </w:tcMar>
          </w:tcPr>
          <w:p>
            <w:pPr>
              <w:pStyle w:val="TableText"/>
              <w:keepNext w:val="0"/>
              <w:widowControl/>
              <w:jc w:val="left"/>
            </w:pPr>
            <w:r>
              <w:rPr>
                <w:b w:val="0"/>
                <w:sz w:val="18"/>
              </w:rPr>
              <w:t>1.0000</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8"/>
              </w:rPr>
              <w:t>GPT</w:t>
            </w:r>
          </w:p>
        </w:tc>
        <w:tc>
          <w:tcPr>
            <w:tcW w:type="dxa" w:w="1757"/>
            <w:vAlign w:val="center"/>
            <w:tcMar>
              <w:top w:w="65" w:type="dxa"/>
              <w:left w:w="65" w:type="dxa"/>
              <w:bottom w:w="65" w:type="dxa"/>
              <w:right w:w="65" w:type="dxa"/>
            </w:tcMar>
          </w:tcPr>
          <w:p>
            <w:pPr>
              <w:pStyle w:val="TableText"/>
              <w:keepNext w:val="0"/>
              <w:widowControl/>
              <w:jc w:val="left"/>
            </w:pPr>
            <w:r>
              <w:rPr>
                <w:b w:val="0"/>
                <w:sz w:val="18"/>
              </w:rPr>
              <w:t>IC-b-IC-a</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-0.0016</w:t>
            </w:r>
          </w:p>
        </w:tc>
        <w:tc>
          <w:tcPr>
            <w:tcW w:type="dxa" w:w="2551"/>
            <w:vAlign w:val="center"/>
            <w:tcMar>
              <w:top w:w="65" w:type="dxa"/>
              <w:left w:w="65" w:type="dxa"/>
              <w:bottom w:w="65" w:type="dxa"/>
              <w:right w:w="65" w:type="dxa"/>
            </w:tcMar>
          </w:tcPr>
          <w:p>
            <w:pPr>
              <w:pStyle w:val="TableText"/>
              <w:keepNext w:val="0"/>
              <w:widowControl/>
              <w:jc w:val="left"/>
            </w:pPr>
            <w:r>
              <w:rPr>
                <w:b w:val="0"/>
                <w:sz w:val="18"/>
              </w:rPr>
              <w:t>[-0.0940, +0.0885]</w:t>
            </w:r>
          </w:p>
        </w:tc>
        <w:tc>
          <w:tcPr>
            <w:tcW w:type="dxa" w:w="1417"/>
            <w:vAlign w:val="center"/>
            <w:tcMar>
              <w:top w:w="65" w:type="dxa"/>
              <w:left w:w="65" w:type="dxa"/>
              <w:bottom w:w="65" w:type="dxa"/>
              <w:right w:w="65" w:type="dxa"/>
            </w:tcMar>
          </w:tcPr>
          <w:p>
            <w:pPr>
              <w:pStyle w:val="TableText"/>
              <w:keepNext w:val="0"/>
              <w:widowControl/>
              <w:jc w:val="left"/>
            </w:pPr>
            <w:r>
              <w:rPr>
                <w:b w:val="0"/>
                <w:sz w:val="18"/>
              </w:rPr>
              <w:t>0.9771</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8"/>
              </w:rPr>
              <w:t>GPT</w:t>
            </w:r>
          </w:p>
        </w:tc>
        <w:tc>
          <w:tcPr>
            <w:tcW w:type="dxa" w:w="1757"/>
            <w:vAlign w:val="center"/>
            <w:tcMar>
              <w:top w:w="65" w:type="dxa"/>
              <w:left w:w="65" w:type="dxa"/>
              <w:bottom w:w="65" w:type="dxa"/>
              <w:right w:w="65" w:type="dxa"/>
            </w:tcMar>
          </w:tcPr>
          <w:p>
            <w:pPr>
              <w:pStyle w:val="TableText"/>
              <w:keepNext w:val="0"/>
              <w:widowControl/>
              <w:jc w:val="left"/>
            </w:pPr>
            <w:r>
              <w:rPr>
                <w:b w:val="0"/>
                <w:sz w:val="18"/>
              </w:rPr>
              <w:t>IC-c-IC-b</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+0.0728</w:t>
            </w:r>
          </w:p>
        </w:tc>
        <w:tc>
          <w:tcPr>
            <w:tcW w:type="dxa" w:w="2551"/>
            <w:vAlign w:val="center"/>
            <w:tcMar>
              <w:top w:w="65" w:type="dxa"/>
              <w:left w:w="65" w:type="dxa"/>
              <w:bottom w:w="65" w:type="dxa"/>
              <w:right w:w="65" w:type="dxa"/>
            </w:tcMar>
          </w:tcPr>
          <w:p>
            <w:pPr>
              <w:pStyle w:val="TableText"/>
              <w:keepNext w:val="0"/>
              <w:widowControl/>
              <w:jc w:val="left"/>
            </w:pPr>
            <w:r>
              <w:rPr>
                <w:b w:val="0"/>
                <w:sz w:val="18"/>
              </w:rPr>
              <w:t>[-0.0201, +0.1661]</w:t>
            </w:r>
          </w:p>
        </w:tc>
        <w:tc>
          <w:tcPr>
            <w:tcW w:type="dxa" w:w="1417"/>
            <w:vAlign w:val="center"/>
            <w:tcMar>
              <w:top w:w="65" w:type="dxa"/>
              <w:left w:w="65" w:type="dxa"/>
              <w:bottom w:w="65" w:type="dxa"/>
              <w:right w:w="65" w:type="dxa"/>
            </w:tcMar>
          </w:tcPr>
          <w:p>
            <w:pPr>
              <w:pStyle w:val="TableText"/>
              <w:keepNext w:val="0"/>
              <w:widowControl/>
              <w:jc w:val="left"/>
            </w:pPr>
            <w:r>
              <w:rPr>
                <w:b w:val="0"/>
                <w:sz w:val="18"/>
              </w:rPr>
              <w:t>0.2524</w:t>
            </w:r>
          </w:p>
        </w:tc>
      </w:tr>
    </w:tbl>
    <w:p>
      <w:pPr>
        <w:pStyle w:val="SourceNote"/>
        <w:widowControl/>
      </w:pPr>
      <w:r>
        <w:t>자료: Main Run1, 전체 575개 기업, Strict ITT. 모델·Oracle별 두 정보 대비에 Holm을 적용하였다. IC-a에도 연도·규모·시장 필드는 존재하며 IC-b는 업종코드만 추가한다.</w:t>
      </w:r>
    </w:p>
    <w:p>
      <w:pPr>
        <w:widowControl/>
      </w:pPr>
      <w:r>
        <w:t>Baseline에서 업종코드와 기업명 추가의 평균 차이는 두 모델 모두 조정 후 명확한 방향으로 확정되지 않는다. GPT의 IC-c−IC-b는 +0.072803이지만 구간은 음과 양을 포함한다. 이는 현재 코드형 산업정보와 기업명 공개 조건에서의 결과이지 산업연구나 경영진 정보가 본질적으로 쓸모없다는 증거가 아니다.</w:t>
      </w:r>
    </w:p>
    <w:p>
      <w:pPr>
        <w:widowControl/>
      </w:pPr>
      <w:r>
        <w:t>산업코드는 조회시점의 company-profile에서 수집했으므로 역사적 시점 정합성에도 한계가 있다. 코드만 제시하는 방식은 업종의 경쟁구도와 공급망, 거시환경을 설명하는 문서를 제공한 것과 다르다. 또한 기업명 공개에 따른 모델의 사전학습 지식 사용 여부를 이번 clean run에서 직접 확인하지 않았으므로, 정보효과가 작다는 사실을 지식오염이 없었다는 증명으로 쓰지 않는다.</w:t>
      </w:r>
    </w:p>
    <w:p>
      <w:pPr>
        <w:widowControl/>
      </w:pPr>
      <w:r>
        <w:t>RQ5는 이 제한된 비교를 통해 ‘어떤 정보를 어떤 형태로 추가했는지’가 실험 정의에 포함되어야 한다는 점을 남긴다. 정보량을 단순히 많음과 적음으로만 구분하지 않고 실제 필드, 시점 및 표현을 함께 공개한다.</w:t>
      </w:r>
    </w:p>
    <w:p>
      <w:bookmarkStart w:id="125" w:name="head_95"/>
      <w:pPr>
        <w:pStyle w:val="2"/>
        <w:widowControl/>
      </w:pPr>
      <w:r>
        <w:t>5.7 Baseline 반복성과 본실험의 소결</w:t>
      </w:r>
      <w:bookmarkEnd w:id="125"/>
    </w:p>
    <w:p>
      <w:bookmarkStart w:id="126" w:name="cap_31"/>
      <w:pPr>
        <w:pStyle w:val="af"/>
        <w:widowControl/>
      </w:pPr>
      <w:r>
        <w:t>표 5-11. Baseline의 별도 Run1·Run2 반복 비교</w:t>
      </w:r>
      <w:bookmarkEnd w:id="126"/>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794"/>
        <w:gridCol w:w="680"/>
        <w:gridCol w:w="964"/>
        <w:gridCol w:w="1757"/>
        <w:gridCol w:w="1757"/>
        <w:gridCol w:w="1984"/>
      </w:tblGrid>
      <w:tr>
        <w:trPr>
          <w:cantSplit/>
          <w:tblHeader/>
        </w:trPr>
        <w:tc>
          <w:tcPr>
            <w:tcW w:type="dxa" w:w="794"/>
            <w:vAlign w:val="center"/>
            <w:shd w:fill="F1F1F1"/>
            <w:tcMar>
              <w:top w:w="65" w:type="dxa"/>
              <w:left w:w="65" w:type="dxa"/>
              <w:bottom w:w="65" w:type="dxa"/>
              <w:right w:w="65" w:type="dxa"/>
            </w:tcMar>
          </w:tcPr>
          <w:p>
            <w:pPr>
              <w:pStyle w:val="TableText"/>
              <w:keepNext/>
              <w:widowControl/>
              <w:jc w:val="center"/>
            </w:pPr>
            <w:r>
              <w:rPr>
                <w:b/>
                <w:sz w:val="17"/>
              </w:rPr>
              <w:t>모델</w:t>
            </w:r>
          </w:p>
        </w:tc>
        <w:tc>
          <w:tcPr>
            <w:tcW w:type="dxa" w:w="680"/>
            <w:vAlign w:val="center"/>
            <w:shd w:fill="F1F1F1"/>
            <w:tcMar>
              <w:top w:w="65" w:type="dxa"/>
              <w:left w:w="65" w:type="dxa"/>
              <w:bottom w:w="65" w:type="dxa"/>
              <w:right w:w="65" w:type="dxa"/>
            </w:tcMar>
          </w:tcPr>
          <w:p>
            <w:pPr>
              <w:pStyle w:val="TableText"/>
              <w:keepNext/>
              <w:widowControl/>
              <w:jc w:val="center"/>
            </w:pPr>
            <w:r>
              <w:rPr>
                <w:b/>
                <w:sz w:val="17"/>
              </w:rPr>
              <w:t>예산</w:t>
            </w:r>
          </w:p>
        </w:tc>
        <w:tc>
          <w:tcPr>
            <w:tcW w:type="dxa" w:w="964"/>
            <w:vAlign w:val="center"/>
            <w:shd w:fill="F1F1F1"/>
            <w:tcMar>
              <w:top w:w="65" w:type="dxa"/>
              <w:left w:w="65" w:type="dxa"/>
              <w:bottom w:w="65" w:type="dxa"/>
              <w:right w:w="65" w:type="dxa"/>
            </w:tcMar>
          </w:tcPr>
          <w:p>
            <w:pPr>
              <w:pStyle w:val="TableText"/>
              <w:keepNext/>
              <w:widowControl/>
              <w:jc w:val="center"/>
            </w:pPr>
            <w:r>
              <w:rPr>
                <w:b/>
                <w:sz w:val="17"/>
              </w:rPr>
              <w:t>정책</w:t>
            </w:r>
          </w:p>
        </w:tc>
        <w:tc>
          <w:tcPr>
            <w:tcW w:type="dxa" w:w="1757"/>
            <w:vAlign w:val="center"/>
            <w:shd w:fill="F1F1F1"/>
            <w:tcMar>
              <w:top w:w="65" w:type="dxa"/>
              <w:left w:w="65" w:type="dxa"/>
              <w:bottom w:w="65" w:type="dxa"/>
              <w:right w:w="65" w:type="dxa"/>
            </w:tcMar>
          </w:tcPr>
          <w:p>
            <w:pPr>
              <w:pStyle w:val="TableText"/>
              <w:keepNext/>
              <w:widowControl/>
              <w:jc w:val="center"/>
            </w:pPr>
            <w:r>
              <w:rPr>
                <w:b/>
                <w:sz w:val="17"/>
              </w:rPr>
              <w:t>Run1 ΔA0</w:t>
            </w:r>
          </w:p>
        </w:tc>
        <w:tc>
          <w:tcPr>
            <w:tcW w:type="dxa" w:w="1757"/>
            <w:vAlign w:val="center"/>
            <w:shd w:fill="F1F1F1"/>
            <w:tcMar>
              <w:top w:w="65" w:type="dxa"/>
              <w:left w:w="65" w:type="dxa"/>
              <w:bottom w:w="65" w:type="dxa"/>
              <w:right w:w="65" w:type="dxa"/>
            </w:tcMar>
          </w:tcPr>
          <w:p>
            <w:pPr>
              <w:pStyle w:val="TableText"/>
              <w:keepNext/>
              <w:widowControl/>
              <w:jc w:val="center"/>
            </w:pPr>
            <w:r>
              <w:rPr>
                <w:b/>
                <w:sz w:val="17"/>
              </w:rPr>
              <w:t>Run2 ΔA0</w:t>
            </w:r>
          </w:p>
        </w:tc>
        <w:tc>
          <w:tcPr>
            <w:tcW w:type="dxa" w:w="1984"/>
            <w:vAlign w:val="center"/>
            <w:shd w:fill="F1F1F1"/>
            <w:tcMar>
              <w:top w:w="65" w:type="dxa"/>
              <w:left w:w="65" w:type="dxa"/>
              <w:bottom w:w="65" w:type="dxa"/>
              <w:right w:w="65" w:type="dxa"/>
            </w:tcMar>
          </w:tcPr>
          <w:p>
            <w:pPr>
              <w:pStyle w:val="TableText"/>
              <w:keepNext/>
              <w:widowControl/>
              <w:jc w:val="center"/>
            </w:pPr>
            <w:r>
              <w:rPr>
                <w:b/>
                <w:sz w:val="17"/>
              </w:rPr>
              <w:t>ΔA0 순위 ρ</w:t>
            </w:r>
          </w:p>
        </w:tc>
      </w:tr>
      <w:tr>
        <w:trPr>
          <w:cantSplit/>
        </w:trPr>
        <w:tc>
          <w:tcPr>
            <w:tcW w:type="dxa" w:w="794"/>
            <w:vAlign w:val="center"/>
            <w:tcMar>
              <w:top w:w="65" w:type="dxa"/>
              <w:left w:w="65" w:type="dxa"/>
              <w:bottom w:w="65" w:type="dxa"/>
              <w:right w:w="65" w:type="dxa"/>
            </w:tcMar>
          </w:tcPr>
          <w:p>
            <w:pPr>
              <w:pStyle w:val="TableText"/>
              <w:keepNext/>
              <w:widowControl/>
              <w:jc w:val="left"/>
            </w:pPr>
            <w:r>
              <w:rPr>
                <w:b w:val="0"/>
                <w:sz w:val="17"/>
              </w:rPr>
              <w:t>Gemini</w:t>
            </w:r>
          </w:p>
        </w:tc>
        <w:tc>
          <w:tcPr>
            <w:tcW w:type="dxa" w:w="680"/>
            <w:vAlign w:val="center"/>
            <w:tcMar>
              <w:top w:w="65" w:type="dxa"/>
              <w:left w:w="65" w:type="dxa"/>
              <w:bottom w:w="65" w:type="dxa"/>
              <w:right w:w="65" w:type="dxa"/>
            </w:tcMar>
          </w:tcPr>
          <w:p>
            <w:pPr>
              <w:pStyle w:val="TableText"/>
              <w:keepNext/>
              <w:widowControl/>
              <w:jc w:val="left"/>
            </w:pPr>
            <w:r>
              <w:rPr>
                <w:b w:val="0"/>
                <w:sz w:val="17"/>
              </w:rPr>
              <w:t>B1</w:t>
            </w:r>
          </w:p>
        </w:tc>
        <w:tc>
          <w:tcPr>
            <w:tcW w:type="dxa" w:w="964"/>
            <w:vAlign w:val="center"/>
            <w:tcMar>
              <w:top w:w="65" w:type="dxa"/>
              <w:left w:w="65" w:type="dxa"/>
              <w:bottom w:w="65" w:type="dxa"/>
              <w:right w:w="65" w:type="dxa"/>
            </w:tcMar>
          </w:tcPr>
          <w:p>
            <w:pPr>
              <w:pStyle w:val="TableText"/>
              <w:keepNext/>
              <w:widowControl/>
              <w:jc w:val="left"/>
            </w:pPr>
            <w:r>
              <w:rPr>
                <w:b w:val="0"/>
                <w:sz w:val="17"/>
              </w:rPr>
              <w:t>C4</w:t>
            </w:r>
          </w:p>
        </w:tc>
        <w:tc>
          <w:tcPr>
            <w:tcW w:type="dxa" w:w="1757"/>
            <w:vAlign w:val="center"/>
            <w:tcMar>
              <w:top w:w="65" w:type="dxa"/>
              <w:left w:w="65" w:type="dxa"/>
              <w:bottom w:w="65" w:type="dxa"/>
              <w:right w:w="65" w:type="dxa"/>
            </w:tcMar>
          </w:tcPr>
          <w:p>
            <w:pPr>
              <w:pStyle w:val="TableText"/>
              <w:keepNext/>
              <w:widowControl/>
              <w:jc w:val="left"/>
            </w:pPr>
            <w:r>
              <w:rPr>
                <w:b w:val="0"/>
                <w:sz w:val="17"/>
              </w:rPr>
              <w:t>+0.1470</w:t>
            </w:r>
          </w:p>
        </w:tc>
        <w:tc>
          <w:tcPr>
            <w:tcW w:type="dxa" w:w="1757"/>
            <w:vAlign w:val="center"/>
            <w:tcMar>
              <w:top w:w="65" w:type="dxa"/>
              <w:left w:w="65" w:type="dxa"/>
              <w:bottom w:w="65" w:type="dxa"/>
              <w:right w:w="65" w:type="dxa"/>
            </w:tcMar>
          </w:tcPr>
          <w:p>
            <w:pPr>
              <w:pStyle w:val="TableText"/>
              <w:keepNext/>
              <w:widowControl/>
              <w:jc w:val="left"/>
            </w:pPr>
            <w:r>
              <w:rPr>
                <w:b w:val="0"/>
                <w:sz w:val="17"/>
              </w:rPr>
              <w:t>+0.1915</w:t>
            </w:r>
          </w:p>
        </w:tc>
        <w:tc>
          <w:tcPr>
            <w:tcW w:type="dxa" w:w="1984"/>
            <w:vAlign w:val="center"/>
            <w:tcMar>
              <w:top w:w="65" w:type="dxa"/>
              <w:left w:w="65" w:type="dxa"/>
              <w:bottom w:w="65" w:type="dxa"/>
              <w:right w:w="65" w:type="dxa"/>
            </w:tcMar>
          </w:tcPr>
          <w:p>
            <w:pPr>
              <w:pStyle w:val="TableText"/>
              <w:keepNext/>
              <w:widowControl/>
              <w:jc w:val="left"/>
            </w:pPr>
            <w:r>
              <w:rPr>
                <w:b w:val="0"/>
                <w:sz w:val="17"/>
              </w:rPr>
              <w:t>0.754</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7"/>
              </w:rPr>
              <w:t>Gemini</w:t>
            </w:r>
          </w:p>
        </w:tc>
        <w:tc>
          <w:tcPr>
            <w:tcW w:type="dxa" w:w="680"/>
            <w:vAlign w:val="center"/>
            <w:tcMar>
              <w:top w:w="65" w:type="dxa"/>
              <w:left w:w="65" w:type="dxa"/>
              <w:bottom w:w="65" w:type="dxa"/>
              <w:right w:w="65" w:type="dxa"/>
            </w:tcMar>
          </w:tcPr>
          <w:p>
            <w:pPr>
              <w:pStyle w:val="TableText"/>
              <w:keepNext w:val="0"/>
              <w:widowControl/>
              <w:jc w:val="left"/>
            </w:pPr>
            <w:r>
              <w:rPr>
                <w:b w:val="0"/>
                <w:sz w:val="17"/>
              </w:rPr>
              <w:t>B1</w:t>
            </w:r>
          </w:p>
        </w:tc>
        <w:tc>
          <w:tcPr>
            <w:tcW w:type="dxa" w:w="964"/>
            <w:vAlign w:val="center"/>
            <w:tcMar>
              <w:top w:w="65" w:type="dxa"/>
              <w:left w:w="65" w:type="dxa"/>
              <w:bottom w:w="65" w:type="dxa"/>
              <w:right w:w="65" w:type="dxa"/>
            </w:tcMar>
          </w:tcPr>
          <w:p>
            <w:pPr>
              <w:pStyle w:val="TableText"/>
              <w:keepNext w:val="0"/>
              <w:widowControl/>
              <w:jc w:val="left"/>
            </w:pPr>
            <w:r>
              <w:rPr>
                <w:b w:val="0"/>
                <w:sz w:val="17"/>
              </w:rPr>
              <w:t>C4R</w:t>
            </w:r>
          </w:p>
        </w:tc>
        <w:tc>
          <w:tcPr>
            <w:tcW w:type="dxa" w:w="1757"/>
            <w:vAlign w:val="center"/>
            <w:tcMar>
              <w:top w:w="65" w:type="dxa"/>
              <w:left w:w="65" w:type="dxa"/>
              <w:bottom w:w="65" w:type="dxa"/>
              <w:right w:w="65" w:type="dxa"/>
            </w:tcMar>
          </w:tcPr>
          <w:p>
            <w:pPr>
              <w:pStyle w:val="TableText"/>
              <w:keepNext w:val="0"/>
              <w:widowControl/>
              <w:jc w:val="left"/>
            </w:pPr>
            <w:r>
              <w:rPr>
                <w:b w:val="0"/>
                <w:sz w:val="17"/>
              </w:rPr>
              <w:t>+0.1447</w:t>
            </w:r>
          </w:p>
        </w:tc>
        <w:tc>
          <w:tcPr>
            <w:tcW w:type="dxa" w:w="1757"/>
            <w:vAlign w:val="center"/>
            <w:tcMar>
              <w:top w:w="65" w:type="dxa"/>
              <w:left w:w="65" w:type="dxa"/>
              <w:bottom w:w="65" w:type="dxa"/>
              <w:right w:w="65" w:type="dxa"/>
            </w:tcMar>
          </w:tcPr>
          <w:p>
            <w:pPr>
              <w:pStyle w:val="TableText"/>
              <w:keepNext w:val="0"/>
              <w:widowControl/>
              <w:jc w:val="left"/>
            </w:pPr>
            <w:r>
              <w:rPr>
                <w:b w:val="0"/>
                <w:sz w:val="17"/>
              </w:rPr>
              <w:t>+0.1830</w:t>
            </w:r>
          </w:p>
        </w:tc>
        <w:tc>
          <w:tcPr>
            <w:tcW w:type="dxa" w:w="1984"/>
            <w:vAlign w:val="center"/>
            <w:tcMar>
              <w:top w:w="65" w:type="dxa"/>
              <w:left w:w="65" w:type="dxa"/>
              <w:bottom w:w="65" w:type="dxa"/>
              <w:right w:w="65" w:type="dxa"/>
            </w:tcMar>
          </w:tcPr>
          <w:p>
            <w:pPr>
              <w:pStyle w:val="TableText"/>
              <w:keepNext w:val="0"/>
              <w:widowControl/>
              <w:jc w:val="left"/>
            </w:pPr>
            <w:r>
              <w:rPr>
                <w:b w:val="0"/>
                <w:sz w:val="17"/>
              </w:rPr>
              <w:t>0.797</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7"/>
              </w:rPr>
              <w:t>Gemini</w:t>
            </w:r>
          </w:p>
        </w:tc>
        <w:tc>
          <w:tcPr>
            <w:tcW w:type="dxa" w:w="680"/>
            <w:vAlign w:val="center"/>
            <w:tcMar>
              <w:top w:w="65" w:type="dxa"/>
              <w:left w:w="65" w:type="dxa"/>
              <w:bottom w:w="65" w:type="dxa"/>
              <w:right w:w="65" w:type="dxa"/>
            </w:tcMar>
          </w:tcPr>
          <w:p>
            <w:pPr>
              <w:pStyle w:val="TableText"/>
              <w:keepNext w:val="0"/>
              <w:widowControl/>
              <w:jc w:val="left"/>
            </w:pPr>
            <w:r>
              <w:rPr>
                <w:b w:val="0"/>
                <w:sz w:val="17"/>
              </w:rPr>
              <w:t>B1</w:t>
            </w:r>
          </w:p>
        </w:tc>
        <w:tc>
          <w:tcPr>
            <w:tcW w:type="dxa" w:w="964"/>
            <w:vAlign w:val="center"/>
            <w:tcMar>
              <w:top w:w="65" w:type="dxa"/>
              <w:left w:w="65" w:type="dxa"/>
              <w:bottom w:w="65" w:type="dxa"/>
              <w:right w:w="65" w:type="dxa"/>
            </w:tcMar>
          </w:tcPr>
          <w:p>
            <w:pPr>
              <w:pStyle w:val="TableText"/>
              <w:keepNext w:val="0"/>
              <w:widowControl/>
              <w:jc w:val="left"/>
            </w:pPr>
            <w:r>
              <w:rPr>
                <w:b w:val="0"/>
                <w:sz w:val="17"/>
              </w:rPr>
              <w:t>C6-E</w:t>
            </w:r>
          </w:p>
        </w:tc>
        <w:tc>
          <w:tcPr>
            <w:tcW w:type="dxa" w:w="1757"/>
            <w:vAlign w:val="center"/>
            <w:tcMar>
              <w:top w:w="65" w:type="dxa"/>
              <w:left w:w="65" w:type="dxa"/>
              <w:bottom w:w="65" w:type="dxa"/>
              <w:right w:w="65" w:type="dxa"/>
            </w:tcMar>
          </w:tcPr>
          <w:p>
            <w:pPr>
              <w:pStyle w:val="TableText"/>
              <w:keepNext w:val="0"/>
              <w:widowControl/>
              <w:jc w:val="left"/>
            </w:pPr>
            <w:r>
              <w:rPr>
                <w:b w:val="0"/>
                <w:sz w:val="17"/>
              </w:rPr>
              <w:t>+0.1667</w:t>
            </w:r>
          </w:p>
        </w:tc>
        <w:tc>
          <w:tcPr>
            <w:tcW w:type="dxa" w:w="1757"/>
            <w:vAlign w:val="center"/>
            <w:tcMar>
              <w:top w:w="65" w:type="dxa"/>
              <w:left w:w="65" w:type="dxa"/>
              <w:bottom w:w="65" w:type="dxa"/>
              <w:right w:w="65" w:type="dxa"/>
            </w:tcMar>
          </w:tcPr>
          <w:p>
            <w:pPr>
              <w:pStyle w:val="TableText"/>
              <w:keepNext w:val="0"/>
              <w:widowControl/>
              <w:jc w:val="left"/>
            </w:pPr>
            <w:r>
              <w:rPr>
                <w:b w:val="0"/>
                <w:sz w:val="17"/>
              </w:rPr>
              <w:t>+0.1810</w:t>
            </w:r>
          </w:p>
        </w:tc>
        <w:tc>
          <w:tcPr>
            <w:tcW w:type="dxa" w:w="1984"/>
            <w:vAlign w:val="center"/>
            <w:tcMar>
              <w:top w:w="65" w:type="dxa"/>
              <w:left w:w="65" w:type="dxa"/>
              <w:bottom w:w="65" w:type="dxa"/>
              <w:right w:w="65" w:type="dxa"/>
            </w:tcMar>
          </w:tcPr>
          <w:p>
            <w:pPr>
              <w:pStyle w:val="TableText"/>
              <w:keepNext w:val="0"/>
              <w:widowControl/>
              <w:jc w:val="left"/>
            </w:pPr>
            <w:r>
              <w:rPr>
                <w:b w:val="0"/>
                <w:sz w:val="17"/>
              </w:rPr>
              <w:t>0.726</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7"/>
              </w:rPr>
              <w:t>Gemini</w:t>
            </w:r>
          </w:p>
        </w:tc>
        <w:tc>
          <w:tcPr>
            <w:tcW w:type="dxa" w:w="680"/>
            <w:vAlign w:val="center"/>
            <w:tcMar>
              <w:top w:w="65" w:type="dxa"/>
              <w:left w:w="65" w:type="dxa"/>
              <w:bottom w:w="65" w:type="dxa"/>
              <w:right w:w="65" w:type="dxa"/>
            </w:tcMar>
          </w:tcPr>
          <w:p>
            <w:pPr>
              <w:pStyle w:val="TableText"/>
              <w:keepNext w:val="0"/>
              <w:widowControl/>
              <w:jc w:val="left"/>
            </w:pPr>
            <w:r>
              <w:rPr>
                <w:b w:val="0"/>
                <w:sz w:val="17"/>
              </w:rPr>
              <w:t>BINF</w:t>
            </w:r>
          </w:p>
        </w:tc>
        <w:tc>
          <w:tcPr>
            <w:tcW w:type="dxa" w:w="964"/>
            <w:vAlign w:val="center"/>
            <w:tcMar>
              <w:top w:w="65" w:type="dxa"/>
              <w:left w:w="65" w:type="dxa"/>
              <w:bottom w:w="65" w:type="dxa"/>
              <w:right w:w="65" w:type="dxa"/>
            </w:tcMar>
          </w:tcPr>
          <w:p>
            <w:pPr>
              <w:pStyle w:val="TableText"/>
              <w:keepNext w:val="0"/>
              <w:widowControl/>
              <w:jc w:val="left"/>
            </w:pPr>
            <w:r>
              <w:rPr>
                <w:b w:val="0"/>
                <w:sz w:val="17"/>
              </w:rPr>
              <w:t>C4</w:t>
            </w:r>
          </w:p>
        </w:tc>
        <w:tc>
          <w:tcPr>
            <w:tcW w:type="dxa" w:w="1757"/>
            <w:vAlign w:val="center"/>
            <w:tcMar>
              <w:top w:w="65" w:type="dxa"/>
              <w:left w:w="65" w:type="dxa"/>
              <w:bottom w:w="65" w:type="dxa"/>
              <w:right w:w="65" w:type="dxa"/>
            </w:tcMar>
          </w:tcPr>
          <w:p>
            <w:pPr>
              <w:pStyle w:val="TableText"/>
              <w:keepNext w:val="0"/>
              <w:widowControl/>
              <w:jc w:val="left"/>
            </w:pPr>
            <w:r>
              <w:rPr>
                <w:b w:val="0"/>
                <w:sz w:val="17"/>
              </w:rPr>
              <w:t>+1.4818</w:t>
            </w:r>
          </w:p>
        </w:tc>
        <w:tc>
          <w:tcPr>
            <w:tcW w:type="dxa" w:w="1757"/>
            <w:vAlign w:val="center"/>
            <w:tcMar>
              <w:top w:w="65" w:type="dxa"/>
              <w:left w:w="65" w:type="dxa"/>
              <w:bottom w:w="65" w:type="dxa"/>
              <w:right w:w="65" w:type="dxa"/>
            </w:tcMar>
          </w:tcPr>
          <w:p>
            <w:pPr>
              <w:pStyle w:val="TableText"/>
              <w:keepNext w:val="0"/>
              <w:widowControl/>
              <w:jc w:val="left"/>
            </w:pPr>
            <w:r>
              <w:rPr>
                <w:b w:val="0"/>
                <w:sz w:val="17"/>
              </w:rPr>
              <w:t>+1.4611</w:t>
            </w:r>
          </w:p>
        </w:tc>
        <w:tc>
          <w:tcPr>
            <w:tcW w:type="dxa" w:w="1984"/>
            <w:vAlign w:val="center"/>
            <w:tcMar>
              <w:top w:w="65" w:type="dxa"/>
              <w:left w:w="65" w:type="dxa"/>
              <w:bottom w:w="65" w:type="dxa"/>
              <w:right w:w="65" w:type="dxa"/>
            </w:tcMar>
          </w:tcPr>
          <w:p>
            <w:pPr>
              <w:pStyle w:val="TableText"/>
              <w:keepNext w:val="0"/>
              <w:widowControl/>
              <w:jc w:val="left"/>
            </w:pPr>
            <w:r>
              <w:rPr>
                <w:b w:val="0"/>
                <w:sz w:val="17"/>
              </w:rPr>
              <w:t>0.836</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7"/>
              </w:rPr>
              <w:t>Gemini</w:t>
            </w:r>
          </w:p>
        </w:tc>
        <w:tc>
          <w:tcPr>
            <w:tcW w:type="dxa" w:w="680"/>
            <w:vAlign w:val="center"/>
            <w:tcMar>
              <w:top w:w="65" w:type="dxa"/>
              <w:left w:w="65" w:type="dxa"/>
              <w:bottom w:w="65" w:type="dxa"/>
              <w:right w:w="65" w:type="dxa"/>
            </w:tcMar>
          </w:tcPr>
          <w:p>
            <w:pPr>
              <w:pStyle w:val="TableText"/>
              <w:keepNext w:val="0"/>
              <w:widowControl/>
              <w:jc w:val="left"/>
            </w:pPr>
            <w:r>
              <w:rPr>
                <w:b w:val="0"/>
                <w:sz w:val="17"/>
              </w:rPr>
              <w:t>BINF</w:t>
            </w:r>
          </w:p>
        </w:tc>
        <w:tc>
          <w:tcPr>
            <w:tcW w:type="dxa" w:w="964"/>
            <w:vAlign w:val="center"/>
            <w:tcMar>
              <w:top w:w="65" w:type="dxa"/>
              <w:left w:w="65" w:type="dxa"/>
              <w:bottom w:w="65" w:type="dxa"/>
              <w:right w:w="65" w:type="dxa"/>
            </w:tcMar>
          </w:tcPr>
          <w:p>
            <w:pPr>
              <w:pStyle w:val="TableText"/>
              <w:keepNext w:val="0"/>
              <w:widowControl/>
              <w:jc w:val="left"/>
            </w:pPr>
            <w:r>
              <w:rPr>
                <w:b w:val="0"/>
                <w:sz w:val="17"/>
              </w:rPr>
              <w:t>C4R</w:t>
            </w:r>
          </w:p>
        </w:tc>
        <w:tc>
          <w:tcPr>
            <w:tcW w:type="dxa" w:w="1757"/>
            <w:vAlign w:val="center"/>
            <w:tcMar>
              <w:top w:w="65" w:type="dxa"/>
              <w:left w:w="65" w:type="dxa"/>
              <w:bottom w:w="65" w:type="dxa"/>
              <w:right w:w="65" w:type="dxa"/>
            </w:tcMar>
          </w:tcPr>
          <w:p>
            <w:pPr>
              <w:pStyle w:val="TableText"/>
              <w:keepNext w:val="0"/>
              <w:widowControl/>
              <w:jc w:val="left"/>
            </w:pPr>
            <w:r>
              <w:rPr>
                <w:b w:val="0"/>
                <w:sz w:val="17"/>
              </w:rPr>
              <w:t>+1.6245</w:t>
            </w:r>
          </w:p>
        </w:tc>
        <w:tc>
          <w:tcPr>
            <w:tcW w:type="dxa" w:w="1757"/>
            <w:vAlign w:val="center"/>
            <w:tcMar>
              <w:top w:w="65" w:type="dxa"/>
              <w:left w:w="65" w:type="dxa"/>
              <w:bottom w:w="65" w:type="dxa"/>
              <w:right w:w="65" w:type="dxa"/>
            </w:tcMar>
          </w:tcPr>
          <w:p>
            <w:pPr>
              <w:pStyle w:val="TableText"/>
              <w:keepNext w:val="0"/>
              <w:widowControl/>
              <w:jc w:val="left"/>
            </w:pPr>
            <w:r>
              <w:rPr>
                <w:b w:val="0"/>
                <w:sz w:val="17"/>
              </w:rPr>
              <w:t>+1.5761</w:t>
            </w:r>
          </w:p>
        </w:tc>
        <w:tc>
          <w:tcPr>
            <w:tcW w:type="dxa" w:w="1984"/>
            <w:vAlign w:val="center"/>
            <w:tcMar>
              <w:top w:w="65" w:type="dxa"/>
              <w:left w:w="65" w:type="dxa"/>
              <w:bottom w:w="65" w:type="dxa"/>
              <w:right w:w="65" w:type="dxa"/>
            </w:tcMar>
          </w:tcPr>
          <w:p>
            <w:pPr>
              <w:pStyle w:val="TableText"/>
              <w:keepNext w:val="0"/>
              <w:widowControl/>
              <w:jc w:val="left"/>
            </w:pPr>
            <w:r>
              <w:rPr>
                <w:b w:val="0"/>
                <w:sz w:val="17"/>
              </w:rPr>
              <w:t>0.864</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7"/>
              </w:rPr>
              <w:t>Gemini</w:t>
            </w:r>
          </w:p>
        </w:tc>
        <w:tc>
          <w:tcPr>
            <w:tcW w:type="dxa" w:w="680"/>
            <w:vAlign w:val="center"/>
            <w:tcMar>
              <w:top w:w="65" w:type="dxa"/>
              <w:left w:w="65" w:type="dxa"/>
              <w:bottom w:w="65" w:type="dxa"/>
              <w:right w:w="65" w:type="dxa"/>
            </w:tcMar>
          </w:tcPr>
          <w:p>
            <w:pPr>
              <w:pStyle w:val="TableText"/>
              <w:keepNext w:val="0"/>
              <w:widowControl/>
              <w:jc w:val="left"/>
            </w:pPr>
            <w:r>
              <w:rPr>
                <w:b w:val="0"/>
                <w:sz w:val="17"/>
              </w:rPr>
              <w:t>BINF</w:t>
            </w:r>
          </w:p>
        </w:tc>
        <w:tc>
          <w:tcPr>
            <w:tcW w:type="dxa" w:w="964"/>
            <w:vAlign w:val="center"/>
            <w:tcMar>
              <w:top w:w="65" w:type="dxa"/>
              <w:left w:w="65" w:type="dxa"/>
              <w:bottom w:w="65" w:type="dxa"/>
              <w:right w:w="65" w:type="dxa"/>
            </w:tcMar>
          </w:tcPr>
          <w:p>
            <w:pPr>
              <w:pStyle w:val="TableText"/>
              <w:keepNext w:val="0"/>
              <w:widowControl/>
              <w:jc w:val="left"/>
            </w:pPr>
            <w:r>
              <w:rPr>
                <w:b w:val="0"/>
                <w:sz w:val="17"/>
              </w:rPr>
              <w:t>C6-E</w:t>
            </w:r>
          </w:p>
        </w:tc>
        <w:tc>
          <w:tcPr>
            <w:tcW w:type="dxa" w:w="1757"/>
            <w:vAlign w:val="center"/>
            <w:tcMar>
              <w:top w:w="65" w:type="dxa"/>
              <w:left w:w="65" w:type="dxa"/>
              <w:bottom w:w="65" w:type="dxa"/>
              <w:right w:w="65" w:type="dxa"/>
            </w:tcMar>
          </w:tcPr>
          <w:p>
            <w:pPr>
              <w:pStyle w:val="TableText"/>
              <w:keepNext w:val="0"/>
              <w:widowControl/>
              <w:jc w:val="left"/>
            </w:pPr>
            <w:r>
              <w:rPr>
                <w:b w:val="0"/>
                <w:sz w:val="17"/>
              </w:rPr>
              <w:t>+1.6426</w:t>
            </w:r>
          </w:p>
        </w:tc>
        <w:tc>
          <w:tcPr>
            <w:tcW w:type="dxa" w:w="1757"/>
            <w:vAlign w:val="center"/>
            <w:tcMar>
              <w:top w:w="65" w:type="dxa"/>
              <w:left w:w="65" w:type="dxa"/>
              <w:bottom w:w="65" w:type="dxa"/>
              <w:right w:w="65" w:type="dxa"/>
            </w:tcMar>
          </w:tcPr>
          <w:p>
            <w:pPr>
              <w:pStyle w:val="TableText"/>
              <w:keepNext w:val="0"/>
              <w:widowControl/>
              <w:jc w:val="left"/>
            </w:pPr>
            <w:r>
              <w:rPr>
                <w:b w:val="0"/>
                <w:sz w:val="17"/>
              </w:rPr>
              <w:t>+1.6348</w:t>
            </w:r>
          </w:p>
        </w:tc>
        <w:tc>
          <w:tcPr>
            <w:tcW w:type="dxa" w:w="1984"/>
            <w:vAlign w:val="center"/>
            <w:tcMar>
              <w:top w:w="65" w:type="dxa"/>
              <w:left w:w="65" w:type="dxa"/>
              <w:bottom w:w="65" w:type="dxa"/>
              <w:right w:w="65" w:type="dxa"/>
            </w:tcMar>
          </w:tcPr>
          <w:p>
            <w:pPr>
              <w:pStyle w:val="TableText"/>
              <w:keepNext w:val="0"/>
              <w:widowControl/>
              <w:jc w:val="left"/>
            </w:pPr>
            <w:r>
              <w:rPr>
                <w:b w:val="0"/>
                <w:sz w:val="17"/>
              </w:rPr>
              <w:t>0.891</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7"/>
              </w:rPr>
              <w:t>GPT</w:t>
            </w:r>
          </w:p>
        </w:tc>
        <w:tc>
          <w:tcPr>
            <w:tcW w:type="dxa" w:w="680"/>
            <w:vAlign w:val="center"/>
            <w:tcMar>
              <w:top w:w="65" w:type="dxa"/>
              <w:left w:w="65" w:type="dxa"/>
              <w:bottom w:w="65" w:type="dxa"/>
              <w:right w:w="65" w:type="dxa"/>
            </w:tcMar>
          </w:tcPr>
          <w:p>
            <w:pPr>
              <w:pStyle w:val="TableText"/>
              <w:keepNext w:val="0"/>
              <w:widowControl/>
              <w:jc w:val="left"/>
            </w:pPr>
            <w:r>
              <w:rPr>
                <w:b w:val="0"/>
                <w:sz w:val="17"/>
              </w:rPr>
              <w:t>B1</w:t>
            </w:r>
          </w:p>
        </w:tc>
        <w:tc>
          <w:tcPr>
            <w:tcW w:type="dxa" w:w="964"/>
            <w:vAlign w:val="center"/>
            <w:tcMar>
              <w:top w:w="65" w:type="dxa"/>
              <w:left w:w="65" w:type="dxa"/>
              <w:bottom w:w="65" w:type="dxa"/>
              <w:right w:w="65" w:type="dxa"/>
            </w:tcMar>
          </w:tcPr>
          <w:p>
            <w:pPr>
              <w:pStyle w:val="TableText"/>
              <w:keepNext w:val="0"/>
              <w:widowControl/>
              <w:jc w:val="left"/>
            </w:pPr>
            <w:r>
              <w:rPr>
                <w:b w:val="0"/>
                <w:sz w:val="17"/>
              </w:rPr>
              <w:t>C4</w:t>
            </w:r>
          </w:p>
        </w:tc>
        <w:tc>
          <w:tcPr>
            <w:tcW w:type="dxa" w:w="1757"/>
            <w:vAlign w:val="center"/>
            <w:tcMar>
              <w:top w:w="65" w:type="dxa"/>
              <w:left w:w="65" w:type="dxa"/>
              <w:bottom w:w="65" w:type="dxa"/>
              <w:right w:w="65" w:type="dxa"/>
            </w:tcMar>
          </w:tcPr>
          <w:p>
            <w:pPr>
              <w:pStyle w:val="TableText"/>
              <w:keepNext w:val="0"/>
              <w:widowControl/>
              <w:jc w:val="left"/>
            </w:pPr>
            <w:r>
              <w:rPr>
                <w:b w:val="0"/>
                <w:sz w:val="17"/>
              </w:rPr>
              <w:t>+0.2647</w:t>
            </w:r>
          </w:p>
        </w:tc>
        <w:tc>
          <w:tcPr>
            <w:tcW w:type="dxa" w:w="1757"/>
            <w:vAlign w:val="center"/>
            <w:tcMar>
              <w:top w:w="65" w:type="dxa"/>
              <w:left w:w="65" w:type="dxa"/>
              <w:bottom w:w="65" w:type="dxa"/>
              <w:right w:w="65" w:type="dxa"/>
            </w:tcMar>
          </w:tcPr>
          <w:p>
            <w:pPr>
              <w:pStyle w:val="TableText"/>
              <w:keepNext w:val="0"/>
              <w:widowControl/>
              <w:jc w:val="left"/>
            </w:pPr>
            <w:r>
              <w:rPr>
                <w:b w:val="0"/>
                <w:sz w:val="17"/>
              </w:rPr>
              <w:t>+0.3015</w:t>
            </w:r>
          </w:p>
        </w:tc>
        <w:tc>
          <w:tcPr>
            <w:tcW w:type="dxa" w:w="1984"/>
            <w:vAlign w:val="center"/>
            <w:tcMar>
              <w:top w:w="65" w:type="dxa"/>
              <w:left w:w="65" w:type="dxa"/>
              <w:bottom w:w="65" w:type="dxa"/>
              <w:right w:w="65" w:type="dxa"/>
            </w:tcMar>
          </w:tcPr>
          <w:p>
            <w:pPr>
              <w:pStyle w:val="TableText"/>
              <w:keepNext w:val="0"/>
              <w:widowControl/>
              <w:jc w:val="left"/>
            </w:pPr>
            <w:r>
              <w:rPr>
                <w:b w:val="0"/>
                <w:sz w:val="17"/>
              </w:rPr>
              <w:t>0.495</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7"/>
              </w:rPr>
              <w:t>GPT</w:t>
            </w:r>
          </w:p>
        </w:tc>
        <w:tc>
          <w:tcPr>
            <w:tcW w:type="dxa" w:w="680"/>
            <w:vAlign w:val="center"/>
            <w:tcMar>
              <w:top w:w="65" w:type="dxa"/>
              <w:left w:w="65" w:type="dxa"/>
              <w:bottom w:w="65" w:type="dxa"/>
              <w:right w:w="65" w:type="dxa"/>
            </w:tcMar>
          </w:tcPr>
          <w:p>
            <w:pPr>
              <w:pStyle w:val="TableText"/>
              <w:keepNext w:val="0"/>
              <w:widowControl/>
              <w:jc w:val="left"/>
            </w:pPr>
            <w:r>
              <w:rPr>
                <w:b w:val="0"/>
                <w:sz w:val="17"/>
              </w:rPr>
              <w:t>B1</w:t>
            </w:r>
          </w:p>
        </w:tc>
        <w:tc>
          <w:tcPr>
            <w:tcW w:type="dxa" w:w="964"/>
            <w:vAlign w:val="center"/>
            <w:tcMar>
              <w:top w:w="65" w:type="dxa"/>
              <w:left w:w="65" w:type="dxa"/>
              <w:bottom w:w="65" w:type="dxa"/>
              <w:right w:w="65" w:type="dxa"/>
            </w:tcMar>
          </w:tcPr>
          <w:p>
            <w:pPr>
              <w:pStyle w:val="TableText"/>
              <w:keepNext w:val="0"/>
              <w:widowControl/>
              <w:jc w:val="left"/>
            </w:pPr>
            <w:r>
              <w:rPr>
                <w:b w:val="0"/>
                <w:sz w:val="17"/>
              </w:rPr>
              <w:t>C4R</w:t>
            </w:r>
          </w:p>
        </w:tc>
        <w:tc>
          <w:tcPr>
            <w:tcW w:type="dxa" w:w="1757"/>
            <w:vAlign w:val="center"/>
            <w:tcMar>
              <w:top w:w="65" w:type="dxa"/>
              <w:left w:w="65" w:type="dxa"/>
              <w:bottom w:w="65" w:type="dxa"/>
              <w:right w:w="65" w:type="dxa"/>
            </w:tcMar>
          </w:tcPr>
          <w:p>
            <w:pPr>
              <w:pStyle w:val="TableText"/>
              <w:keepNext w:val="0"/>
              <w:widowControl/>
              <w:jc w:val="left"/>
            </w:pPr>
            <w:r>
              <w:rPr>
                <w:b w:val="0"/>
                <w:sz w:val="17"/>
              </w:rPr>
              <w:t>+0.4339</w:t>
            </w:r>
          </w:p>
        </w:tc>
        <w:tc>
          <w:tcPr>
            <w:tcW w:type="dxa" w:w="1757"/>
            <w:vAlign w:val="center"/>
            <w:tcMar>
              <w:top w:w="65" w:type="dxa"/>
              <w:left w:w="65" w:type="dxa"/>
              <w:bottom w:w="65" w:type="dxa"/>
              <w:right w:w="65" w:type="dxa"/>
            </w:tcMar>
          </w:tcPr>
          <w:p>
            <w:pPr>
              <w:pStyle w:val="TableText"/>
              <w:keepNext w:val="0"/>
              <w:widowControl/>
              <w:jc w:val="left"/>
            </w:pPr>
            <w:r>
              <w:rPr>
                <w:b w:val="0"/>
                <w:sz w:val="17"/>
              </w:rPr>
              <w:t>+0.4197</w:t>
            </w:r>
          </w:p>
        </w:tc>
        <w:tc>
          <w:tcPr>
            <w:tcW w:type="dxa" w:w="1984"/>
            <w:vAlign w:val="center"/>
            <w:tcMar>
              <w:top w:w="65" w:type="dxa"/>
              <w:left w:w="65" w:type="dxa"/>
              <w:bottom w:w="65" w:type="dxa"/>
              <w:right w:w="65" w:type="dxa"/>
            </w:tcMar>
          </w:tcPr>
          <w:p>
            <w:pPr>
              <w:pStyle w:val="TableText"/>
              <w:keepNext w:val="0"/>
              <w:widowControl/>
              <w:jc w:val="left"/>
            </w:pPr>
            <w:r>
              <w:rPr>
                <w:b w:val="0"/>
                <w:sz w:val="17"/>
              </w:rPr>
              <w:t>0.526</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7"/>
              </w:rPr>
              <w:t>GPT</w:t>
            </w:r>
          </w:p>
        </w:tc>
        <w:tc>
          <w:tcPr>
            <w:tcW w:type="dxa" w:w="680"/>
            <w:vAlign w:val="center"/>
            <w:tcMar>
              <w:top w:w="65" w:type="dxa"/>
              <w:left w:w="65" w:type="dxa"/>
              <w:bottom w:w="65" w:type="dxa"/>
              <w:right w:w="65" w:type="dxa"/>
            </w:tcMar>
          </w:tcPr>
          <w:p>
            <w:pPr>
              <w:pStyle w:val="TableText"/>
              <w:keepNext w:val="0"/>
              <w:widowControl/>
              <w:jc w:val="left"/>
            </w:pPr>
            <w:r>
              <w:rPr>
                <w:b w:val="0"/>
                <w:sz w:val="17"/>
              </w:rPr>
              <w:t>B1</w:t>
            </w:r>
          </w:p>
        </w:tc>
        <w:tc>
          <w:tcPr>
            <w:tcW w:type="dxa" w:w="964"/>
            <w:vAlign w:val="center"/>
            <w:tcMar>
              <w:top w:w="65" w:type="dxa"/>
              <w:left w:w="65" w:type="dxa"/>
              <w:bottom w:w="65" w:type="dxa"/>
              <w:right w:w="65" w:type="dxa"/>
            </w:tcMar>
          </w:tcPr>
          <w:p>
            <w:pPr>
              <w:pStyle w:val="TableText"/>
              <w:keepNext w:val="0"/>
              <w:widowControl/>
              <w:jc w:val="left"/>
            </w:pPr>
            <w:r>
              <w:rPr>
                <w:b w:val="0"/>
                <w:sz w:val="17"/>
              </w:rPr>
              <w:t>C6-E</w:t>
            </w:r>
          </w:p>
        </w:tc>
        <w:tc>
          <w:tcPr>
            <w:tcW w:type="dxa" w:w="1757"/>
            <w:vAlign w:val="center"/>
            <w:tcMar>
              <w:top w:w="65" w:type="dxa"/>
              <w:left w:w="65" w:type="dxa"/>
              <w:bottom w:w="65" w:type="dxa"/>
              <w:right w:w="65" w:type="dxa"/>
            </w:tcMar>
          </w:tcPr>
          <w:p>
            <w:pPr>
              <w:pStyle w:val="TableText"/>
              <w:keepNext w:val="0"/>
              <w:widowControl/>
              <w:jc w:val="left"/>
            </w:pPr>
            <w:r>
              <w:rPr>
                <w:b w:val="0"/>
                <w:sz w:val="17"/>
              </w:rPr>
              <w:t>+0.4714</w:t>
            </w:r>
          </w:p>
        </w:tc>
        <w:tc>
          <w:tcPr>
            <w:tcW w:type="dxa" w:w="1757"/>
            <w:vAlign w:val="center"/>
            <w:tcMar>
              <w:top w:w="65" w:type="dxa"/>
              <w:left w:w="65" w:type="dxa"/>
              <w:bottom w:w="65" w:type="dxa"/>
              <w:right w:w="65" w:type="dxa"/>
            </w:tcMar>
          </w:tcPr>
          <w:p>
            <w:pPr>
              <w:pStyle w:val="TableText"/>
              <w:keepNext w:val="0"/>
              <w:widowControl/>
              <w:jc w:val="left"/>
            </w:pPr>
            <w:r>
              <w:rPr>
                <w:b w:val="0"/>
                <w:sz w:val="17"/>
              </w:rPr>
              <w:t>+0.4762</w:t>
            </w:r>
          </w:p>
        </w:tc>
        <w:tc>
          <w:tcPr>
            <w:tcW w:type="dxa" w:w="1984"/>
            <w:vAlign w:val="center"/>
            <w:tcMar>
              <w:top w:w="65" w:type="dxa"/>
              <w:left w:w="65" w:type="dxa"/>
              <w:bottom w:w="65" w:type="dxa"/>
              <w:right w:w="65" w:type="dxa"/>
            </w:tcMar>
          </w:tcPr>
          <w:p>
            <w:pPr>
              <w:pStyle w:val="TableText"/>
              <w:keepNext w:val="0"/>
              <w:widowControl/>
              <w:jc w:val="left"/>
            </w:pPr>
            <w:r>
              <w:rPr>
                <w:b w:val="0"/>
                <w:sz w:val="17"/>
              </w:rPr>
              <w:t>0.554</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7"/>
              </w:rPr>
              <w:t>GPT</w:t>
            </w:r>
          </w:p>
        </w:tc>
        <w:tc>
          <w:tcPr>
            <w:tcW w:type="dxa" w:w="680"/>
            <w:vAlign w:val="center"/>
            <w:tcMar>
              <w:top w:w="65" w:type="dxa"/>
              <w:left w:w="65" w:type="dxa"/>
              <w:bottom w:w="65" w:type="dxa"/>
              <w:right w:w="65" w:type="dxa"/>
            </w:tcMar>
          </w:tcPr>
          <w:p>
            <w:pPr>
              <w:pStyle w:val="TableText"/>
              <w:keepNext w:val="0"/>
              <w:widowControl/>
              <w:jc w:val="left"/>
            </w:pPr>
            <w:r>
              <w:rPr>
                <w:b w:val="0"/>
                <w:sz w:val="17"/>
              </w:rPr>
              <w:t>BINF</w:t>
            </w:r>
          </w:p>
        </w:tc>
        <w:tc>
          <w:tcPr>
            <w:tcW w:type="dxa" w:w="964"/>
            <w:vAlign w:val="center"/>
            <w:tcMar>
              <w:top w:w="65" w:type="dxa"/>
              <w:left w:w="65" w:type="dxa"/>
              <w:bottom w:w="65" w:type="dxa"/>
              <w:right w:w="65" w:type="dxa"/>
            </w:tcMar>
          </w:tcPr>
          <w:p>
            <w:pPr>
              <w:pStyle w:val="TableText"/>
              <w:keepNext w:val="0"/>
              <w:widowControl/>
              <w:jc w:val="left"/>
            </w:pPr>
            <w:r>
              <w:rPr>
                <w:b w:val="0"/>
                <w:sz w:val="17"/>
              </w:rPr>
              <w:t>C4</w:t>
            </w:r>
          </w:p>
        </w:tc>
        <w:tc>
          <w:tcPr>
            <w:tcW w:type="dxa" w:w="1757"/>
            <w:vAlign w:val="center"/>
            <w:tcMar>
              <w:top w:w="65" w:type="dxa"/>
              <w:left w:w="65" w:type="dxa"/>
              <w:bottom w:w="65" w:type="dxa"/>
              <w:right w:w="65" w:type="dxa"/>
            </w:tcMar>
          </w:tcPr>
          <w:p>
            <w:pPr>
              <w:pStyle w:val="TableText"/>
              <w:keepNext w:val="0"/>
              <w:widowControl/>
              <w:jc w:val="left"/>
            </w:pPr>
            <w:r>
              <w:rPr>
                <w:b w:val="0"/>
                <w:sz w:val="17"/>
              </w:rPr>
              <w:t>+0.5946</w:t>
            </w:r>
          </w:p>
        </w:tc>
        <w:tc>
          <w:tcPr>
            <w:tcW w:type="dxa" w:w="1757"/>
            <w:vAlign w:val="center"/>
            <w:tcMar>
              <w:top w:w="65" w:type="dxa"/>
              <w:left w:w="65" w:type="dxa"/>
              <w:bottom w:w="65" w:type="dxa"/>
              <w:right w:w="65" w:type="dxa"/>
            </w:tcMar>
          </w:tcPr>
          <w:p>
            <w:pPr>
              <w:pStyle w:val="TableText"/>
              <w:keepNext w:val="0"/>
              <w:widowControl/>
              <w:jc w:val="left"/>
            </w:pPr>
            <w:r>
              <w:rPr>
                <w:b w:val="0"/>
                <w:sz w:val="17"/>
              </w:rPr>
              <w:t>+0.5592</w:t>
            </w:r>
          </w:p>
        </w:tc>
        <w:tc>
          <w:tcPr>
            <w:tcW w:type="dxa" w:w="1984"/>
            <w:vAlign w:val="center"/>
            <w:tcMar>
              <w:top w:w="65" w:type="dxa"/>
              <w:left w:w="65" w:type="dxa"/>
              <w:bottom w:w="65" w:type="dxa"/>
              <w:right w:w="65" w:type="dxa"/>
            </w:tcMar>
          </w:tcPr>
          <w:p>
            <w:pPr>
              <w:pStyle w:val="TableText"/>
              <w:keepNext w:val="0"/>
              <w:widowControl/>
              <w:jc w:val="left"/>
            </w:pPr>
            <w:r>
              <w:rPr>
                <w:b w:val="0"/>
                <w:sz w:val="17"/>
              </w:rPr>
              <w:t>0.444</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7"/>
              </w:rPr>
              <w:t>GPT</w:t>
            </w:r>
          </w:p>
        </w:tc>
        <w:tc>
          <w:tcPr>
            <w:tcW w:type="dxa" w:w="680"/>
            <w:vAlign w:val="center"/>
            <w:tcMar>
              <w:top w:w="65" w:type="dxa"/>
              <w:left w:w="65" w:type="dxa"/>
              <w:bottom w:w="65" w:type="dxa"/>
              <w:right w:w="65" w:type="dxa"/>
            </w:tcMar>
          </w:tcPr>
          <w:p>
            <w:pPr>
              <w:pStyle w:val="TableText"/>
              <w:keepNext w:val="0"/>
              <w:widowControl/>
              <w:jc w:val="left"/>
            </w:pPr>
            <w:r>
              <w:rPr>
                <w:b w:val="0"/>
                <w:sz w:val="17"/>
              </w:rPr>
              <w:t>BINF</w:t>
            </w:r>
          </w:p>
        </w:tc>
        <w:tc>
          <w:tcPr>
            <w:tcW w:type="dxa" w:w="964"/>
            <w:vAlign w:val="center"/>
            <w:tcMar>
              <w:top w:w="65" w:type="dxa"/>
              <w:left w:w="65" w:type="dxa"/>
              <w:bottom w:w="65" w:type="dxa"/>
              <w:right w:w="65" w:type="dxa"/>
            </w:tcMar>
          </w:tcPr>
          <w:p>
            <w:pPr>
              <w:pStyle w:val="TableText"/>
              <w:keepNext w:val="0"/>
              <w:widowControl/>
              <w:jc w:val="left"/>
            </w:pPr>
            <w:r>
              <w:rPr>
                <w:b w:val="0"/>
                <w:sz w:val="17"/>
              </w:rPr>
              <w:t>C4R</w:t>
            </w:r>
          </w:p>
        </w:tc>
        <w:tc>
          <w:tcPr>
            <w:tcW w:type="dxa" w:w="1757"/>
            <w:vAlign w:val="center"/>
            <w:tcMar>
              <w:top w:w="65" w:type="dxa"/>
              <w:left w:w="65" w:type="dxa"/>
              <w:bottom w:w="65" w:type="dxa"/>
              <w:right w:w="65" w:type="dxa"/>
            </w:tcMar>
          </w:tcPr>
          <w:p>
            <w:pPr>
              <w:pStyle w:val="TableText"/>
              <w:keepNext w:val="0"/>
              <w:widowControl/>
              <w:jc w:val="left"/>
            </w:pPr>
            <w:r>
              <w:rPr>
                <w:b w:val="0"/>
                <w:sz w:val="17"/>
              </w:rPr>
              <w:t>+0.7313</w:t>
            </w:r>
          </w:p>
        </w:tc>
        <w:tc>
          <w:tcPr>
            <w:tcW w:type="dxa" w:w="1757"/>
            <w:vAlign w:val="center"/>
            <w:tcMar>
              <w:top w:w="65" w:type="dxa"/>
              <w:left w:w="65" w:type="dxa"/>
              <w:bottom w:w="65" w:type="dxa"/>
              <w:right w:w="65" w:type="dxa"/>
            </w:tcMar>
          </w:tcPr>
          <w:p>
            <w:pPr>
              <w:pStyle w:val="TableText"/>
              <w:keepNext w:val="0"/>
              <w:widowControl/>
              <w:jc w:val="left"/>
            </w:pPr>
            <w:r>
              <w:rPr>
                <w:b w:val="0"/>
                <w:sz w:val="17"/>
              </w:rPr>
              <w:t>+0.7095</w:t>
            </w:r>
          </w:p>
        </w:tc>
        <w:tc>
          <w:tcPr>
            <w:tcW w:type="dxa" w:w="1984"/>
            <w:vAlign w:val="center"/>
            <w:tcMar>
              <w:top w:w="65" w:type="dxa"/>
              <w:left w:w="65" w:type="dxa"/>
              <w:bottom w:w="65" w:type="dxa"/>
              <w:right w:w="65" w:type="dxa"/>
            </w:tcMar>
          </w:tcPr>
          <w:p>
            <w:pPr>
              <w:pStyle w:val="TableText"/>
              <w:keepNext w:val="0"/>
              <w:widowControl/>
              <w:jc w:val="left"/>
            </w:pPr>
            <w:r>
              <w:rPr>
                <w:b w:val="0"/>
                <w:sz w:val="17"/>
              </w:rPr>
              <w:t>0.575</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7"/>
              </w:rPr>
              <w:t>GPT</w:t>
            </w:r>
          </w:p>
        </w:tc>
        <w:tc>
          <w:tcPr>
            <w:tcW w:type="dxa" w:w="680"/>
            <w:vAlign w:val="center"/>
            <w:tcMar>
              <w:top w:w="65" w:type="dxa"/>
              <w:left w:w="65" w:type="dxa"/>
              <w:bottom w:w="65" w:type="dxa"/>
              <w:right w:w="65" w:type="dxa"/>
            </w:tcMar>
          </w:tcPr>
          <w:p>
            <w:pPr>
              <w:pStyle w:val="TableText"/>
              <w:keepNext w:val="0"/>
              <w:widowControl/>
              <w:jc w:val="left"/>
            </w:pPr>
            <w:r>
              <w:rPr>
                <w:b w:val="0"/>
                <w:sz w:val="17"/>
              </w:rPr>
              <w:t>BINF</w:t>
            </w:r>
          </w:p>
        </w:tc>
        <w:tc>
          <w:tcPr>
            <w:tcW w:type="dxa" w:w="964"/>
            <w:vAlign w:val="center"/>
            <w:tcMar>
              <w:top w:w="65" w:type="dxa"/>
              <w:left w:w="65" w:type="dxa"/>
              <w:bottom w:w="65" w:type="dxa"/>
              <w:right w:w="65" w:type="dxa"/>
            </w:tcMar>
          </w:tcPr>
          <w:p>
            <w:pPr>
              <w:pStyle w:val="TableText"/>
              <w:keepNext w:val="0"/>
              <w:widowControl/>
              <w:jc w:val="left"/>
            </w:pPr>
            <w:r>
              <w:rPr>
                <w:b w:val="0"/>
                <w:sz w:val="17"/>
              </w:rPr>
              <w:t>C6-E</w:t>
            </w:r>
          </w:p>
        </w:tc>
        <w:tc>
          <w:tcPr>
            <w:tcW w:type="dxa" w:w="1757"/>
            <w:vAlign w:val="center"/>
            <w:tcMar>
              <w:top w:w="65" w:type="dxa"/>
              <w:left w:w="65" w:type="dxa"/>
              <w:bottom w:w="65" w:type="dxa"/>
              <w:right w:w="65" w:type="dxa"/>
            </w:tcMar>
          </w:tcPr>
          <w:p>
            <w:pPr>
              <w:pStyle w:val="TableText"/>
              <w:keepNext w:val="0"/>
              <w:widowControl/>
              <w:jc w:val="left"/>
            </w:pPr>
            <w:r>
              <w:rPr>
                <w:b w:val="0"/>
                <w:sz w:val="17"/>
              </w:rPr>
              <w:t>+0.8785</w:t>
            </w:r>
          </w:p>
        </w:tc>
        <w:tc>
          <w:tcPr>
            <w:tcW w:type="dxa" w:w="1757"/>
            <w:vAlign w:val="center"/>
            <w:tcMar>
              <w:top w:w="65" w:type="dxa"/>
              <w:left w:w="65" w:type="dxa"/>
              <w:bottom w:w="65" w:type="dxa"/>
              <w:right w:w="65" w:type="dxa"/>
            </w:tcMar>
          </w:tcPr>
          <w:p>
            <w:pPr>
              <w:pStyle w:val="TableText"/>
              <w:keepNext w:val="0"/>
              <w:widowControl/>
              <w:jc w:val="left"/>
            </w:pPr>
            <w:r>
              <w:rPr>
                <w:b w:val="0"/>
                <w:sz w:val="17"/>
              </w:rPr>
              <w:t>+0.8206</w:t>
            </w:r>
          </w:p>
        </w:tc>
        <w:tc>
          <w:tcPr>
            <w:tcW w:type="dxa" w:w="1984"/>
            <w:vAlign w:val="center"/>
            <w:tcMar>
              <w:top w:w="65" w:type="dxa"/>
              <w:left w:w="65" w:type="dxa"/>
              <w:bottom w:w="65" w:type="dxa"/>
              <w:right w:w="65" w:type="dxa"/>
            </w:tcMar>
          </w:tcPr>
          <w:p>
            <w:pPr>
              <w:pStyle w:val="TableText"/>
              <w:keepNext w:val="0"/>
              <w:widowControl/>
              <w:jc w:val="left"/>
            </w:pPr>
            <w:r>
              <w:rPr>
                <w:b w:val="0"/>
                <w:sz w:val="17"/>
              </w:rPr>
              <w:t>0.698</w:t>
            </w:r>
          </w:p>
        </w:tc>
      </w:tr>
    </w:tbl>
    <w:p>
      <w:pPr>
        <w:pStyle w:val="SourceNote"/>
        <w:widowControl/>
      </w:pPr>
      <w:r>
        <w:t>자료: 같은 575개 기업을 Run1과 Run2에서 연결. 두 실행을 평균하여 primary로 사용하지 않는다. 마지막 열은 절대점수가 아니라 A0 대비 기업별 가치의 Spearman 순위상관이다.</w:t>
      </w:r>
    </w:p>
    <w:p>
      <w:pPr>
        <w:widowControl/>
      </w:pPr>
      <w:r>
        <w:t>반복성 표는 같은 기업과 같은 정책조건을 다시 수행했을 때 평균값과 기업별 가치가 어느 정도 비슷한지를 보여준다. 수용률이 낮은 조건에서는 두 실행 모두 A0가 많이 포함되어 비슷해 보일 수 있으므로, 평균 및 상관만으로 실행 신뢰성이 충분하다고 판단하지 않는다. 실제 행동벡터와 수정의 증분효과는 제6장에서 별도로 비교한다.</w:t>
      </w:r>
    </w:p>
    <w:p>
      <w:pPr>
        <w:widowControl/>
      </w:pPr>
      <w:r>
        <w:t>Baseline의 핵심 결과는 세 가지로 정리된다. 첫째, 전송완료와 행동 수용은 다른 지표이며 B1 자유작성의 낮은 수용률은 운영정책가치를 크게 제한하였다. 둘째, C5와 자기 재검토 및 학습참조의 효과는 모델과 행동예산에 따라 달라졌다. 셋째, 자유작성의 넓은 선택공간만으로 후보선택보다 높은 Strict ITT 가치를 보장할 수 없었다.</w:t>
      </w:r>
    </w:p>
    <w:p>
      <w:pPr>
        <w:widowControl/>
      </w:pPr>
      <w:r>
        <w:t>이 결과는 Baseline을 폐기할 이유가 아니라 다음 분석의 동기이다. 추가 추론설정으로 처음부터 더 자주 유효한 행동을 생성할 수 있는지, 같은 원응답에 다른 실행규칙을 적용하면 수정효과의 해석이 달라지는지, 그리고 집단 평균의 개선이 기업별 행동의 안정성까지 의미하는지를 검토할 필요가 있다.</w:t>
      </w:r>
    </w:p>
    <w:p>
      <w:bookmarkStart w:id="127" w:name="head_96"/>
      <w:pPr>
        <w:pStyle w:val="1"/>
        <w:widowControl/>
      </w:pPr>
      <w:r>
        <w:t>제6장 추론 설정과 실행규칙에 대한 추가 분석</w:t>
      </w:r>
      <w:bookmarkEnd w:id="127"/>
    </w:p>
    <w:p>
      <w:pPr>
        <w:widowControl/>
      </w:pPr>
      <w:r>
        <w:t>Baseline 결과는 LLM의 정책가치를 해석할 때 생성된 내용과 실제 사용할 수 있는 행동을 구분해야 함을 보여주었다. 본 장은 두 개의 추가 질문을 다룬다. 하나는 추론설정을 높인 생성 regime에서 처음부터 수용 가능한 행동과 높은 정책가치를 얻는가이고, 다른 하나는 동일한 원응답에 다른 실행규칙을 적용하면 관측 결과가 어떻게 달라지는가이다.</w:t>
      </w:r>
    </w:p>
    <w:p>
      <w:pPr>
        <w:widowControl/>
      </w:pPr>
      <w:r>
        <w:t>High와 Repaired는 본실험 이후의 추가 분석이다. 결과가 더 좋다는 이유로 Baseline을 대체하지 않으며, High×Strict, High×Repaired, Baseline×Strict, Baseline×Repaired의 네 조합을 구분한다. PP는 이 네 조합과 별도의 조건부 분석표본이다. 본문의 중심 해석에 High와 Repaired를 충분히 사용하되 최초 실행 전 계획의 지위를 소급 변경하지 않는다.</w:t>
      </w:r>
    </w:p>
    <w:p>
      <w:bookmarkStart w:id="128" w:name="head_97"/>
      <w:pPr>
        <w:pStyle w:val="2"/>
        <w:widowControl/>
      </w:pPr>
      <w:r>
        <w:t>6.1 추가 분석의 지위와 두 축</w:t>
      </w:r>
      <w:bookmarkEnd w:id="128"/>
    </w:p>
    <w:p>
      <w:bookmarkStart w:id="129" w:name="cap_32"/>
      <w:pPr>
        <w:pStyle w:val="af"/>
        <w:widowControl/>
      </w:pPr>
      <w:r>
        <w:t>표 6-1. 생성 regime와 실행규칙의 2×2 구조</w:t>
      </w:r>
      <w:bookmarkEnd w:id="129"/>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1361"/>
        <w:gridCol w:w="3288"/>
        <w:gridCol w:w="3288"/>
      </w:tblGrid>
      <w:tr>
        <w:trPr>
          <w:cantSplit/>
          <w:tblHeader/>
        </w:trPr>
        <w:tc>
          <w:tcPr>
            <w:tcW w:type="dxa" w:w="1361"/>
            <w:vAlign w:val="center"/>
            <w:shd w:fill="F1F1F1"/>
            <w:tcMar>
              <w:top w:w="65" w:type="dxa"/>
              <w:left w:w="65" w:type="dxa"/>
              <w:bottom w:w="65" w:type="dxa"/>
              <w:right w:w="65" w:type="dxa"/>
            </w:tcMar>
          </w:tcPr>
          <w:p>
            <w:pPr>
              <w:pStyle w:val="TableText"/>
              <w:keepNext/>
              <w:widowControl/>
              <w:jc w:val="center"/>
            </w:pPr>
            <w:r>
              <w:rPr>
                <w:b/>
                <w:sz w:val="18"/>
              </w:rPr>
              <w:t>생성</w:t>
            </w:r>
          </w:p>
        </w:tc>
        <w:tc>
          <w:tcPr>
            <w:tcW w:type="dxa" w:w="3288"/>
            <w:vAlign w:val="center"/>
            <w:shd w:fill="F1F1F1"/>
            <w:tcMar>
              <w:top w:w="65" w:type="dxa"/>
              <w:left w:w="65" w:type="dxa"/>
              <w:bottom w:w="65" w:type="dxa"/>
              <w:right w:w="65" w:type="dxa"/>
            </w:tcMar>
          </w:tcPr>
          <w:p>
            <w:pPr>
              <w:pStyle w:val="TableText"/>
              <w:keepNext/>
              <w:widowControl/>
              <w:jc w:val="center"/>
            </w:pPr>
            <w:r>
              <w:rPr>
                <w:b/>
                <w:sz w:val="18"/>
              </w:rPr>
              <w:t>Strict 실행</w:t>
            </w:r>
          </w:p>
        </w:tc>
        <w:tc>
          <w:tcPr>
            <w:tcW w:type="dxa" w:w="3288"/>
            <w:vAlign w:val="center"/>
            <w:shd w:fill="F1F1F1"/>
            <w:tcMar>
              <w:top w:w="65" w:type="dxa"/>
              <w:left w:w="65" w:type="dxa"/>
              <w:bottom w:w="65" w:type="dxa"/>
              <w:right w:w="65" w:type="dxa"/>
            </w:tcMar>
          </w:tcPr>
          <w:p>
            <w:pPr>
              <w:pStyle w:val="TableText"/>
              <w:keepNext/>
              <w:widowControl/>
              <w:jc w:val="center"/>
            </w:pPr>
            <w:r>
              <w:rPr>
                <w:b/>
                <w:sz w:val="18"/>
              </w:rPr>
              <w:t>Repaired 실행</w:t>
            </w:r>
          </w:p>
        </w:tc>
      </w:tr>
      <w:tr>
        <w:trPr>
          <w:cantSplit/>
        </w:trPr>
        <w:tc>
          <w:tcPr>
            <w:tcW w:type="dxa" w:w="1361"/>
            <w:vAlign w:val="center"/>
            <w:tcMar>
              <w:top w:w="65" w:type="dxa"/>
              <w:left w:w="65" w:type="dxa"/>
              <w:bottom w:w="65" w:type="dxa"/>
              <w:right w:w="65" w:type="dxa"/>
            </w:tcMar>
          </w:tcPr>
          <w:p>
            <w:pPr>
              <w:pStyle w:val="TableText"/>
              <w:keepNext/>
              <w:widowControl/>
              <w:jc w:val="left"/>
            </w:pPr>
            <w:r>
              <w:rPr>
                <w:b w:val="0"/>
                <w:sz w:val="18"/>
              </w:rPr>
              <w:t>Baseline</w:t>
            </w:r>
          </w:p>
        </w:tc>
        <w:tc>
          <w:tcPr>
            <w:tcW w:type="dxa" w:w="3288"/>
            <w:vAlign w:val="center"/>
            <w:tcMar>
              <w:top w:w="65" w:type="dxa"/>
              <w:left w:w="65" w:type="dxa"/>
              <w:bottom w:w="65" w:type="dxa"/>
              <w:right w:w="65" w:type="dxa"/>
            </w:tcMar>
          </w:tcPr>
          <w:p>
            <w:pPr>
              <w:pStyle w:val="TableText"/>
              <w:keepNext/>
              <w:widowControl/>
              <w:jc w:val="left"/>
            </w:pPr>
            <w:r>
              <w:rPr>
                <w:b w:val="0"/>
                <w:sz w:val="18"/>
              </w:rPr>
              <w:t>먼저 동결된 생성·운영조건의 평가</w:t>
            </w:r>
          </w:p>
        </w:tc>
        <w:tc>
          <w:tcPr>
            <w:tcW w:type="dxa" w:w="3288"/>
            <w:vAlign w:val="center"/>
            <w:tcMar>
              <w:top w:w="65" w:type="dxa"/>
              <w:left w:w="65" w:type="dxa"/>
              <w:bottom w:w="65" w:type="dxa"/>
              <w:right w:w="65" w:type="dxa"/>
            </w:tcMar>
          </w:tcPr>
          <w:p>
            <w:pPr>
              <w:pStyle w:val="TableText"/>
              <w:keepNext/>
              <w:widowControl/>
              <w:jc w:val="left"/>
            </w:pPr>
            <w:r>
              <w:rPr>
                <w:b w:val="0"/>
                <w:sz w:val="18"/>
              </w:rPr>
              <w:t>같은 Baseline 원응답의 별도 결정론적 처리</w:t>
            </w:r>
          </w:p>
        </w:tc>
      </w:tr>
      <w:tr>
        <w:trPr>
          <w:cantSplit/>
        </w:trPr>
        <w:tc>
          <w:tcPr>
            <w:tcW w:type="dxa" w:w="1361"/>
            <w:vAlign w:val="center"/>
            <w:tcMar>
              <w:top w:w="65" w:type="dxa"/>
              <w:left w:w="65" w:type="dxa"/>
              <w:bottom w:w="65" w:type="dxa"/>
              <w:right w:w="65" w:type="dxa"/>
            </w:tcMar>
          </w:tcPr>
          <w:p>
            <w:pPr>
              <w:pStyle w:val="TableText"/>
              <w:keepNext w:val="0"/>
              <w:widowControl/>
              <w:jc w:val="left"/>
            </w:pPr>
            <w:r>
              <w:rPr>
                <w:b w:val="0"/>
                <w:sz w:val="18"/>
              </w:rPr>
              <w:t>High</w:t>
            </w:r>
          </w:p>
        </w:tc>
        <w:tc>
          <w:tcPr>
            <w:tcW w:type="dxa" w:w="3288"/>
            <w:vAlign w:val="center"/>
            <w:tcMar>
              <w:top w:w="65" w:type="dxa"/>
              <w:left w:w="65" w:type="dxa"/>
              <w:bottom w:w="65" w:type="dxa"/>
              <w:right w:w="65" w:type="dxa"/>
            </w:tcMar>
          </w:tcPr>
          <w:p>
            <w:pPr>
              <w:pStyle w:val="TableText"/>
              <w:keepNext w:val="0"/>
              <w:widowControl/>
              <w:jc w:val="left"/>
            </w:pPr>
            <w:r>
              <w:rPr>
                <w:b w:val="0"/>
                <w:sz w:val="18"/>
              </w:rPr>
              <w:t>추론·출력상한이 변경된 추가 생성실험</w:t>
            </w:r>
          </w:p>
        </w:tc>
        <w:tc>
          <w:tcPr>
            <w:tcW w:type="dxa" w:w="3288"/>
            <w:vAlign w:val="center"/>
            <w:tcMar>
              <w:top w:w="65" w:type="dxa"/>
              <w:left w:w="65" w:type="dxa"/>
              <w:bottom w:w="65" w:type="dxa"/>
              <w:right w:w="65" w:type="dxa"/>
            </w:tcMar>
          </w:tcPr>
          <w:p>
            <w:pPr>
              <w:pStyle w:val="TableText"/>
              <w:keepNext w:val="0"/>
              <w:widowControl/>
              <w:jc w:val="left"/>
            </w:pPr>
            <w:r>
              <w:rPr>
                <w:b w:val="0"/>
                <w:sz w:val="18"/>
              </w:rPr>
              <w:t>High 원응답과 수리 실행규칙의 결합</w:t>
            </w:r>
          </w:p>
        </w:tc>
      </w:tr>
    </w:tbl>
    <w:p>
      <w:pPr>
        <w:pStyle w:val="SourceNote"/>
        <w:widowControl/>
      </w:pPr>
      <w:r>
        <w:t>새 생성은 Baseline과 High 두 campaign뿐이다. Repaired는 기존 응답의 오프라인 분석이며 추가 LLM 호출을 만들지 않는다.</w:t>
      </w:r>
    </w:p>
    <w:p>
      <w:pPr>
        <w:widowControl/>
      </w:pPr>
      <w:r>
        <w:t>High는 추론 effort 또는 thinking level을 high로 높이고 최대 출력 토큰을 4,096에서 32,768로 조정한 regime이다. 특히 후속 응답은 High에서 생성한 자기 C4를 사용하므로, C4R과 C6-E의 High−Baseline 차이는 최초 초안 변화도 포함한다. 이를 추론 토큰 하나만 늘린 순수한 인과효과로 부르지 않는다.</w:t>
      </w:r>
    </w:p>
    <w:p>
      <w:pPr>
        <w:widowControl/>
      </w:pPr>
      <w:r>
        <w:t>Repaired는 원문에서 읽을 수 있는 행동을 정해진 규칙으로 변환하여 평가하는 실행정책이다. 실제 원응답을 잃은 것이 아니며, unusable이라는 표시는 원문을 지웠다는 뜻도 아니다. 수리된 행동과 strict 행동을 별도로 보존함으로써 출력 유효성과 행동조합의 정책가치를 함께 분석할 수 있다.</w:t>
      </w:r>
    </w:p>
    <w:p>
      <w:bookmarkStart w:id="130" w:name="head_98"/>
      <w:pPr>
        <w:pStyle w:val="2"/>
        <w:widowControl/>
      </w:pPr>
      <w:r>
        <w:t>6.2 High에서의 계약준수와 행동강도</w:t>
      </w:r>
      <w:bookmarkEnd w:id="130"/>
    </w:p>
    <w:p>
      <w:bookmarkStart w:id="131" w:name="head_99"/>
      <w:pPr>
        <w:pStyle w:val="3"/>
        <w:widowControl/>
      </w:pPr>
      <w:r>
        <w:t>6.2.1 B1 자유작성 수용률</w:t>
      </w:r>
      <w:bookmarkEnd w:id="131"/>
    </w:p>
    <w:p>
      <w:bookmarkStart w:id="132" w:name="cap_33"/>
      <w:pPr>
        <w:pStyle w:val="af"/>
        <w:widowControl/>
      </w:pPr>
      <w:r>
        <w:t>표 6-2. Gemini 3.1 Flash-Lite B1의 추론 regime별 행동 수용</w:t>
      </w:r>
      <w:bookmarkEnd w:id="132"/>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1247"/>
        <w:gridCol w:w="1701"/>
        <w:gridCol w:w="1701"/>
        <w:gridCol w:w="1701"/>
        <w:gridCol w:w="1587"/>
      </w:tblGrid>
      <w:tr>
        <w:trPr>
          <w:cantSplit/>
          <w:tblHeader/>
        </w:trPr>
        <w:tc>
          <w:tcPr>
            <w:tcW w:type="dxa" w:w="1247"/>
            <w:vAlign w:val="center"/>
            <w:shd w:fill="F1F1F1"/>
            <w:tcMar>
              <w:top w:w="65" w:type="dxa"/>
              <w:left w:w="65" w:type="dxa"/>
              <w:bottom w:w="65" w:type="dxa"/>
              <w:right w:w="65" w:type="dxa"/>
            </w:tcMar>
          </w:tcPr>
          <w:p>
            <w:pPr>
              <w:pStyle w:val="TableText"/>
              <w:keepNext/>
              <w:widowControl/>
              <w:jc w:val="center"/>
            </w:pPr>
            <w:r>
              <w:rPr>
                <w:b/>
                <w:sz w:val="18"/>
              </w:rPr>
              <w:t>정책</w:t>
            </w:r>
          </w:p>
        </w:tc>
        <w:tc>
          <w:tcPr>
            <w:tcW w:type="dxa" w:w="1701"/>
            <w:vAlign w:val="center"/>
            <w:shd w:fill="F1F1F1"/>
            <w:tcMar>
              <w:top w:w="65" w:type="dxa"/>
              <w:left w:w="65" w:type="dxa"/>
              <w:bottom w:w="65" w:type="dxa"/>
              <w:right w:w="65" w:type="dxa"/>
            </w:tcMar>
          </w:tcPr>
          <w:p>
            <w:pPr>
              <w:pStyle w:val="TableText"/>
              <w:keepNext/>
              <w:widowControl/>
              <w:jc w:val="center"/>
            </w:pPr>
            <w:r>
              <w:rPr>
                <w:b/>
                <w:sz w:val="18"/>
              </w:rPr>
              <w:t>Baseline N</w:t>
            </w:r>
          </w:p>
        </w:tc>
        <w:tc>
          <w:tcPr>
            <w:tcW w:type="dxa" w:w="1701"/>
            <w:vAlign w:val="center"/>
            <w:shd w:fill="F1F1F1"/>
            <w:tcMar>
              <w:top w:w="65" w:type="dxa"/>
              <w:left w:w="65" w:type="dxa"/>
              <w:bottom w:w="65" w:type="dxa"/>
              <w:right w:w="65" w:type="dxa"/>
            </w:tcMar>
          </w:tcPr>
          <w:p>
            <w:pPr>
              <w:pStyle w:val="TableText"/>
              <w:keepNext/>
              <w:widowControl/>
              <w:jc w:val="center"/>
            </w:pPr>
            <w:r>
              <w:rPr>
                <w:b/>
                <w:sz w:val="18"/>
              </w:rPr>
              <w:t>Baseline 비율</w:t>
            </w:r>
          </w:p>
        </w:tc>
        <w:tc>
          <w:tcPr>
            <w:tcW w:type="dxa" w:w="1701"/>
            <w:vAlign w:val="center"/>
            <w:shd w:fill="F1F1F1"/>
            <w:tcMar>
              <w:top w:w="65" w:type="dxa"/>
              <w:left w:w="65" w:type="dxa"/>
              <w:bottom w:w="65" w:type="dxa"/>
              <w:right w:w="65" w:type="dxa"/>
            </w:tcMar>
          </w:tcPr>
          <w:p>
            <w:pPr>
              <w:pStyle w:val="TableText"/>
              <w:keepNext/>
              <w:widowControl/>
              <w:jc w:val="center"/>
            </w:pPr>
            <w:r>
              <w:rPr>
                <w:b/>
                <w:sz w:val="18"/>
              </w:rPr>
              <w:t>High N</w:t>
            </w:r>
          </w:p>
        </w:tc>
        <w:tc>
          <w:tcPr>
            <w:tcW w:type="dxa" w:w="1587"/>
            <w:vAlign w:val="center"/>
            <w:shd w:fill="F1F1F1"/>
            <w:tcMar>
              <w:top w:w="65" w:type="dxa"/>
              <w:left w:w="65" w:type="dxa"/>
              <w:bottom w:w="65" w:type="dxa"/>
              <w:right w:w="65" w:type="dxa"/>
            </w:tcMar>
          </w:tcPr>
          <w:p>
            <w:pPr>
              <w:pStyle w:val="TableText"/>
              <w:keepNext/>
              <w:widowControl/>
              <w:jc w:val="center"/>
            </w:pPr>
            <w:r>
              <w:rPr>
                <w:b/>
                <w:sz w:val="18"/>
              </w:rPr>
              <w:t>High 비율</w:t>
            </w:r>
          </w:p>
        </w:tc>
      </w:tr>
      <w:tr>
        <w:trPr>
          <w:cantSplit/>
        </w:trPr>
        <w:tc>
          <w:tcPr>
            <w:tcW w:type="dxa" w:w="1247"/>
            <w:vAlign w:val="center"/>
            <w:tcMar>
              <w:top w:w="65" w:type="dxa"/>
              <w:left w:w="65" w:type="dxa"/>
              <w:bottom w:w="65" w:type="dxa"/>
              <w:right w:w="65" w:type="dxa"/>
            </w:tcMar>
          </w:tcPr>
          <w:p>
            <w:pPr>
              <w:pStyle w:val="TableText"/>
              <w:keepNext/>
              <w:widowControl/>
              <w:jc w:val="left"/>
            </w:pPr>
            <w:r>
              <w:rPr>
                <w:b w:val="0"/>
                <w:sz w:val="18"/>
              </w:rPr>
              <w:t>C4</w:t>
            </w:r>
          </w:p>
        </w:tc>
        <w:tc>
          <w:tcPr>
            <w:tcW w:type="dxa" w:w="1701"/>
            <w:vAlign w:val="center"/>
            <w:tcMar>
              <w:top w:w="65" w:type="dxa"/>
              <w:left w:w="65" w:type="dxa"/>
              <w:bottom w:w="65" w:type="dxa"/>
              <w:right w:w="65" w:type="dxa"/>
            </w:tcMar>
          </w:tcPr>
          <w:p>
            <w:pPr>
              <w:pStyle w:val="TableText"/>
              <w:keepNext/>
              <w:widowControl/>
              <w:jc w:val="left"/>
            </w:pPr>
            <w:r>
              <w:rPr>
                <w:b w:val="0"/>
                <w:sz w:val="18"/>
              </w:rPr>
              <w:t>88/575</w:t>
            </w:r>
          </w:p>
        </w:tc>
        <w:tc>
          <w:tcPr>
            <w:tcW w:type="dxa" w:w="1701"/>
            <w:vAlign w:val="center"/>
            <w:tcMar>
              <w:top w:w="65" w:type="dxa"/>
              <w:left w:w="65" w:type="dxa"/>
              <w:bottom w:w="65" w:type="dxa"/>
              <w:right w:w="65" w:type="dxa"/>
            </w:tcMar>
          </w:tcPr>
          <w:p>
            <w:pPr>
              <w:pStyle w:val="TableText"/>
              <w:keepNext/>
              <w:widowControl/>
              <w:jc w:val="left"/>
            </w:pPr>
            <w:r>
              <w:rPr>
                <w:b w:val="0"/>
                <w:sz w:val="18"/>
              </w:rPr>
              <w:t>15.3%</w:t>
            </w:r>
          </w:p>
        </w:tc>
        <w:tc>
          <w:tcPr>
            <w:tcW w:type="dxa" w:w="1701"/>
            <w:vAlign w:val="center"/>
            <w:tcMar>
              <w:top w:w="65" w:type="dxa"/>
              <w:left w:w="65" w:type="dxa"/>
              <w:bottom w:w="65" w:type="dxa"/>
              <w:right w:w="65" w:type="dxa"/>
            </w:tcMar>
          </w:tcPr>
          <w:p>
            <w:pPr>
              <w:pStyle w:val="TableText"/>
              <w:keepNext/>
              <w:widowControl/>
              <w:jc w:val="left"/>
            </w:pPr>
            <w:r>
              <w:rPr>
                <w:b w:val="0"/>
                <w:sz w:val="18"/>
              </w:rPr>
              <w:t>570/575</w:t>
            </w:r>
          </w:p>
        </w:tc>
        <w:tc>
          <w:tcPr>
            <w:tcW w:type="dxa" w:w="1587"/>
            <w:vAlign w:val="center"/>
            <w:tcMar>
              <w:top w:w="65" w:type="dxa"/>
              <w:left w:w="65" w:type="dxa"/>
              <w:bottom w:w="65" w:type="dxa"/>
              <w:right w:w="65" w:type="dxa"/>
            </w:tcMar>
          </w:tcPr>
          <w:p>
            <w:pPr>
              <w:pStyle w:val="TableText"/>
              <w:keepNext/>
              <w:widowControl/>
              <w:jc w:val="left"/>
            </w:pPr>
            <w:r>
              <w:rPr>
                <w:b w:val="0"/>
                <w:sz w:val="18"/>
              </w:rPr>
              <w:t>99.1%</w:t>
            </w:r>
          </w:p>
        </w:tc>
      </w:tr>
      <w:tr>
        <w:trPr>
          <w:cantSplit/>
        </w:trPr>
        <w:tc>
          <w:tcPr>
            <w:tcW w:type="dxa" w:w="1247"/>
            <w:vAlign w:val="center"/>
            <w:tcMar>
              <w:top w:w="65" w:type="dxa"/>
              <w:left w:w="65" w:type="dxa"/>
              <w:bottom w:w="65" w:type="dxa"/>
              <w:right w:w="65" w:type="dxa"/>
            </w:tcMar>
          </w:tcPr>
          <w:p>
            <w:pPr>
              <w:pStyle w:val="TableText"/>
              <w:keepNext w:val="0"/>
              <w:widowControl/>
              <w:jc w:val="left"/>
            </w:pPr>
            <w:r>
              <w:rPr>
                <w:b w:val="0"/>
                <w:sz w:val="18"/>
              </w:rPr>
              <w:t>C4R</w:t>
            </w:r>
          </w:p>
        </w:tc>
        <w:tc>
          <w:tcPr>
            <w:tcW w:type="dxa" w:w="1701"/>
            <w:vAlign w:val="center"/>
            <w:tcMar>
              <w:top w:w="65" w:type="dxa"/>
              <w:left w:w="65" w:type="dxa"/>
              <w:bottom w:w="65" w:type="dxa"/>
              <w:right w:w="65" w:type="dxa"/>
            </w:tcMar>
          </w:tcPr>
          <w:p>
            <w:pPr>
              <w:pStyle w:val="TableText"/>
              <w:keepNext w:val="0"/>
              <w:widowControl/>
              <w:jc w:val="left"/>
            </w:pPr>
            <w:r>
              <w:rPr>
                <w:b w:val="0"/>
                <w:sz w:val="18"/>
              </w:rPr>
              <w:t>76/575</w:t>
            </w:r>
          </w:p>
        </w:tc>
        <w:tc>
          <w:tcPr>
            <w:tcW w:type="dxa" w:w="1701"/>
            <w:vAlign w:val="center"/>
            <w:tcMar>
              <w:top w:w="65" w:type="dxa"/>
              <w:left w:w="65" w:type="dxa"/>
              <w:bottom w:w="65" w:type="dxa"/>
              <w:right w:w="65" w:type="dxa"/>
            </w:tcMar>
          </w:tcPr>
          <w:p>
            <w:pPr>
              <w:pStyle w:val="TableText"/>
              <w:keepNext w:val="0"/>
              <w:widowControl/>
              <w:jc w:val="left"/>
            </w:pPr>
            <w:r>
              <w:rPr>
                <w:b w:val="0"/>
                <w:sz w:val="18"/>
              </w:rPr>
              <w:t>13.2%</w:t>
            </w:r>
          </w:p>
        </w:tc>
        <w:tc>
          <w:tcPr>
            <w:tcW w:type="dxa" w:w="1701"/>
            <w:vAlign w:val="center"/>
            <w:tcMar>
              <w:top w:w="65" w:type="dxa"/>
              <w:left w:w="65" w:type="dxa"/>
              <w:bottom w:w="65" w:type="dxa"/>
              <w:right w:w="65" w:type="dxa"/>
            </w:tcMar>
          </w:tcPr>
          <w:p>
            <w:pPr>
              <w:pStyle w:val="TableText"/>
              <w:keepNext w:val="0"/>
              <w:widowControl/>
              <w:jc w:val="left"/>
            </w:pPr>
            <w:r>
              <w:rPr>
                <w:b w:val="0"/>
                <w:sz w:val="18"/>
              </w:rPr>
              <w:t>567/575</w:t>
            </w:r>
          </w:p>
        </w:tc>
        <w:tc>
          <w:tcPr>
            <w:tcW w:type="dxa" w:w="1587"/>
            <w:vAlign w:val="center"/>
            <w:tcMar>
              <w:top w:w="65" w:type="dxa"/>
              <w:left w:w="65" w:type="dxa"/>
              <w:bottom w:w="65" w:type="dxa"/>
              <w:right w:w="65" w:type="dxa"/>
            </w:tcMar>
          </w:tcPr>
          <w:p>
            <w:pPr>
              <w:pStyle w:val="TableText"/>
              <w:keepNext w:val="0"/>
              <w:widowControl/>
              <w:jc w:val="left"/>
            </w:pPr>
            <w:r>
              <w:rPr>
                <w:b w:val="0"/>
                <w:sz w:val="18"/>
              </w:rPr>
              <w:t>98.6%</w:t>
            </w:r>
          </w:p>
        </w:tc>
      </w:tr>
      <w:tr>
        <w:trPr>
          <w:cantSplit/>
        </w:trPr>
        <w:tc>
          <w:tcPr>
            <w:tcW w:type="dxa" w:w="1247"/>
            <w:vAlign w:val="center"/>
            <w:tcMar>
              <w:top w:w="65" w:type="dxa"/>
              <w:left w:w="65" w:type="dxa"/>
              <w:bottom w:w="65" w:type="dxa"/>
              <w:right w:w="65" w:type="dxa"/>
            </w:tcMar>
          </w:tcPr>
          <w:p>
            <w:pPr>
              <w:pStyle w:val="TableText"/>
              <w:keepNext w:val="0"/>
              <w:widowControl/>
              <w:jc w:val="left"/>
            </w:pPr>
            <w:r>
              <w:rPr>
                <w:b w:val="0"/>
                <w:sz w:val="18"/>
              </w:rPr>
              <w:t>C5</w:t>
            </w:r>
          </w:p>
        </w:tc>
        <w:tc>
          <w:tcPr>
            <w:tcW w:type="dxa" w:w="1701"/>
            <w:vAlign w:val="center"/>
            <w:tcMar>
              <w:top w:w="65" w:type="dxa"/>
              <w:left w:w="65" w:type="dxa"/>
              <w:bottom w:w="65" w:type="dxa"/>
              <w:right w:w="65" w:type="dxa"/>
            </w:tcMar>
          </w:tcPr>
          <w:p>
            <w:pPr>
              <w:pStyle w:val="TableText"/>
              <w:keepNext w:val="0"/>
              <w:widowControl/>
              <w:jc w:val="left"/>
            </w:pPr>
            <w:r>
              <w:rPr>
                <w:b w:val="0"/>
                <w:sz w:val="18"/>
              </w:rPr>
              <w:t>151/575</w:t>
            </w:r>
          </w:p>
        </w:tc>
        <w:tc>
          <w:tcPr>
            <w:tcW w:type="dxa" w:w="1701"/>
            <w:vAlign w:val="center"/>
            <w:tcMar>
              <w:top w:w="65" w:type="dxa"/>
              <w:left w:w="65" w:type="dxa"/>
              <w:bottom w:w="65" w:type="dxa"/>
              <w:right w:w="65" w:type="dxa"/>
            </w:tcMar>
          </w:tcPr>
          <w:p>
            <w:pPr>
              <w:pStyle w:val="TableText"/>
              <w:keepNext w:val="0"/>
              <w:widowControl/>
              <w:jc w:val="left"/>
            </w:pPr>
            <w:r>
              <w:rPr>
                <w:b w:val="0"/>
                <w:sz w:val="18"/>
              </w:rPr>
              <w:t>26.3%</w:t>
            </w:r>
          </w:p>
        </w:tc>
        <w:tc>
          <w:tcPr>
            <w:tcW w:type="dxa" w:w="1701"/>
            <w:vAlign w:val="center"/>
            <w:tcMar>
              <w:top w:w="65" w:type="dxa"/>
              <w:left w:w="65" w:type="dxa"/>
              <w:bottom w:w="65" w:type="dxa"/>
              <w:right w:w="65" w:type="dxa"/>
            </w:tcMar>
          </w:tcPr>
          <w:p>
            <w:pPr>
              <w:pStyle w:val="TableText"/>
              <w:keepNext w:val="0"/>
              <w:widowControl/>
              <w:jc w:val="left"/>
            </w:pPr>
            <w:r>
              <w:rPr>
                <w:b w:val="0"/>
                <w:sz w:val="18"/>
              </w:rPr>
              <w:t>567/575</w:t>
            </w:r>
          </w:p>
        </w:tc>
        <w:tc>
          <w:tcPr>
            <w:tcW w:type="dxa" w:w="1587"/>
            <w:vAlign w:val="center"/>
            <w:tcMar>
              <w:top w:w="65" w:type="dxa"/>
              <w:left w:w="65" w:type="dxa"/>
              <w:bottom w:w="65" w:type="dxa"/>
              <w:right w:w="65" w:type="dxa"/>
            </w:tcMar>
          </w:tcPr>
          <w:p>
            <w:pPr>
              <w:pStyle w:val="TableText"/>
              <w:keepNext w:val="0"/>
              <w:widowControl/>
              <w:jc w:val="left"/>
            </w:pPr>
            <w:r>
              <w:rPr>
                <w:b w:val="0"/>
                <w:sz w:val="18"/>
              </w:rPr>
              <w:t>98.6%</w:t>
            </w:r>
          </w:p>
        </w:tc>
      </w:tr>
      <w:tr>
        <w:trPr>
          <w:cantSplit/>
        </w:trPr>
        <w:tc>
          <w:tcPr>
            <w:tcW w:type="dxa" w:w="1247"/>
            <w:vAlign w:val="center"/>
            <w:tcMar>
              <w:top w:w="65" w:type="dxa"/>
              <w:left w:w="65" w:type="dxa"/>
              <w:bottom w:w="65" w:type="dxa"/>
              <w:right w:w="65" w:type="dxa"/>
            </w:tcMar>
          </w:tcPr>
          <w:p>
            <w:pPr>
              <w:pStyle w:val="TableText"/>
              <w:keepNext w:val="0"/>
              <w:widowControl/>
              <w:jc w:val="left"/>
            </w:pPr>
            <w:r>
              <w:rPr>
                <w:b w:val="0"/>
                <w:sz w:val="18"/>
              </w:rPr>
              <w:t>C6-E</w:t>
            </w:r>
          </w:p>
        </w:tc>
        <w:tc>
          <w:tcPr>
            <w:tcW w:type="dxa" w:w="1701"/>
            <w:vAlign w:val="center"/>
            <w:tcMar>
              <w:top w:w="65" w:type="dxa"/>
              <w:left w:w="65" w:type="dxa"/>
              <w:bottom w:w="65" w:type="dxa"/>
              <w:right w:w="65" w:type="dxa"/>
            </w:tcMar>
          </w:tcPr>
          <w:p>
            <w:pPr>
              <w:pStyle w:val="TableText"/>
              <w:keepNext w:val="0"/>
              <w:widowControl/>
              <w:jc w:val="left"/>
            </w:pPr>
            <w:r>
              <w:rPr>
                <w:b w:val="0"/>
                <w:sz w:val="18"/>
              </w:rPr>
              <w:t>83/575</w:t>
            </w:r>
          </w:p>
        </w:tc>
        <w:tc>
          <w:tcPr>
            <w:tcW w:type="dxa" w:w="1701"/>
            <w:vAlign w:val="center"/>
            <w:tcMar>
              <w:top w:w="65" w:type="dxa"/>
              <w:left w:w="65" w:type="dxa"/>
              <w:bottom w:w="65" w:type="dxa"/>
              <w:right w:w="65" w:type="dxa"/>
            </w:tcMar>
          </w:tcPr>
          <w:p>
            <w:pPr>
              <w:pStyle w:val="TableText"/>
              <w:keepNext w:val="0"/>
              <w:widowControl/>
              <w:jc w:val="left"/>
            </w:pPr>
            <w:r>
              <w:rPr>
                <w:b w:val="0"/>
                <w:sz w:val="18"/>
              </w:rPr>
              <w:t>14.4%</w:t>
            </w:r>
          </w:p>
        </w:tc>
        <w:tc>
          <w:tcPr>
            <w:tcW w:type="dxa" w:w="1701"/>
            <w:vAlign w:val="center"/>
            <w:tcMar>
              <w:top w:w="65" w:type="dxa"/>
              <w:left w:w="65" w:type="dxa"/>
              <w:bottom w:w="65" w:type="dxa"/>
              <w:right w:w="65" w:type="dxa"/>
            </w:tcMar>
          </w:tcPr>
          <w:p>
            <w:pPr>
              <w:pStyle w:val="TableText"/>
              <w:keepNext w:val="0"/>
              <w:widowControl/>
              <w:jc w:val="left"/>
            </w:pPr>
            <w:r>
              <w:rPr>
                <w:b w:val="0"/>
                <w:sz w:val="18"/>
              </w:rPr>
              <w:t>566/575</w:t>
            </w:r>
          </w:p>
        </w:tc>
        <w:tc>
          <w:tcPr>
            <w:tcW w:type="dxa" w:w="1587"/>
            <w:vAlign w:val="center"/>
            <w:tcMar>
              <w:top w:w="65" w:type="dxa"/>
              <w:left w:w="65" w:type="dxa"/>
              <w:bottom w:w="65" w:type="dxa"/>
              <w:right w:w="65" w:type="dxa"/>
            </w:tcMar>
          </w:tcPr>
          <w:p>
            <w:pPr>
              <w:pStyle w:val="TableText"/>
              <w:keepNext w:val="0"/>
              <w:widowControl/>
              <w:jc w:val="left"/>
            </w:pPr>
            <w:r>
              <w:rPr>
                <w:b w:val="0"/>
                <w:sz w:val="18"/>
              </w:rPr>
              <w:t>98.4%</w:t>
            </w:r>
          </w:p>
        </w:tc>
      </w:tr>
      <w:tr>
        <w:trPr>
          <w:cantSplit/>
        </w:trPr>
        <w:tc>
          <w:tcPr>
            <w:tcW w:type="dxa" w:w="1247"/>
            <w:vAlign w:val="center"/>
            <w:tcMar>
              <w:top w:w="65" w:type="dxa"/>
              <w:left w:w="65" w:type="dxa"/>
              <w:bottom w:w="65" w:type="dxa"/>
              <w:right w:w="65" w:type="dxa"/>
            </w:tcMar>
          </w:tcPr>
          <w:p>
            <w:pPr>
              <w:pStyle w:val="TableText"/>
              <w:keepNext w:val="0"/>
              <w:widowControl/>
              <w:jc w:val="left"/>
            </w:pPr>
            <w:r>
              <w:rPr>
                <w:b w:val="0"/>
                <w:sz w:val="18"/>
              </w:rPr>
              <w:t>C6-EX</w:t>
            </w:r>
          </w:p>
        </w:tc>
        <w:tc>
          <w:tcPr>
            <w:tcW w:type="dxa" w:w="1701"/>
            <w:vAlign w:val="center"/>
            <w:tcMar>
              <w:top w:w="65" w:type="dxa"/>
              <w:left w:w="65" w:type="dxa"/>
              <w:bottom w:w="65" w:type="dxa"/>
              <w:right w:w="65" w:type="dxa"/>
            </w:tcMar>
          </w:tcPr>
          <w:p>
            <w:pPr>
              <w:pStyle w:val="TableText"/>
              <w:keepNext w:val="0"/>
              <w:widowControl/>
              <w:jc w:val="left"/>
            </w:pPr>
            <w:r>
              <w:rPr>
                <w:b w:val="0"/>
                <w:sz w:val="18"/>
              </w:rPr>
              <w:t>72/575</w:t>
            </w:r>
          </w:p>
        </w:tc>
        <w:tc>
          <w:tcPr>
            <w:tcW w:type="dxa" w:w="1701"/>
            <w:vAlign w:val="center"/>
            <w:tcMar>
              <w:top w:w="65" w:type="dxa"/>
              <w:left w:w="65" w:type="dxa"/>
              <w:bottom w:w="65" w:type="dxa"/>
              <w:right w:w="65" w:type="dxa"/>
            </w:tcMar>
          </w:tcPr>
          <w:p>
            <w:pPr>
              <w:pStyle w:val="TableText"/>
              <w:keepNext w:val="0"/>
              <w:widowControl/>
              <w:jc w:val="left"/>
            </w:pPr>
            <w:r>
              <w:rPr>
                <w:b w:val="0"/>
                <w:sz w:val="18"/>
              </w:rPr>
              <w:t>12.5%</w:t>
            </w:r>
          </w:p>
        </w:tc>
        <w:tc>
          <w:tcPr>
            <w:tcW w:type="dxa" w:w="1701"/>
            <w:vAlign w:val="center"/>
            <w:tcMar>
              <w:top w:w="65" w:type="dxa"/>
              <w:left w:w="65" w:type="dxa"/>
              <w:bottom w:w="65" w:type="dxa"/>
              <w:right w:w="65" w:type="dxa"/>
            </w:tcMar>
          </w:tcPr>
          <w:p>
            <w:pPr>
              <w:pStyle w:val="TableText"/>
              <w:keepNext w:val="0"/>
              <w:widowControl/>
              <w:jc w:val="left"/>
            </w:pPr>
            <w:r>
              <w:rPr>
                <w:b w:val="0"/>
                <w:sz w:val="18"/>
              </w:rPr>
              <w:t>568/575</w:t>
            </w:r>
          </w:p>
        </w:tc>
        <w:tc>
          <w:tcPr>
            <w:tcW w:type="dxa" w:w="1587"/>
            <w:vAlign w:val="center"/>
            <w:tcMar>
              <w:top w:w="65" w:type="dxa"/>
              <w:left w:w="65" w:type="dxa"/>
              <w:bottom w:w="65" w:type="dxa"/>
              <w:right w:w="65" w:type="dxa"/>
            </w:tcMar>
          </w:tcPr>
          <w:p>
            <w:pPr>
              <w:pStyle w:val="TableText"/>
              <w:keepNext w:val="0"/>
              <w:widowControl/>
              <w:jc w:val="left"/>
            </w:pPr>
            <w:r>
              <w:rPr>
                <w:b w:val="0"/>
                <w:sz w:val="18"/>
              </w:rPr>
              <w:t>98.8%</w:t>
            </w:r>
          </w:p>
        </w:tc>
      </w:tr>
    </w:tbl>
    <w:p>
      <w:pPr>
        <w:pStyle w:val="SourceNote"/>
        <w:widowControl/>
      </w:pPr>
      <w:r>
        <w:t>자료: Main Run1/free8/IC-b/B1, canonical strict action-usability. 전체 응답 schema의 완전성과 구분한다.</w:t>
      </w:r>
    </w:p>
    <w:p>
      <w:bookmarkStart w:id="133" w:name="cap_34"/>
      <w:pPr>
        <w:pStyle w:val="af"/>
        <w:widowControl/>
      </w:pPr>
      <w:r>
        <w:t>그림 6-1. Gemini 3.1 Flash-Lite B1의 행동 수용률 변화</w:t>
      </w:r>
      <w:bookmarkEnd w:id="133"/>
    </w:p>
    <w:p>
      <w:pPr>
        <w:keepNext/>
        <w:widowControl/>
        <w:ind w:firstLine="0"/>
        <w:jc w:val="center"/>
      </w:pPr>
      <w:r>
        <w:drawing>
          <wp:inline xmlns:a="http://schemas.openxmlformats.org/drawingml/2006/main" xmlns:pic="http://schemas.openxmlformats.org/drawingml/2006/picture">
            <wp:extent cx="5040000" cy="2800000"/>
            <wp:docPr id="3" name="Picture 3"/>
            <wp:cNvGraphicFramePr>
              <a:graphicFrameLocks noChangeAspect="1"/>
            </wp:cNvGraphicFramePr>
            <a:graphic>
              <a:graphicData uri="http://schemas.openxmlformats.org/drawingml/2006/picture">
                <pic:pic>
                  <pic:nvPicPr>
                    <pic:cNvPr id="0" name="usability_google_gemini31flashlite.png"/>
                    <pic:cNvPicPr/>
                  </pic:nvPicPr>
                  <pic:blipFill>
                    <a:blip r:embed="rId35"/>
                    <a:stretch>
                      <a:fillRect/>
                    </a:stretch>
                  </pic:blipFill>
                  <pic:spPr>
                    <a:xfrm>
                      <a:off x="0" y="0"/>
                      <a:ext cx="5040000" cy="2800000"/>
                    </a:xfrm>
                    <a:prstGeom prst="rect"/>
                  </pic:spPr>
                </pic:pic>
              </a:graphicData>
            </a:graphic>
          </wp:inline>
        </w:drawing>
      </w:r>
    </w:p>
    <w:p>
      <w:pPr>
        <w:pStyle w:val="SourceNote"/>
        <w:widowControl/>
      </w:pPr>
      <w:r>
        <w:t>자료: 위 표. 두 regime가 같은 575개 기업을 대상으로 하며, High에는 출력상한의 기술적 변경도 포함된다.</w:t>
      </w:r>
    </w:p>
    <w:p>
      <w:bookmarkStart w:id="134" w:name="cap_35"/>
      <w:pPr>
        <w:pStyle w:val="af"/>
        <w:widowControl/>
      </w:pPr>
      <w:r>
        <w:t>표 6-3. GPT-5.4-mini B1의 추론 regime별 행동 수용</w:t>
      </w:r>
      <w:bookmarkEnd w:id="134"/>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1247"/>
        <w:gridCol w:w="1701"/>
        <w:gridCol w:w="1701"/>
        <w:gridCol w:w="1701"/>
        <w:gridCol w:w="1587"/>
      </w:tblGrid>
      <w:tr>
        <w:trPr>
          <w:cantSplit/>
          <w:tblHeader/>
        </w:trPr>
        <w:tc>
          <w:tcPr>
            <w:tcW w:type="dxa" w:w="1247"/>
            <w:vAlign w:val="center"/>
            <w:shd w:fill="F1F1F1"/>
            <w:tcMar>
              <w:top w:w="65" w:type="dxa"/>
              <w:left w:w="65" w:type="dxa"/>
              <w:bottom w:w="65" w:type="dxa"/>
              <w:right w:w="65" w:type="dxa"/>
            </w:tcMar>
          </w:tcPr>
          <w:p>
            <w:pPr>
              <w:pStyle w:val="TableText"/>
              <w:keepNext/>
              <w:widowControl/>
              <w:jc w:val="center"/>
            </w:pPr>
            <w:r>
              <w:rPr>
                <w:b/>
                <w:sz w:val="18"/>
              </w:rPr>
              <w:t>정책</w:t>
            </w:r>
          </w:p>
        </w:tc>
        <w:tc>
          <w:tcPr>
            <w:tcW w:type="dxa" w:w="1701"/>
            <w:vAlign w:val="center"/>
            <w:shd w:fill="F1F1F1"/>
            <w:tcMar>
              <w:top w:w="65" w:type="dxa"/>
              <w:left w:w="65" w:type="dxa"/>
              <w:bottom w:w="65" w:type="dxa"/>
              <w:right w:w="65" w:type="dxa"/>
            </w:tcMar>
          </w:tcPr>
          <w:p>
            <w:pPr>
              <w:pStyle w:val="TableText"/>
              <w:keepNext/>
              <w:widowControl/>
              <w:jc w:val="center"/>
            </w:pPr>
            <w:r>
              <w:rPr>
                <w:b/>
                <w:sz w:val="18"/>
              </w:rPr>
              <w:t>Baseline N</w:t>
            </w:r>
          </w:p>
        </w:tc>
        <w:tc>
          <w:tcPr>
            <w:tcW w:type="dxa" w:w="1701"/>
            <w:vAlign w:val="center"/>
            <w:shd w:fill="F1F1F1"/>
            <w:tcMar>
              <w:top w:w="65" w:type="dxa"/>
              <w:left w:w="65" w:type="dxa"/>
              <w:bottom w:w="65" w:type="dxa"/>
              <w:right w:w="65" w:type="dxa"/>
            </w:tcMar>
          </w:tcPr>
          <w:p>
            <w:pPr>
              <w:pStyle w:val="TableText"/>
              <w:keepNext/>
              <w:widowControl/>
              <w:jc w:val="center"/>
            </w:pPr>
            <w:r>
              <w:rPr>
                <w:b/>
                <w:sz w:val="18"/>
              </w:rPr>
              <w:t>Baseline 비율</w:t>
            </w:r>
          </w:p>
        </w:tc>
        <w:tc>
          <w:tcPr>
            <w:tcW w:type="dxa" w:w="1701"/>
            <w:vAlign w:val="center"/>
            <w:shd w:fill="F1F1F1"/>
            <w:tcMar>
              <w:top w:w="65" w:type="dxa"/>
              <w:left w:w="65" w:type="dxa"/>
              <w:bottom w:w="65" w:type="dxa"/>
              <w:right w:w="65" w:type="dxa"/>
            </w:tcMar>
          </w:tcPr>
          <w:p>
            <w:pPr>
              <w:pStyle w:val="TableText"/>
              <w:keepNext/>
              <w:widowControl/>
              <w:jc w:val="center"/>
            </w:pPr>
            <w:r>
              <w:rPr>
                <w:b/>
                <w:sz w:val="18"/>
              </w:rPr>
              <w:t>High N</w:t>
            </w:r>
          </w:p>
        </w:tc>
        <w:tc>
          <w:tcPr>
            <w:tcW w:type="dxa" w:w="1587"/>
            <w:vAlign w:val="center"/>
            <w:shd w:fill="F1F1F1"/>
            <w:tcMar>
              <w:top w:w="65" w:type="dxa"/>
              <w:left w:w="65" w:type="dxa"/>
              <w:bottom w:w="65" w:type="dxa"/>
              <w:right w:w="65" w:type="dxa"/>
            </w:tcMar>
          </w:tcPr>
          <w:p>
            <w:pPr>
              <w:pStyle w:val="TableText"/>
              <w:keepNext/>
              <w:widowControl/>
              <w:jc w:val="center"/>
            </w:pPr>
            <w:r>
              <w:rPr>
                <w:b/>
                <w:sz w:val="18"/>
              </w:rPr>
              <w:t>High 비율</w:t>
            </w:r>
          </w:p>
        </w:tc>
      </w:tr>
      <w:tr>
        <w:trPr>
          <w:cantSplit/>
        </w:trPr>
        <w:tc>
          <w:tcPr>
            <w:tcW w:type="dxa" w:w="1247"/>
            <w:vAlign w:val="center"/>
            <w:tcMar>
              <w:top w:w="65" w:type="dxa"/>
              <w:left w:w="65" w:type="dxa"/>
              <w:bottom w:w="65" w:type="dxa"/>
              <w:right w:w="65" w:type="dxa"/>
            </w:tcMar>
          </w:tcPr>
          <w:p>
            <w:pPr>
              <w:pStyle w:val="TableText"/>
              <w:keepNext/>
              <w:widowControl/>
              <w:jc w:val="left"/>
            </w:pPr>
            <w:r>
              <w:rPr>
                <w:b w:val="0"/>
                <w:sz w:val="18"/>
              </w:rPr>
              <w:t>C4</w:t>
            </w:r>
          </w:p>
        </w:tc>
        <w:tc>
          <w:tcPr>
            <w:tcW w:type="dxa" w:w="1701"/>
            <w:vAlign w:val="center"/>
            <w:tcMar>
              <w:top w:w="65" w:type="dxa"/>
              <w:left w:w="65" w:type="dxa"/>
              <w:bottom w:w="65" w:type="dxa"/>
              <w:right w:w="65" w:type="dxa"/>
            </w:tcMar>
          </w:tcPr>
          <w:p>
            <w:pPr>
              <w:pStyle w:val="TableText"/>
              <w:keepNext/>
              <w:widowControl/>
              <w:jc w:val="left"/>
            </w:pPr>
            <w:r>
              <w:rPr>
                <w:b w:val="0"/>
                <w:sz w:val="18"/>
              </w:rPr>
              <w:t>255/575</w:t>
            </w:r>
          </w:p>
        </w:tc>
        <w:tc>
          <w:tcPr>
            <w:tcW w:type="dxa" w:w="1701"/>
            <w:vAlign w:val="center"/>
            <w:tcMar>
              <w:top w:w="65" w:type="dxa"/>
              <w:left w:w="65" w:type="dxa"/>
              <w:bottom w:w="65" w:type="dxa"/>
              <w:right w:w="65" w:type="dxa"/>
            </w:tcMar>
          </w:tcPr>
          <w:p>
            <w:pPr>
              <w:pStyle w:val="TableText"/>
              <w:keepNext/>
              <w:widowControl/>
              <w:jc w:val="left"/>
            </w:pPr>
            <w:r>
              <w:rPr>
                <w:b w:val="0"/>
                <w:sz w:val="18"/>
              </w:rPr>
              <w:t>44.3%</w:t>
            </w:r>
          </w:p>
        </w:tc>
        <w:tc>
          <w:tcPr>
            <w:tcW w:type="dxa" w:w="1701"/>
            <w:vAlign w:val="center"/>
            <w:tcMar>
              <w:top w:w="65" w:type="dxa"/>
              <w:left w:w="65" w:type="dxa"/>
              <w:bottom w:w="65" w:type="dxa"/>
              <w:right w:w="65" w:type="dxa"/>
            </w:tcMar>
          </w:tcPr>
          <w:p>
            <w:pPr>
              <w:pStyle w:val="TableText"/>
              <w:keepNext/>
              <w:widowControl/>
              <w:jc w:val="left"/>
            </w:pPr>
            <w:r>
              <w:rPr>
                <w:b w:val="0"/>
                <w:sz w:val="18"/>
              </w:rPr>
              <w:t>560/575</w:t>
            </w:r>
          </w:p>
        </w:tc>
        <w:tc>
          <w:tcPr>
            <w:tcW w:type="dxa" w:w="1587"/>
            <w:vAlign w:val="center"/>
            <w:tcMar>
              <w:top w:w="65" w:type="dxa"/>
              <w:left w:w="65" w:type="dxa"/>
              <w:bottom w:w="65" w:type="dxa"/>
              <w:right w:w="65" w:type="dxa"/>
            </w:tcMar>
          </w:tcPr>
          <w:p>
            <w:pPr>
              <w:pStyle w:val="TableText"/>
              <w:keepNext/>
              <w:widowControl/>
              <w:jc w:val="left"/>
            </w:pPr>
            <w:r>
              <w:rPr>
                <w:b w:val="0"/>
                <w:sz w:val="18"/>
              </w:rPr>
              <w:t>97.4%</w:t>
            </w:r>
          </w:p>
        </w:tc>
      </w:tr>
      <w:tr>
        <w:trPr>
          <w:cantSplit/>
        </w:trPr>
        <w:tc>
          <w:tcPr>
            <w:tcW w:type="dxa" w:w="1247"/>
            <w:vAlign w:val="center"/>
            <w:tcMar>
              <w:top w:w="65" w:type="dxa"/>
              <w:left w:w="65" w:type="dxa"/>
              <w:bottom w:w="65" w:type="dxa"/>
              <w:right w:w="65" w:type="dxa"/>
            </w:tcMar>
          </w:tcPr>
          <w:p>
            <w:pPr>
              <w:pStyle w:val="TableText"/>
              <w:keepNext w:val="0"/>
              <w:widowControl/>
              <w:jc w:val="left"/>
            </w:pPr>
            <w:r>
              <w:rPr>
                <w:b w:val="0"/>
                <w:sz w:val="18"/>
              </w:rPr>
              <w:t>C4R</w:t>
            </w:r>
          </w:p>
        </w:tc>
        <w:tc>
          <w:tcPr>
            <w:tcW w:type="dxa" w:w="1701"/>
            <w:vAlign w:val="center"/>
            <w:tcMar>
              <w:top w:w="65" w:type="dxa"/>
              <w:left w:w="65" w:type="dxa"/>
              <w:bottom w:w="65" w:type="dxa"/>
              <w:right w:w="65" w:type="dxa"/>
            </w:tcMar>
          </w:tcPr>
          <w:p>
            <w:pPr>
              <w:pStyle w:val="TableText"/>
              <w:keepNext w:val="0"/>
              <w:widowControl/>
              <w:jc w:val="left"/>
            </w:pPr>
            <w:r>
              <w:rPr>
                <w:b w:val="0"/>
                <w:sz w:val="18"/>
              </w:rPr>
              <w:t>368/575</w:t>
            </w:r>
          </w:p>
        </w:tc>
        <w:tc>
          <w:tcPr>
            <w:tcW w:type="dxa" w:w="1701"/>
            <w:vAlign w:val="center"/>
            <w:tcMar>
              <w:top w:w="65" w:type="dxa"/>
              <w:left w:w="65" w:type="dxa"/>
              <w:bottom w:w="65" w:type="dxa"/>
              <w:right w:w="65" w:type="dxa"/>
            </w:tcMar>
          </w:tcPr>
          <w:p>
            <w:pPr>
              <w:pStyle w:val="TableText"/>
              <w:keepNext w:val="0"/>
              <w:widowControl/>
              <w:jc w:val="left"/>
            </w:pPr>
            <w:r>
              <w:rPr>
                <w:b w:val="0"/>
                <w:sz w:val="18"/>
              </w:rPr>
              <w:t>64.0%</w:t>
            </w:r>
          </w:p>
        </w:tc>
        <w:tc>
          <w:tcPr>
            <w:tcW w:type="dxa" w:w="1701"/>
            <w:vAlign w:val="center"/>
            <w:tcMar>
              <w:top w:w="65" w:type="dxa"/>
              <w:left w:w="65" w:type="dxa"/>
              <w:bottom w:w="65" w:type="dxa"/>
              <w:right w:w="65" w:type="dxa"/>
            </w:tcMar>
          </w:tcPr>
          <w:p>
            <w:pPr>
              <w:pStyle w:val="TableText"/>
              <w:keepNext w:val="0"/>
              <w:widowControl/>
              <w:jc w:val="left"/>
            </w:pPr>
            <w:r>
              <w:rPr>
                <w:b w:val="0"/>
                <w:sz w:val="18"/>
              </w:rPr>
              <w:t>567/575</w:t>
            </w:r>
          </w:p>
        </w:tc>
        <w:tc>
          <w:tcPr>
            <w:tcW w:type="dxa" w:w="1587"/>
            <w:vAlign w:val="center"/>
            <w:tcMar>
              <w:top w:w="65" w:type="dxa"/>
              <w:left w:w="65" w:type="dxa"/>
              <w:bottom w:w="65" w:type="dxa"/>
              <w:right w:w="65" w:type="dxa"/>
            </w:tcMar>
          </w:tcPr>
          <w:p>
            <w:pPr>
              <w:pStyle w:val="TableText"/>
              <w:keepNext w:val="0"/>
              <w:widowControl/>
              <w:jc w:val="left"/>
            </w:pPr>
            <w:r>
              <w:rPr>
                <w:b w:val="0"/>
                <w:sz w:val="18"/>
              </w:rPr>
              <w:t>98.6%</w:t>
            </w:r>
          </w:p>
        </w:tc>
      </w:tr>
      <w:tr>
        <w:trPr>
          <w:cantSplit/>
        </w:trPr>
        <w:tc>
          <w:tcPr>
            <w:tcW w:type="dxa" w:w="1247"/>
            <w:vAlign w:val="center"/>
            <w:tcMar>
              <w:top w:w="65" w:type="dxa"/>
              <w:left w:w="65" w:type="dxa"/>
              <w:bottom w:w="65" w:type="dxa"/>
              <w:right w:w="65" w:type="dxa"/>
            </w:tcMar>
          </w:tcPr>
          <w:p>
            <w:pPr>
              <w:pStyle w:val="TableText"/>
              <w:keepNext w:val="0"/>
              <w:widowControl/>
              <w:jc w:val="left"/>
            </w:pPr>
            <w:r>
              <w:rPr>
                <w:b w:val="0"/>
                <w:sz w:val="18"/>
              </w:rPr>
              <w:t>C5</w:t>
            </w:r>
          </w:p>
        </w:tc>
        <w:tc>
          <w:tcPr>
            <w:tcW w:type="dxa" w:w="1701"/>
            <w:vAlign w:val="center"/>
            <w:tcMar>
              <w:top w:w="65" w:type="dxa"/>
              <w:left w:w="65" w:type="dxa"/>
              <w:bottom w:w="65" w:type="dxa"/>
              <w:right w:w="65" w:type="dxa"/>
            </w:tcMar>
          </w:tcPr>
          <w:p>
            <w:pPr>
              <w:pStyle w:val="TableText"/>
              <w:keepNext w:val="0"/>
              <w:widowControl/>
              <w:jc w:val="left"/>
            </w:pPr>
            <w:r>
              <w:rPr>
                <w:b w:val="0"/>
                <w:sz w:val="18"/>
              </w:rPr>
              <w:t>378/575</w:t>
            </w:r>
          </w:p>
        </w:tc>
        <w:tc>
          <w:tcPr>
            <w:tcW w:type="dxa" w:w="1701"/>
            <w:vAlign w:val="center"/>
            <w:tcMar>
              <w:top w:w="65" w:type="dxa"/>
              <w:left w:w="65" w:type="dxa"/>
              <w:bottom w:w="65" w:type="dxa"/>
              <w:right w:w="65" w:type="dxa"/>
            </w:tcMar>
          </w:tcPr>
          <w:p>
            <w:pPr>
              <w:pStyle w:val="TableText"/>
              <w:keepNext w:val="0"/>
              <w:widowControl/>
              <w:jc w:val="left"/>
            </w:pPr>
            <w:r>
              <w:rPr>
                <w:b w:val="0"/>
                <w:sz w:val="18"/>
              </w:rPr>
              <w:t>65.7%</w:t>
            </w:r>
          </w:p>
        </w:tc>
        <w:tc>
          <w:tcPr>
            <w:tcW w:type="dxa" w:w="1701"/>
            <w:vAlign w:val="center"/>
            <w:tcMar>
              <w:top w:w="65" w:type="dxa"/>
              <w:left w:w="65" w:type="dxa"/>
              <w:bottom w:w="65" w:type="dxa"/>
              <w:right w:w="65" w:type="dxa"/>
            </w:tcMar>
          </w:tcPr>
          <w:p>
            <w:pPr>
              <w:pStyle w:val="TableText"/>
              <w:keepNext w:val="0"/>
              <w:widowControl/>
              <w:jc w:val="left"/>
            </w:pPr>
            <w:r>
              <w:rPr>
                <w:b w:val="0"/>
                <w:sz w:val="18"/>
              </w:rPr>
              <w:t>572/575</w:t>
            </w:r>
          </w:p>
        </w:tc>
        <w:tc>
          <w:tcPr>
            <w:tcW w:type="dxa" w:w="1587"/>
            <w:vAlign w:val="center"/>
            <w:tcMar>
              <w:top w:w="65" w:type="dxa"/>
              <w:left w:w="65" w:type="dxa"/>
              <w:bottom w:w="65" w:type="dxa"/>
              <w:right w:w="65" w:type="dxa"/>
            </w:tcMar>
          </w:tcPr>
          <w:p>
            <w:pPr>
              <w:pStyle w:val="TableText"/>
              <w:keepNext w:val="0"/>
              <w:widowControl/>
              <w:jc w:val="left"/>
            </w:pPr>
            <w:r>
              <w:rPr>
                <w:b w:val="0"/>
                <w:sz w:val="18"/>
              </w:rPr>
              <w:t>99.5%</w:t>
            </w:r>
          </w:p>
        </w:tc>
      </w:tr>
      <w:tr>
        <w:trPr>
          <w:cantSplit/>
        </w:trPr>
        <w:tc>
          <w:tcPr>
            <w:tcW w:type="dxa" w:w="1247"/>
            <w:vAlign w:val="center"/>
            <w:tcMar>
              <w:top w:w="65" w:type="dxa"/>
              <w:left w:w="65" w:type="dxa"/>
              <w:bottom w:w="65" w:type="dxa"/>
              <w:right w:w="65" w:type="dxa"/>
            </w:tcMar>
          </w:tcPr>
          <w:p>
            <w:pPr>
              <w:pStyle w:val="TableText"/>
              <w:keepNext w:val="0"/>
              <w:widowControl/>
              <w:jc w:val="left"/>
            </w:pPr>
            <w:r>
              <w:rPr>
                <w:b w:val="0"/>
                <w:sz w:val="18"/>
              </w:rPr>
              <w:t>C6-E</w:t>
            </w:r>
          </w:p>
        </w:tc>
        <w:tc>
          <w:tcPr>
            <w:tcW w:type="dxa" w:w="1701"/>
            <w:vAlign w:val="center"/>
            <w:tcMar>
              <w:top w:w="65" w:type="dxa"/>
              <w:left w:w="65" w:type="dxa"/>
              <w:bottom w:w="65" w:type="dxa"/>
              <w:right w:w="65" w:type="dxa"/>
            </w:tcMar>
          </w:tcPr>
          <w:p>
            <w:pPr>
              <w:pStyle w:val="TableText"/>
              <w:keepNext w:val="0"/>
              <w:widowControl/>
              <w:jc w:val="left"/>
            </w:pPr>
            <w:r>
              <w:rPr>
                <w:b w:val="0"/>
                <w:sz w:val="18"/>
              </w:rPr>
              <w:t>329/575</w:t>
            </w:r>
          </w:p>
        </w:tc>
        <w:tc>
          <w:tcPr>
            <w:tcW w:type="dxa" w:w="1701"/>
            <w:vAlign w:val="center"/>
            <w:tcMar>
              <w:top w:w="65" w:type="dxa"/>
              <w:left w:w="65" w:type="dxa"/>
              <w:bottom w:w="65" w:type="dxa"/>
              <w:right w:w="65" w:type="dxa"/>
            </w:tcMar>
          </w:tcPr>
          <w:p>
            <w:pPr>
              <w:pStyle w:val="TableText"/>
              <w:keepNext w:val="0"/>
              <w:widowControl/>
              <w:jc w:val="left"/>
            </w:pPr>
            <w:r>
              <w:rPr>
                <w:b w:val="0"/>
                <w:sz w:val="18"/>
              </w:rPr>
              <w:t>57.2%</w:t>
            </w:r>
          </w:p>
        </w:tc>
        <w:tc>
          <w:tcPr>
            <w:tcW w:type="dxa" w:w="1701"/>
            <w:vAlign w:val="center"/>
            <w:tcMar>
              <w:top w:w="65" w:type="dxa"/>
              <w:left w:w="65" w:type="dxa"/>
              <w:bottom w:w="65" w:type="dxa"/>
              <w:right w:w="65" w:type="dxa"/>
            </w:tcMar>
          </w:tcPr>
          <w:p>
            <w:pPr>
              <w:pStyle w:val="TableText"/>
              <w:keepNext w:val="0"/>
              <w:widowControl/>
              <w:jc w:val="left"/>
            </w:pPr>
            <w:r>
              <w:rPr>
                <w:b w:val="0"/>
                <w:sz w:val="18"/>
              </w:rPr>
              <w:t>566/575</w:t>
            </w:r>
          </w:p>
        </w:tc>
        <w:tc>
          <w:tcPr>
            <w:tcW w:type="dxa" w:w="1587"/>
            <w:vAlign w:val="center"/>
            <w:tcMar>
              <w:top w:w="65" w:type="dxa"/>
              <w:left w:w="65" w:type="dxa"/>
              <w:bottom w:w="65" w:type="dxa"/>
              <w:right w:w="65" w:type="dxa"/>
            </w:tcMar>
          </w:tcPr>
          <w:p>
            <w:pPr>
              <w:pStyle w:val="TableText"/>
              <w:keepNext w:val="0"/>
              <w:widowControl/>
              <w:jc w:val="left"/>
            </w:pPr>
            <w:r>
              <w:rPr>
                <w:b w:val="0"/>
                <w:sz w:val="18"/>
              </w:rPr>
              <w:t>98.4%</w:t>
            </w:r>
          </w:p>
        </w:tc>
      </w:tr>
      <w:tr>
        <w:trPr>
          <w:cantSplit/>
        </w:trPr>
        <w:tc>
          <w:tcPr>
            <w:tcW w:type="dxa" w:w="1247"/>
            <w:vAlign w:val="center"/>
            <w:tcMar>
              <w:top w:w="65" w:type="dxa"/>
              <w:left w:w="65" w:type="dxa"/>
              <w:bottom w:w="65" w:type="dxa"/>
              <w:right w:w="65" w:type="dxa"/>
            </w:tcMar>
          </w:tcPr>
          <w:p>
            <w:pPr>
              <w:pStyle w:val="TableText"/>
              <w:keepNext w:val="0"/>
              <w:widowControl/>
              <w:jc w:val="left"/>
            </w:pPr>
            <w:r>
              <w:rPr>
                <w:b w:val="0"/>
                <w:sz w:val="18"/>
              </w:rPr>
              <w:t>C6-EX</w:t>
            </w:r>
          </w:p>
        </w:tc>
        <w:tc>
          <w:tcPr>
            <w:tcW w:type="dxa" w:w="1701"/>
            <w:vAlign w:val="center"/>
            <w:tcMar>
              <w:top w:w="65" w:type="dxa"/>
              <w:left w:w="65" w:type="dxa"/>
              <w:bottom w:w="65" w:type="dxa"/>
              <w:right w:w="65" w:type="dxa"/>
            </w:tcMar>
          </w:tcPr>
          <w:p>
            <w:pPr>
              <w:pStyle w:val="TableText"/>
              <w:keepNext w:val="0"/>
              <w:widowControl/>
              <w:jc w:val="left"/>
            </w:pPr>
            <w:r>
              <w:rPr>
                <w:b w:val="0"/>
                <w:sz w:val="18"/>
              </w:rPr>
              <w:t>294/575</w:t>
            </w:r>
          </w:p>
        </w:tc>
        <w:tc>
          <w:tcPr>
            <w:tcW w:type="dxa" w:w="1701"/>
            <w:vAlign w:val="center"/>
            <w:tcMar>
              <w:top w:w="65" w:type="dxa"/>
              <w:left w:w="65" w:type="dxa"/>
              <w:bottom w:w="65" w:type="dxa"/>
              <w:right w:w="65" w:type="dxa"/>
            </w:tcMar>
          </w:tcPr>
          <w:p>
            <w:pPr>
              <w:pStyle w:val="TableText"/>
              <w:keepNext w:val="0"/>
              <w:widowControl/>
              <w:jc w:val="left"/>
            </w:pPr>
            <w:r>
              <w:rPr>
                <w:b w:val="0"/>
                <w:sz w:val="18"/>
              </w:rPr>
              <w:t>51.1%</w:t>
            </w:r>
          </w:p>
        </w:tc>
        <w:tc>
          <w:tcPr>
            <w:tcW w:type="dxa" w:w="1701"/>
            <w:vAlign w:val="center"/>
            <w:tcMar>
              <w:top w:w="65" w:type="dxa"/>
              <w:left w:w="65" w:type="dxa"/>
              <w:bottom w:w="65" w:type="dxa"/>
              <w:right w:w="65" w:type="dxa"/>
            </w:tcMar>
          </w:tcPr>
          <w:p>
            <w:pPr>
              <w:pStyle w:val="TableText"/>
              <w:keepNext w:val="0"/>
              <w:widowControl/>
              <w:jc w:val="left"/>
            </w:pPr>
            <w:r>
              <w:rPr>
                <w:b w:val="0"/>
                <w:sz w:val="18"/>
              </w:rPr>
              <w:t>566/575</w:t>
            </w:r>
          </w:p>
        </w:tc>
        <w:tc>
          <w:tcPr>
            <w:tcW w:type="dxa" w:w="1587"/>
            <w:vAlign w:val="center"/>
            <w:tcMar>
              <w:top w:w="65" w:type="dxa"/>
              <w:left w:w="65" w:type="dxa"/>
              <w:bottom w:w="65" w:type="dxa"/>
              <w:right w:w="65" w:type="dxa"/>
            </w:tcMar>
          </w:tcPr>
          <w:p>
            <w:pPr>
              <w:pStyle w:val="TableText"/>
              <w:keepNext w:val="0"/>
              <w:widowControl/>
              <w:jc w:val="left"/>
            </w:pPr>
            <w:r>
              <w:rPr>
                <w:b w:val="0"/>
                <w:sz w:val="18"/>
              </w:rPr>
              <w:t>98.4%</w:t>
            </w:r>
          </w:p>
        </w:tc>
      </w:tr>
    </w:tbl>
    <w:p>
      <w:pPr>
        <w:pStyle w:val="SourceNote"/>
        <w:widowControl/>
      </w:pPr>
      <w:r>
        <w:t>자료: Main Run1/free8/IC-b/B1, canonical strict action-usability. 전체 응답 schema의 완전성과 구분한다.</w:t>
      </w:r>
    </w:p>
    <w:p>
      <w:bookmarkStart w:id="135" w:name="cap_36"/>
      <w:pPr>
        <w:pStyle w:val="af"/>
        <w:widowControl/>
      </w:pPr>
      <w:r>
        <w:t>그림 6-2. GPT-5.4-mini B1의 행동 수용률 변화</w:t>
      </w:r>
      <w:bookmarkEnd w:id="135"/>
    </w:p>
    <w:p>
      <w:pPr>
        <w:keepNext/>
        <w:widowControl/>
        <w:ind w:firstLine="0"/>
        <w:jc w:val="center"/>
      </w:pPr>
      <w:r>
        <w:drawing>
          <wp:inline xmlns:a="http://schemas.openxmlformats.org/drawingml/2006/main" xmlns:pic="http://schemas.openxmlformats.org/drawingml/2006/picture">
            <wp:extent cx="5040000" cy="2800000"/>
            <wp:docPr id="4" name="Picture 4"/>
            <wp:cNvGraphicFramePr>
              <a:graphicFrameLocks noChangeAspect="1"/>
            </wp:cNvGraphicFramePr>
            <a:graphic>
              <a:graphicData uri="http://schemas.openxmlformats.org/drawingml/2006/picture">
                <pic:pic>
                  <pic:nvPicPr>
                    <pic:cNvPr id="0" name="usability_openai_gpt54mini.png"/>
                    <pic:cNvPicPr/>
                  </pic:nvPicPr>
                  <pic:blipFill>
                    <a:blip r:embed="rId36"/>
                    <a:stretch>
                      <a:fillRect/>
                    </a:stretch>
                  </pic:blipFill>
                  <pic:spPr>
                    <a:xfrm>
                      <a:off x="0" y="0"/>
                      <a:ext cx="5040000" cy="2800000"/>
                    </a:xfrm>
                    <a:prstGeom prst="rect"/>
                  </pic:spPr>
                </pic:pic>
              </a:graphicData>
            </a:graphic>
          </wp:inline>
        </w:drawing>
      </w:r>
    </w:p>
    <w:p>
      <w:pPr>
        <w:pStyle w:val="SourceNote"/>
        <w:widowControl/>
      </w:pPr>
      <w:r>
        <w:t>자료: 위 표. 두 regime가 같은 575개 기업을 대상으로 하며, High에는 출력상한의 기술적 변경도 포함된다.</w:t>
      </w:r>
    </w:p>
    <w:p>
      <w:pPr>
        <w:widowControl/>
      </w:pPr>
      <w:r>
        <w:t>High B1 C4의 수용률은 Gemini 570/575(99.1%), GPT 560/575(97.4%)이다. 다른 네 정책도 높은 수용률을 보인다. 따라서 낮은 추론 regime에서의 높은 불용 비율을 해당 모델의 모든 생성조건에서 불변하는 실패율로 간주할 수 없다. 이번 과제에서는 생성조건을 바꾸었을 때 계약준수가 크게 달라졌다.</w:t>
      </w:r>
    </w:p>
    <w:p>
      <w:pPr>
        <w:widowControl/>
      </w:pPr>
      <w:r>
        <w:t>수용률이 100%에 가까워지면 C5 또는 자기 재검토가 단순히 불용 응답을 줄여 얻을 수 있는 추가 여지도 작아질 수 있다. 그러나 수용률의 ceiling과 경제적 판단의 개선은 같은 개념이 아니다. High에서도 잘못된 재무적 판단, 기업별 손실, 부족한 설명 또는 현실의 실행 불가능성은 남을 수 있다. 높은 수용률은 정해진 수치·형식 계약을 충족했다는 결과일 뿐이다.</w:t>
      </w:r>
    </w:p>
    <w:p>
      <w:bookmarkStart w:id="136" w:name="head_100"/>
      <w:pPr>
        <w:pStyle w:val="3"/>
        <w:widowControl/>
      </w:pPr>
      <w:r>
        <w:t>6.2.2 실제 사용 강도와 행동의 폭</w:t>
      </w:r>
      <w:bookmarkEnd w:id="136"/>
    </w:p>
    <w:p>
      <w:bookmarkStart w:id="137" w:name="cap_37"/>
      <w:pPr>
        <w:pStyle w:val="af"/>
        <w:widowControl/>
      </w:pPr>
      <w:r>
        <w:t>표 6-4. 직접생성 C4의 실사용 강도와 활성 차원</w:t>
      </w:r>
      <w:bookmarkEnd w:id="137"/>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794"/>
        <w:gridCol w:w="680"/>
        <w:gridCol w:w="1247"/>
        <w:gridCol w:w="1928"/>
        <w:gridCol w:w="2041"/>
        <w:gridCol w:w="1247"/>
      </w:tblGrid>
      <w:tr>
        <w:trPr>
          <w:cantSplit/>
          <w:tblHeader/>
        </w:trPr>
        <w:tc>
          <w:tcPr>
            <w:tcW w:type="dxa" w:w="794"/>
            <w:vAlign w:val="center"/>
            <w:shd w:fill="F1F1F1"/>
            <w:tcMar>
              <w:top w:w="65" w:type="dxa"/>
              <w:left w:w="65" w:type="dxa"/>
              <w:bottom w:w="65" w:type="dxa"/>
              <w:right w:w="65" w:type="dxa"/>
            </w:tcMar>
          </w:tcPr>
          <w:p>
            <w:pPr>
              <w:pStyle w:val="TableText"/>
              <w:keepNext/>
              <w:widowControl/>
              <w:jc w:val="center"/>
            </w:pPr>
            <w:r>
              <w:rPr>
                <w:b/>
                <w:sz w:val="17"/>
              </w:rPr>
              <w:t>모델</w:t>
            </w:r>
          </w:p>
        </w:tc>
        <w:tc>
          <w:tcPr>
            <w:tcW w:type="dxa" w:w="680"/>
            <w:vAlign w:val="center"/>
            <w:shd w:fill="F1F1F1"/>
            <w:tcMar>
              <w:top w:w="65" w:type="dxa"/>
              <w:left w:w="65" w:type="dxa"/>
              <w:bottom w:w="65" w:type="dxa"/>
              <w:right w:w="65" w:type="dxa"/>
            </w:tcMar>
          </w:tcPr>
          <w:p>
            <w:pPr>
              <w:pStyle w:val="TableText"/>
              <w:keepNext/>
              <w:widowControl/>
              <w:jc w:val="center"/>
            </w:pPr>
            <w:r>
              <w:rPr>
                <w:b/>
                <w:sz w:val="17"/>
              </w:rPr>
              <w:t>예산</w:t>
            </w:r>
          </w:p>
        </w:tc>
        <w:tc>
          <w:tcPr>
            <w:tcW w:type="dxa" w:w="1247"/>
            <w:vAlign w:val="center"/>
            <w:shd w:fill="F1F1F1"/>
            <w:tcMar>
              <w:top w:w="65" w:type="dxa"/>
              <w:left w:w="65" w:type="dxa"/>
              <w:bottom w:w="65" w:type="dxa"/>
              <w:right w:w="65" w:type="dxa"/>
            </w:tcMar>
          </w:tcPr>
          <w:p>
            <w:pPr>
              <w:pStyle w:val="TableText"/>
              <w:keepNext/>
              <w:widowControl/>
              <w:jc w:val="center"/>
            </w:pPr>
            <w:r>
              <w:rPr>
                <w:b/>
                <w:sz w:val="17"/>
              </w:rPr>
              <w:t>Regime</w:t>
            </w:r>
          </w:p>
        </w:tc>
        <w:tc>
          <w:tcPr>
            <w:tcW w:type="dxa" w:w="1928"/>
            <w:vAlign w:val="center"/>
            <w:shd w:fill="F1F1F1"/>
            <w:tcMar>
              <w:top w:w="65" w:type="dxa"/>
              <w:left w:w="65" w:type="dxa"/>
              <w:bottom w:w="65" w:type="dxa"/>
              <w:right w:w="65" w:type="dxa"/>
            </w:tcMar>
          </w:tcPr>
          <w:p>
            <w:pPr>
              <w:pStyle w:val="TableText"/>
              <w:keepNext/>
              <w:widowControl/>
              <w:jc w:val="center"/>
            </w:pPr>
            <w:r>
              <w:rPr>
                <w:b/>
                <w:sz w:val="17"/>
              </w:rPr>
              <w:t>ITT 평균 강도</w:t>
            </w:r>
          </w:p>
        </w:tc>
        <w:tc>
          <w:tcPr>
            <w:tcW w:type="dxa" w:w="2041"/>
            <w:vAlign w:val="center"/>
            <w:shd w:fill="F1F1F1"/>
            <w:tcMar>
              <w:top w:w="65" w:type="dxa"/>
              <w:left w:w="65" w:type="dxa"/>
              <w:bottom w:w="65" w:type="dxa"/>
              <w:right w:w="65" w:type="dxa"/>
            </w:tcMar>
          </w:tcPr>
          <w:p>
            <w:pPr>
              <w:pStyle w:val="TableText"/>
              <w:keepNext/>
              <w:widowControl/>
              <w:jc w:val="center"/>
            </w:pPr>
            <w:r>
              <w:rPr>
                <w:b/>
                <w:sz w:val="17"/>
              </w:rPr>
              <w:t>수용행동 활성 축</w:t>
            </w:r>
          </w:p>
        </w:tc>
        <w:tc>
          <w:tcPr>
            <w:tcW w:type="dxa" w:w="1247"/>
            <w:vAlign w:val="center"/>
            <w:shd w:fill="F1F1F1"/>
            <w:tcMar>
              <w:top w:w="65" w:type="dxa"/>
              <w:left w:w="65" w:type="dxa"/>
              <w:bottom w:w="65" w:type="dxa"/>
              <w:right w:w="65" w:type="dxa"/>
            </w:tcMar>
          </w:tcPr>
          <w:p>
            <w:pPr>
              <w:pStyle w:val="TableText"/>
              <w:keepNext/>
              <w:widowControl/>
              <w:jc w:val="center"/>
            </w:pPr>
            <w:r>
              <w:rPr>
                <w:b/>
                <w:sz w:val="17"/>
              </w:rPr>
              <w:t>수용 N</w:t>
            </w:r>
          </w:p>
        </w:tc>
      </w:tr>
      <w:tr>
        <w:trPr>
          <w:cantSplit/>
        </w:trPr>
        <w:tc>
          <w:tcPr>
            <w:tcW w:type="dxa" w:w="794"/>
            <w:vAlign w:val="center"/>
            <w:tcMar>
              <w:top w:w="65" w:type="dxa"/>
              <w:left w:w="65" w:type="dxa"/>
              <w:bottom w:w="65" w:type="dxa"/>
              <w:right w:w="65" w:type="dxa"/>
            </w:tcMar>
          </w:tcPr>
          <w:p>
            <w:pPr>
              <w:pStyle w:val="TableText"/>
              <w:keepNext/>
              <w:widowControl/>
              <w:jc w:val="left"/>
            </w:pPr>
            <w:r>
              <w:rPr>
                <w:b w:val="0"/>
                <w:sz w:val="17"/>
              </w:rPr>
              <w:t>Gemini</w:t>
            </w:r>
          </w:p>
        </w:tc>
        <w:tc>
          <w:tcPr>
            <w:tcW w:type="dxa" w:w="680"/>
            <w:vAlign w:val="center"/>
            <w:tcMar>
              <w:top w:w="65" w:type="dxa"/>
              <w:left w:w="65" w:type="dxa"/>
              <w:bottom w:w="65" w:type="dxa"/>
              <w:right w:w="65" w:type="dxa"/>
            </w:tcMar>
          </w:tcPr>
          <w:p>
            <w:pPr>
              <w:pStyle w:val="TableText"/>
              <w:keepNext/>
              <w:widowControl/>
              <w:jc w:val="left"/>
            </w:pPr>
            <w:r>
              <w:rPr>
                <w:b w:val="0"/>
                <w:sz w:val="17"/>
              </w:rPr>
              <w:t>B1</w:t>
            </w:r>
          </w:p>
        </w:tc>
        <w:tc>
          <w:tcPr>
            <w:tcW w:type="dxa" w:w="1247"/>
            <w:vAlign w:val="center"/>
            <w:tcMar>
              <w:top w:w="65" w:type="dxa"/>
              <w:left w:w="65" w:type="dxa"/>
              <w:bottom w:w="65" w:type="dxa"/>
              <w:right w:w="65" w:type="dxa"/>
            </w:tcMar>
          </w:tcPr>
          <w:p>
            <w:pPr>
              <w:pStyle w:val="TableText"/>
              <w:keepNext/>
              <w:widowControl/>
              <w:jc w:val="left"/>
            </w:pPr>
            <w:r>
              <w:rPr>
                <w:b w:val="0"/>
                <w:sz w:val="17"/>
              </w:rPr>
              <w:t>Baseline</w:t>
            </w:r>
          </w:p>
        </w:tc>
        <w:tc>
          <w:tcPr>
            <w:tcW w:type="dxa" w:w="1928"/>
            <w:vAlign w:val="center"/>
            <w:tcMar>
              <w:top w:w="65" w:type="dxa"/>
              <w:left w:w="65" w:type="dxa"/>
              <w:bottom w:w="65" w:type="dxa"/>
              <w:right w:w="65" w:type="dxa"/>
            </w:tcMar>
          </w:tcPr>
          <w:p>
            <w:pPr>
              <w:pStyle w:val="TableText"/>
              <w:keepNext/>
              <w:widowControl/>
              <w:jc w:val="left"/>
            </w:pPr>
            <w:r>
              <w:rPr>
                <w:b w:val="0"/>
                <w:sz w:val="17"/>
              </w:rPr>
              <w:t>0.148</w:t>
            </w:r>
          </w:p>
        </w:tc>
        <w:tc>
          <w:tcPr>
            <w:tcW w:type="dxa" w:w="2041"/>
            <w:vAlign w:val="center"/>
            <w:tcMar>
              <w:top w:w="65" w:type="dxa"/>
              <w:left w:w="65" w:type="dxa"/>
              <w:bottom w:w="65" w:type="dxa"/>
              <w:right w:w="65" w:type="dxa"/>
            </w:tcMar>
          </w:tcPr>
          <w:p>
            <w:pPr>
              <w:pStyle w:val="TableText"/>
              <w:keepNext/>
              <w:widowControl/>
              <w:jc w:val="left"/>
            </w:pPr>
            <w:r>
              <w:rPr>
                <w:b w:val="0"/>
                <w:sz w:val="17"/>
              </w:rPr>
              <w:t>1.34</w:t>
            </w:r>
          </w:p>
        </w:tc>
        <w:tc>
          <w:tcPr>
            <w:tcW w:type="dxa" w:w="1247"/>
            <w:vAlign w:val="center"/>
            <w:tcMar>
              <w:top w:w="65" w:type="dxa"/>
              <w:left w:w="65" w:type="dxa"/>
              <w:bottom w:w="65" w:type="dxa"/>
              <w:right w:w="65" w:type="dxa"/>
            </w:tcMar>
          </w:tcPr>
          <w:p>
            <w:pPr>
              <w:pStyle w:val="TableText"/>
              <w:keepNext/>
              <w:widowControl/>
              <w:jc w:val="left"/>
            </w:pPr>
            <w:r>
              <w:rPr>
                <w:b w:val="0"/>
                <w:sz w:val="17"/>
              </w:rPr>
              <w:t>88</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7"/>
              </w:rPr>
              <w:t>Gemini</w:t>
            </w:r>
          </w:p>
        </w:tc>
        <w:tc>
          <w:tcPr>
            <w:tcW w:type="dxa" w:w="680"/>
            <w:vAlign w:val="center"/>
            <w:tcMar>
              <w:top w:w="65" w:type="dxa"/>
              <w:left w:w="65" w:type="dxa"/>
              <w:bottom w:w="65" w:type="dxa"/>
              <w:right w:w="65" w:type="dxa"/>
            </w:tcMar>
          </w:tcPr>
          <w:p>
            <w:pPr>
              <w:pStyle w:val="TableText"/>
              <w:keepNext w:val="0"/>
              <w:widowControl/>
              <w:jc w:val="left"/>
            </w:pPr>
            <w:r>
              <w:rPr>
                <w:b w:val="0"/>
                <w:sz w:val="17"/>
              </w:rPr>
              <w:t>B1</w:t>
            </w:r>
          </w:p>
        </w:tc>
        <w:tc>
          <w:tcPr>
            <w:tcW w:type="dxa" w:w="1247"/>
            <w:vAlign w:val="center"/>
            <w:tcMar>
              <w:top w:w="65" w:type="dxa"/>
              <w:left w:w="65" w:type="dxa"/>
              <w:bottom w:w="65" w:type="dxa"/>
              <w:right w:w="65" w:type="dxa"/>
            </w:tcMar>
          </w:tcPr>
          <w:p>
            <w:pPr>
              <w:pStyle w:val="TableText"/>
              <w:keepNext w:val="0"/>
              <w:widowControl/>
              <w:jc w:val="left"/>
            </w:pPr>
            <w:r>
              <w:rPr>
                <w:b w:val="0"/>
                <w:sz w:val="17"/>
              </w:rPr>
              <w:t>High</w:t>
            </w:r>
          </w:p>
        </w:tc>
        <w:tc>
          <w:tcPr>
            <w:tcW w:type="dxa" w:w="1928"/>
            <w:vAlign w:val="center"/>
            <w:tcMar>
              <w:top w:w="65" w:type="dxa"/>
              <w:left w:w="65" w:type="dxa"/>
              <w:bottom w:w="65" w:type="dxa"/>
              <w:right w:w="65" w:type="dxa"/>
            </w:tcMar>
          </w:tcPr>
          <w:p>
            <w:pPr>
              <w:pStyle w:val="TableText"/>
              <w:keepNext w:val="0"/>
              <w:widowControl/>
              <w:jc w:val="left"/>
            </w:pPr>
            <w:r>
              <w:rPr>
                <w:b w:val="0"/>
                <w:sz w:val="17"/>
              </w:rPr>
              <w:t>0.914</w:t>
            </w:r>
          </w:p>
        </w:tc>
        <w:tc>
          <w:tcPr>
            <w:tcW w:type="dxa" w:w="2041"/>
            <w:vAlign w:val="center"/>
            <w:tcMar>
              <w:top w:w="65" w:type="dxa"/>
              <w:left w:w="65" w:type="dxa"/>
              <w:bottom w:w="65" w:type="dxa"/>
              <w:right w:w="65" w:type="dxa"/>
            </w:tcMar>
          </w:tcPr>
          <w:p>
            <w:pPr>
              <w:pStyle w:val="TableText"/>
              <w:keepNext w:val="0"/>
              <w:widowControl/>
              <w:jc w:val="left"/>
            </w:pPr>
            <w:r>
              <w:rPr>
                <w:b w:val="0"/>
                <w:sz w:val="17"/>
              </w:rPr>
              <w:t>2.27</w:t>
            </w:r>
          </w:p>
        </w:tc>
        <w:tc>
          <w:tcPr>
            <w:tcW w:type="dxa" w:w="1247"/>
            <w:vAlign w:val="center"/>
            <w:tcMar>
              <w:top w:w="65" w:type="dxa"/>
              <w:left w:w="65" w:type="dxa"/>
              <w:bottom w:w="65" w:type="dxa"/>
              <w:right w:w="65" w:type="dxa"/>
            </w:tcMar>
          </w:tcPr>
          <w:p>
            <w:pPr>
              <w:pStyle w:val="TableText"/>
              <w:keepNext w:val="0"/>
              <w:widowControl/>
              <w:jc w:val="left"/>
            </w:pPr>
            <w:r>
              <w:rPr>
                <w:b w:val="0"/>
                <w:sz w:val="17"/>
              </w:rPr>
              <w:t>570</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7"/>
              </w:rPr>
              <w:t>Gemini</w:t>
            </w:r>
          </w:p>
        </w:tc>
        <w:tc>
          <w:tcPr>
            <w:tcW w:type="dxa" w:w="680"/>
            <w:vAlign w:val="center"/>
            <w:tcMar>
              <w:top w:w="65" w:type="dxa"/>
              <w:left w:w="65" w:type="dxa"/>
              <w:bottom w:w="65" w:type="dxa"/>
              <w:right w:w="65" w:type="dxa"/>
            </w:tcMar>
          </w:tcPr>
          <w:p>
            <w:pPr>
              <w:pStyle w:val="TableText"/>
              <w:keepNext w:val="0"/>
              <w:widowControl/>
              <w:jc w:val="left"/>
            </w:pPr>
            <w:r>
              <w:rPr>
                <w:b w:val="0"/>
                <w:sz w:val="17"/>
              </w:rPr>
              <w:t>BINF</w:t>
            </w:r>
          </w:p>
        </w:tc>
        <w:tc>
          <w:tcPr>
            <w:tcW w:type="dxa" w:w="1247"/>
            <w:vAlign w:val="center"/>
            <w:tcMar>
              <w:top w:w="65" w:type="dxa"/>
              <w:left w:w="65" w:type="dxa"/>
              <w:bottom w:w="65" w:type="dxa"/>
              <w:right w:w="65" w:type="dxa"/>
            </w:tcMar>
          </w:tcPr>
          <w:p>
            <w:pPr>
              <w:pStyle w:val="TableText"/>
              <w:keepNext w:val="0"/>
              <w:widowControl/>
              <w:jc w:val="left"/>
            </w:pPr>
            <w:r>
              <w:rPr>
                <w:b w:val="0"/>
                <w:sz w:val="17"/>
              </w:rPr>
              <w:t>Baseline</w:t>
            </w:r>
          </w:p>
        </w:tc>
        <w:tc>
          <w:tcPr>
            <w:tcW w:type="dxa" w:w="1928"/>
            <w:vAlign w:val="center"/>
            <w:tcMar>
              <w:top w:w="65" w:type="dxa"/>
              <w:left w:w="65" w:type="dxa"/>
              <w:bottom w:w="65" w:type="dxa"/>
              <w:right w:w="65" w:type="dxa"/>
            </w:tcMar>
          </w:tcPr>
          <w:p>
            <w:pPr>
              <w:pStyle w:val="TableText"/>
              <w:keepNext w:val="0"/>
              <w:widowControl/>
              <w:jc w:val="left"/>
            </w:pPr>
            <w:r>
              <w:rPr>
                <w:b w:val="0"/>
                <w:sz w:val="17"/>
              </w:rPr>
              <w:t>2.499</w:t>
            </w:r>
          </w:p>
        </w:tc>
        <w:tc>
          <w:tcPr>
            <w:tcW w:type="dxa" w:w="2041"/>
            <w:vAlign w:val="center"/>
            <w:tcMar>
              <w:top w:w="65" w:type="dxa"/>
              <w:left w:w="65" w:type="dxa"/>
              <w:bottom w:w="65" w:type="dxa"/>
              <w:right w:w="65" w:type="dxa"/>
            </w:tcMar>
          </w:tcPr>
          <w:p>
            <w:pPr>
              <w:pStyle w:val="TableText"/>
              <w:keepNext w:val="0"/>
              <w:widowControl/>
              <w:jc w:val="left"/>
            </w:pPr>
            <w:r>
              <w:rPr>
                <w:b w:val="0"/>
                <w:sz w:val="17"/>
              </w:rPr>
              <w:t>4.73</w:t>
            </w:r>
          </w:p>
        </w:tc>
        <w:tc>
          <w:tcPr>
            <w:tcW w:type="dxa" w:w="1247"/>
            <w:vAlign w:val="center"/>
            <w:tcMar>
              <w:top w:w="65" w:type="dxa"/>
              <w:left w:w="65" w:type="dxa"/>
              <w:bottom w:w="65" w:type="dxa"/>
              <w:right w:w="65" w:type="dxa"/>
            </w:tcMar>
          </w:tcPr>
          <w:p>
            <w:pPr>
              <w:pStyle w:val="TableText"/>
              <w:keepNext w:val="0"/>
              <w:widowControl/>
              <w:jc w:val="left"/>
            </w:pPr>
            <w:r>
              <w:rPr>
                <w:b w:val="0"/>
                <w:sz w:val="17"/>
              </w:rPr>
              <w:t>575</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7"/>
              </w:rPr>
              <w:t>Gemini</w:t>
            </w:r>
          </w:p>
        </w:tc>
        <w:tc>
          <w:tcPr>
            <w:tcW w:type="dxa" w:w="680"/>
            <w:vAlign w:val="center"/>
            <w:tcMar>
              <w:top w:w="65" w:type="dxa"/>
              <w:left w:w="65" w:type="dxa"/>
              <w:bottom w:w="65" w:type="dxa"/>
              <w:right w:w="65" w:type="dxa"/>
            </w:tcMar>
          </w:tcPr>
          <w:p>
            <w:pPr>
              <w:pStyle w:val="TableText"/>
              <w:keepNext w:val="0"/>
              <w:widowControl/>
              <w:jc w:val="left"/>
            </w:pPr>
            <w:r>
              <w:rPr>
                <w:b w:val="0"/>
                <w:sz w:val="17"/>
              </w:rPr>
              <w:t>BINF</w:t>
            </w:r>
          </w:p>
        </w:tc>
        <w:tc>
          <w:tcPr>
            <w:tcW w:type="dxa" w:w="1247"/>
            <w:vAlign w:val="center"/>
            <w:tcMar>
              <w:top w:w="65" w:type="dxa"/>
              <w:left w:w="65" w:type="dxa"/>
              <w:bottom w:w="65" w:type="dxa"/>
              <w:right w:w="65" w:type="dxa"/>
            </w:tcMar>
          </w:tcPr>
          <w:p>
            <w:pPr>
              <w:pStyle w:val="TableText"/>
              <w:keepNext w:val="0"/>
              <w:widowControl/>
              <w:jc w:val="left"/>
            </w:pPr>
            <w:r>
              <w:rPr>
                <w:b w:val="0"/>
                <w:sz w:val="17"/>
              </w:rPr>
              <w:t>High</w:t>
            </w:r>
          </w:p>
        </w:tc>
        <w:tc>
          <w:tcPr>
            <w:tcW w:type="dxa" w:w="1928"/>
            <w:vAlign w:val="center"/>
            <w:tcMar>
              <w:top w:w="65" w:type="dxa"/>
              <w:left w:w="65" w:type="dxa"/>
              <w:bottom w:w="65" w:type="dxa"/>
              <w:right w:w="65" w:type="dxa"/>
            </w:tcMar>
          </w:tcPr>
          <w:p>
            <w:pPr>
              <w:pStyle w:val="TableText"/>
              <w:keepNext w:val="0"/>
              <w:widowControl/>
              <w:jc w:val="left"/>
            </w:pPr>
            <w:r>
              <w:rPr>
                <w:b w:val="0"/>
                <w:sz w:val="17"/>
              </w:rPr>
              <w:t>1.679</w:t>
            </w:r>
          </w:p>
        </w:tc>
        <w:tc>
          <w:tcPr>
            <w:tcW w:type="dxa" w:w="2041"/>
            <w:vAlign w:val="center"/>
            <w:tcMar>
              <w:top w:w="65" w:type="dxa"/>
              <w:left w:w="65" w:type="dxa"/>
              <w:bottom w:w="65" w:type="dxa"/>
              <w:right w:w="65" w:type="dxa"/>
            </w:tcMar>
          </w:tcPr>
          <w:p>
            <w:pPr>
              <w:pStyle w:val="TableText"/>
              <w:keepNext w:val="0"/>
              <w:widowControl/>
              <w:jc w:val="left"/>
            </w:pPr>
            <w:r>
              <w:rPr>
                <w:b w:val="0"/>
                <w:sz w:val="17"/>
              </w:rPr>
              <w:t>3.15</w:t>
            </w:r>
          </w:p>
        </w:tc>
        <w:tc>
          <w:tcPr>
            <w:tcW w:type="dxa" w:w="1247"/>
            <w:vAlign w:val="center"/>
            <w:tcMar>
              <w:top w:w="65" w:type="dxa"/>
              <w:left w:w="65" w:type="dxa"/>
              <w:bottom w:w="65" w:type="dxa"/>
              <w:right w:w="65" w:type="dxa"/>
            </w:tcMar>
          </w:tcPr>
          <w:p>
            <w:pPr>
              <w:pStyle w:val="TableText"/>
              <w:keepNext w:val="0"/>
              <w:widowControl/>
              <w:jc w:val="left"/>
            </w:pPr>
            <w:r>
              <w:rPr>
                <w:b w:val="0"/>
                <w:sz w:val="17"/>
              </w:rPr>
              <w:t>575</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7"/>
              </w:rPr>
              <w:t>GPT</w:t>
            </w:r>
          </w:p>
        </w:tc>
        <w:tc>
          <w:tcPr>
            <w:tcW w:type="dxa" w:w="680"/>
            <w:vAlign w:val="center"/>
            <w:tcMar>
              <w:top w:w="65" w:type="dxa"/>
              <w:left w:w="65" w:type="dxa"/>
              <w:bottom w:w="65" w:type="dxa"/>
              <w:right w:w="65" w:type="dxa"/>
            </w:tcMar>
          </w:tcPr>
          <w:p>
            <w:pPr>
              <w:pStyle w:val="TableText"/>
              <w:keepNext w:val="0"/>
              <w:widowControl/>
              <w:jc w:val="left"/>
            </w:pPr>
            <w:r>
              <w:rPr>
                <w:b w:val="0"/>
                <w:sz w:val="17"/>
              </w:rPr>
              <w:t>B1</w:t>
            </w:r>
          </w:p>
        </w:tc>
        <w:tc>
          <w:tcPr>
            <w:tcW w:type="dxa" w:w="1247"/>
            <w:vAlign w:val="center"/>
            <w:tcMar>
              <w:top w:w="65" w:type="dxa"/>
              <w:left w:w="65" w:type="dxa"/>
              <w:bottom w:w="65" w:type="dxa"/>
              <w:right w:w="65" w:type="dxa"/>
            </w:tcMar>
          </w:tcPr>
          <w:p>
            <w:pPr>
              <w:pStyle w:val="TableText"/>
              <w:keepNext w:val="0"/>
              <w:widowControl/>
              <w:jc w:val="left"/>
            </w:pPr>
            <w:r>
              <w:rPr>
                <w:b w:val="0"/>
                <w:sz w:val="17"/>
              </w:rPr>
              <w:t>Baseline</w:t>
            </w:r>
          </w:p>
        </w:tc>
        <w:tc>
          <w:tcPr>
            <w:tcW w:type="dxa" w:w="1928"/>
            <w:vAlign w:val="center"/>
            <w:tcMar>
              <w:top w:w="65" w:type="dxa"/>
              <w:left w:w="65" w:type="dxa"/>
              <w:bottom w:w="65" w:type="dxa"/>
              <w:right w:w="65" w:type="dxa"/>
            </w:tcMar>
          </w:tcPr>
          <w:p>
            <w:pPr>
              <w:pStyle w:val="TableText"/>
              <w:keepNext w:val="0"/>
              <w:widowControl/>
              <w:jc w:val="left"/>
            </w:pPr>
            <w:r>
              <w:rPr>
                <w:b w:val="0"/>
                <w:sz w:val="17"/>
              </w:rPr>
              <w:t>0.406</w:t>
            </w:r>
          </w:p>
        </w:tc>
        <w:tc>
          <w:tcPr>
            <w:tcW w:type="dxa" w:w="2041"/>
            <w:vAlign w:val="center"/>
            <w:tcMar>
              <w:top w:w="65" w:type="dxa"/>
              <w:left w:w="65" w:type="dxa"/>
              <w:bottom w:w="65" w:type="dxa"/>
              <w:right w:w="65" w:type="dxa"/>
            </w:tcMar>
          </w:tcPr>
          <w:p>
            <w:pPr>
              <w:pStyle w:val="TableText"/>
              <w:keepNext w:val="0"/>
              <w:widowControl/>
              <w:jc w:val="left"/>
            </w:pPr>
            <w:r>
              <w:rPr>
                <w:b w:val="0"/>
                <w:sz w:val="17"/>
              </w:rPr>
              <w:t>1.84</w:t>
            </w:r>
          </w:p>
        </w:tc>
        <w:tc>
          <w:tcPr>
            <w:tcW w:type="dxa" w:w="1247"/>
            <w:vAlign w:val="center"/>
            <w:tcMar>
              <w:top w:w="65" w:type="dxa"/>
              <w:left w:w="65" w:type="dxa"/>
              <w:bottom w:w="65" w:type="dxa"/>
              <w:right w:w="65" w:type="dxa"/>
            </w:tcMar>
          </w:tcPr>
          <w:p>
            <w:pPr>
              <w:pStyle w:val="TableText"/>
              <w:keepNext w:val="0"/>
              <w:widowControl/>
              <w:jc w:val="left"/>
            </w:pPr>
            <w:r>
              <w:rPr>
                <w:b w:val="0"/>
                <w:sz w:val="17"/>
              </w:rPr>
              <w:t>255</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7"/>
              </w:rPr>
              <w:t>GPT</w:t>
            </w:r>
          </w:p>
        </w:tc>
        <w:tc>
          <w:tcPr>
            <w:tcW w:type="dxa" w:w="680"/>
            <w:vAlign w:val="center"/>
            <w:tcMar>
              <w:top w:w="65" w:type="dxa"/>
              <w:left w:w="65" w:type="dxa"/>
              <w:bottom w:w="65" w:type="dxa"/>
              <w:right w:w="65" w:type="dxa"/>
            </w:tcMar>
          </w:tcPr>
          <w:p>
            <w:pPr>
              <w:pStyle w:val="TableText"/>
              <w:keepNext w:val="0"/>
              <w:widowControl/>
              <w:jc w:val="left"/>
            </w:pPr>
            <w:r>
              <w:rPr>
                <w:b w:val="0"/>
                <w:sz w:val="17"/>
              </w:rPr>
              <w:t>B1</w:t>
            </w:r>
          </w:p>
        </w:tc>
        <w:tc>
          <w:tcPr>
            <w:tcW w:type="dxa" w:w="1247"/>
            <w:vAlign w:val="center"/>
            <w:tcMar>
              <w:top w:w="65" w:type="dxa"/>
              <w:left w:w="65" w:type="dxa"/>
              <w:bottom w:w="65" w:type="dxa"/>
              <w:right w:w="65" w:type="dxa"/>
            </w:tcMar>
          </w:tcPr>
          <w:p>
            <w:pPr>
              <w:pStyle w:val="TableText"/>
              <w:keepNext w:val="0"/>
              <w:widowControl/>
              <w:jc w:val="left"/>
            </w:pPr>
            <w:r>
              <w:rPr>
                <w:b w:val="0"/>
                <w:sz w:val="17"/>
              </w:rPr>
              <w:t>High</w:t>
            </w:r>
          </w:p>
        </w:tc>
        <w:tc>
          <w:tcPr>
            <w:tcW w:type="dxa" w:w="1928"/>
            <w:vAlign w:val="center"/>
            <w:tcMar>
              <w:top w:w="65" w:type="dxa"/>
              <w:left w:w="65" w:type="dxa"/>
              <w:bottom w:w="65" w:type="dxa"/>
              <w:right w:w="65" w:type="dxa"/>
            </w:tcMar>
          </w:tcPr>
          <w:p>
            <w:pPr>
              <w:pStyle w:val="TableText"/>
              <w:keepNext w:val="0"/>
              <w:widowControl/>
              <w:jc w:val="left"/>
            </w:pPr>
            <w:r>
              <w:rPr>
                <w:b w:val="0"/>
                <w:sz w:val="17"/>
              </w:rPr>
              <w:t>0.923</w:t>
            </w:r>
          </w:p>
        </w:tc>
        <w:tc>
          <w:tcPr>
            <w:tcW w:type="dxa" w:w="2041"/>
            <w:vAlign w:val="center"/>
            <w:tcMar>
              <w:top w:w="65" w:type="dxa"/>
              <w:left w:w="65" w:type="dxa"/>
              <w:bottom w:w="65" w:type="dxa"/>
              <w:right w:w="65" w:type="dxa"/>
            </w:tcMar>
          </w:tcPr>
          <w:p>
            <w:pPr>
              <w:pStyle w:val="TableText"/>
              <w:keepNext w:val="0"/>
              <w:widowControl/>
              <w:jc w:val="left"/>
            </w:pPr>
            <w:r>
              <w:rPr>
                <w:b w:val="0"/>
                <w:sz w:val="17"/>
              </w:rPr>
              <w:t>1.84</w:t>
            </w:r>
          </w:p>
        </w:tc>
        <w:tc>
          <w:tcPr>
            <w:tcW w:type="dxa" w:w="1247"/>
            <w:vAlign w:val="center"/>
            <w:tcMar>
              <w:top w:w="65" w:type="dxa"/>
              <w:left w:w="65" w:type="dxa"/>
              <w:bottom w:w="65" w:type="dxa"/>
              <w:right w:w="65" w:type="dxa"/>
            </w:tcMar>
          </w:tcPr>
          <w:p>
            <w:pPr>
              <w:pStyle w:val="TableText"/>
              <w:keepNext w:val="0"/>
              <w:widowControl/>
              <w:jc w:val="left"/>
            </w:pPr>
            <w:r>
              <w:rPr>
                <w:b w:val="0"/>
                <w:sz w:val="17"/>
              </w:rPr>
              <w:t>560</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7"/>
              </w:rPr>
              <w:t>GPT</w:t>
            </w:r>
          </w:p>
        </w:tc>
        <w:tc>
          <w:tcPr>
            <w:tcW w:type="dxa" w:w="680"/>
            <w:vAlign w:val="center"/>
            <w:tcMar>
              <w:top w:w="65" w:type="dxa"/>
              <w:left w:w="65" w:type="dxa"/>
              <w:bottom w:w="65" w:type="dxa"/>
              <w:right w:w="65" w:type="dxa"/>
            </w:tcMar>
          </w:tcPr>
          <w:p>
            <w:pPr>
              <w:pStyle w:val="TableText"/>
              <w:keepNext w:val="0"/>
              <w:widowControl/>
              <w:jc w:val="left"/>
            </w:pPr>
            <w:r>
              <w:rPr>
                <w:b w:val="0"/>
                <w:sz w:val="17"/>
              </w:rPr>
              <w:t>BINF</w:t>
            </w:r>
          </w:p>
        </w:tc>
        <w:tc>
          <w:tcPr>
            <w:tcW w:type="dxa" w:w="1247"/>
            <w:vAlign w:val="center"/>
            <w:tcMar>
              <w:top w:w="65" w:type="dxa"/>
              <w:left w:w="65" w:type="dxa"/>
              <w:bottom w:w="65" w:type="dxa"/>
              <w:right w:w="65" w:type="dxa"/>
            </w:tcMar>
          </w:tcPr>
          <w:p>
            <w:pPr>
              <w:pStyle w:val="TableText"/>
              <w:keepNext w:val="0"/>
              <w:widowControl/>
              <w:jc w:val="left"/>
            </w:pPr>
            <w:r>
              <w:rPr>
                <w:b w:val="0"/>
                <w:sz w:val="17"/>
              </w:rPr>
              <w:t>Baseline</w:t>
            </w:r>
          </w:p>
        </w:tc>
        <w:tc>
          <w:tcPr>
            <w:tcW w:type="dxa" w:w="1928"/>
            <w:vAlign w:val="center"/>
            <w:tcMar>
              <w:top w:w="65" w:type="dxa"/>
              <w:left w:w="65" w:type="dxa"/>
              <w:bottom w:w="65" w:type="dxa"/>
              <w:right w:w="65" w:type="dxa"/>
            </w:tcMar>
          </w:tcPr>
          <w:p>
            <w:pPr>
              <w:pStyle w:val="TableText"/>
              <w:keepNext w:val="0"/>
              <w:widowControl/>
              <w:jc w:val="left"/>
            </w:pPr>
            <w:r>
              <w:rPr>
                <w:b w:val="0"/>
                <w:sz w:val="17"/>
              </w:rPr>
              <w:t>0.919</w:t>
            </w:r>
          </w:p>
        </w:tc>
        <w:tc>
          <w:tcPr>
            <w:tcW w:type="dxa" w:w="2041"/>
            <w:vAlign w:val="center"/>
            <w:tcMar>
              <w:top w:w="65" w:type="dxa"/>
              <w:left w:w="65" w:type="dxa"/>
              <w:bottom w:w="65" w:type="dxa"/>
              <w:right w:w="65" w:type="dxa"/>
            </w:tcMar>
          </w:tcPr>
          <w:p>
            <w:pPr>
              <w:pStyle w:val="TableText"/>
              <w:keepNext w:val="0"/>
              <w:widowControl/>
              <w:jc w:val="left"/>
            </w:pPr>
            <w:r>
              <w:rPr>
                <w:b w:val="0"/>
                <w:sz w:val="17"/>
              </w:rPr>
              <w:t>2.63</w:t>
            </w:r>
          </w:p>
        </w:tc>
        <w:tc>
          <w:tcPr>
            <w:tcW w:type="dxa" w:w="1247"/>
            <w:vAlign w:val="center"/>
            <w:tcMar>
              <w:top w:w="65" w:type="dxa"/>
              <w:left w:w="65" w:type="dxa"/>
              <w:bottom w:w="65" w:type="dxa"/>
              <w:right w:w="65" w:type="dxa"/>
            </w:tcMar>
          </w:tcPr>
          <w:p>
            <w:pPr>
              <w:pStyle w:val="TableText"/>
              <w:keepNext w:val="0"/>
              <w:widowControl/>
              <w:jc w:val="left"/>
            </w:pPr>
            <w:r>
              <w:rPr>
                <w:b w:val="0"/>
                <w:sz w:val="17"/>
              </w:rPr>
              <w:t>419</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7"/>
              </w:rPr>
              <w:t>GPT</w:t>
            </w:r>
          </w:p>
        </w:tc>
        <w:tc>
          <w:tcPr>
            <w:tcW w:type="dxa" w:w="680"/>
            <w:vAlign w:val="center"/>
            <w:tcMar>
              <w:top w:w="65" w:type="dxa"/>
              <w:left w:w="65" w:type="dxa"/>
              <w:bottom w:w="65" w:type="dxa"/>
              <w:right w:w="65" w:type="dxa"/>
            </w:tcMar>
          </w:tcPr>
          <w:p>
            <w:pPr>
              <w:pStyle w:val="TableText"/>
              <w:keepNext w:val="0"/>
              <w:widowControl/>
              <w:jc w:val="left"/>
            </w:pPr>
            <w:r>
              <w:rPr>
                <w:b w:val="0"/>
                <w:sz w:val="17"/>
              </w:rPr>
              <w:t>BINF</w:t>
            </w:r>
          </w:p>
        </w:tc>
        <w:tc>
          <w:tcPr>
            <w:tcW w:type="dxa" w:w="1247"/>
            <w:vAlign w:val="center"/>
            <w:tcMar>
              <w:top w:w="65" w:type="dxa"/>
              <w:left w:w="65" w:type="dxa"/>
              <w:bottom w:w="65" w:type="dxa"/>
              <w:right w:w="65" w:type="dxa"/>
            </w:tcMar>
          </w:tcPr>
          <w:p>
            <w:pPr>
              <w:pStyle w:val="TableText"/>
              <w:keepNext w:val="0"/>
              <w:widowControl/>
              <w:jc w:val="left"/>
            </w:pPr>
            <w:r>
              <w:rPr>
                <w:b w:val="0"/>
                <w:sz w:val="17"/>
              </w:rPr>
              <w:t>High</w:t>
            </w:r>
          </w:p>
        </w:tc>
        <w:tc>
          <w:tcPr>
            <w:tcW w:type="dxa" w:w="1928"/>
            <w:vAlign w:val="center"/>
            <w:tcMar>
              <w:top w:w="65" w:type="dxa"/>
              <w:left w:w="65" w:type="dxa"/>
              <w:bottom w:w="65" w:type="dxa"/>
              <w:right w:w="65" w:type="dxa"/>
            </w:tcMar>
          </w:tcPr>
          <w:p>
            <w:pPr>
              <w:pStyle w:val="TableText"/>
              <w:keepNext w:val="0"/>
              <w:widowControl/>
              <w:jc w:val="left"/>
            </w:pPr>
            <w:r>
              <w:rPr>
                <w:b w:val="0"/>
                <w:sz w:val="17"/>
              </w:rPr>
              <w:t>1.041</w:t>
            </w:r>
          </w:p>
        </w:tc>
        <w:tc>
          <w:tcPr>
            <w:tcW w:type="dxa" w:w="2041"/>
            <w:vAlign w:val="center"/>
            <w:tcMar>
              <w:top w:w="65" w:type="dxa"/>
              <w:left w:w="65" w:type="dxa"/>
              <w:bottom w:w="65" w:type="dxa"/>
              <w:right w:w="65" w:type="dxa"/>
            </w:tcMar>
          </w:tcPr>
          <w:p>
            <w:pPr>
              <w:pStyle w:val="TableText"/>
              <w:keepNext w:val="0"/>
              <w:widowControl/>
              <w:jc w:val="left"/>
            </w:pPr>
            <w:r>
              <w:rPr>
                <w:b w:val="0"/>
                <w:sz w:val="17"/>
              </w:rPr>
              <w:t>1.97</w:t>
            </w:r>
          </w:p>
        </w:tc>
        <w:tc>
          <w:tcPr>
            <w:tcW w:type="dxa" w:w="1247"/>
            <w:vAlign w:val="center"/>
            <w:tcMar>
              <w:top w:w="65" w:type="dxa"/>
              <w:left w:w="65" w:type="dxa"/>
              <w:bottom w:w="65" w:type="dxa"/>
              <w:right w:w="65" w:type="dxa"/>
            </w:tcMar>
          </w:tcPr>
          <w:p>
            <w:pPr>
              <w:pStyle w:val="TableText"/>
              <w:keepNext w:val="0"/>
              <w:widowControl/>
              <w:jc w:val="left"/>
            </w:pPr>
            <w:r>
              <w:rPr>
                <w:b w:val="0"/>
                <w:sz w:val="17"/>
              </w:rPr>
              <w:t>568</w:t>
            </w:r>
          </w:p>
        </w:tc>
      </w:tr>
    </w:tbl>
    <w:p>
      <w:pPr>
        <w:pStyle w:val="SourceNote"/>
        <w:widowControl/>
      </w:pPr>
      <w:r>
        <w:t>자료: Run1/IC-b의 실제 8차원 벡터와 canonical strict mask. ITT 강도는 불용 응답을 0으로 포함한 전체 575개 평균이고, 활성 축 수는 수용된 행동만의 조건부 평균이다. 서로 다른 분모를 구분한다.</w:t>
      </w:r>
    </w:p>
    <w:p>
      <w:pPr>
        <w:widowControl/>
      </w:pPr>
      <w:r>
        <w:t>평균 강도는 사용된 분모에 따라 의미가 달라진다. Strict ITT 강도는 A0 fallback의 0까지 포함하므로, 낮은 값이 반드시 정상 응답에서 모델이 조심스럽게 작은 행동을 선택했음을 뜻하지는 않는다. 반면 수용행동의 활성 차원 수는 오류 없이 수용된 사례에서 얼마나 많은 재무항목을 조합했는지를 나타낸다.</w:t>
      </w:r>
    </w:p>
    <w:p>
      <w:pPr>
        <w:widowControl/>
      </w:pPr>
      <w:r>
        <w:t>이 구분은 Baseline과 High를 비교할 때 특히 중요하다. High에서 ITT 강도가 높아졌다면 정상 행동 자체가 커진 영향과 A0 fallback이 줄어든 영향이 함께 있을 수 있다. 총 예산과 실제 사용 강도를 분리하고, 재무행동의 넓이를 모델의 보편적 우월성으로 바로 해석하지 않는다. 현재 자료로 실행규칙의 역할은 직접 비교할 수 있지만, 각 행동항목의 인과적 기여까지 식별한 것은 아니다.</w:t>
      </w:r>
    </w:p>
    <w:p>
      <w:bookmarkStart w:id="138" w:name="head_101"/>
      <w:pPr>
        <w:pStyle w:val="2"/>
        <w:widowControl/>
      </w:pPr>
      <w:r>
        <w:t>6.3 결정론적 Repair의 복구범위와 정책가치</w:t>
      </w:r>
      <w:bookmarkEnd w:id="138"/>
    </w:p>
    <w:p>
      <w:bookmarkStart w:id="139" w:name="head_102"/>
      <w:pPr>
        <w:pStyle w:val="3"/>
        <w:widowControl/>
      </w:pPr>
      <w:r>
        <w:t>6.3.1 원응답 보존과 정상행동 불변성</w:t>
      </w:r>
      <w:bookmarkEnd w:id="139"/>
    </w:p>
    <w:p>
      <w:bookmarkStart w:id="140" w:name="cap_38"/>
      <w:pPr>
        <w:pStyle w:val="af"/>
        <w:widowControl/>
      </w:pPr>
      <w:r>
        <w:t>표 6-5. Repair 복구와 원래 수용응답의 점수 불변성</w:t>
      </w:r>
      <w:bookmarkEnd w:id="140"/>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794"/>
        <w:gridCol w:w="1247"/>
        <w:gridCol w:w="1587"/>
        <w:gridCol w:w="1531"/>
        <w:gridCol w:w="1361"/>
        <w:gridCol w:w="1417"/>
      </w:tblGrid>
      <w:tr>
        <w:trPr>
          <w:cantSplit/>
          <w:tblHeader/>
        </w:trPr>
        <w:tc>
          <w:tcPr>
            <w:tcW w:type="dxa" w:w="794"/>
            <w:vAlign w:val="center"/>
            <w:shd w:fill="F1F1F1"/>
            <w:tcMar>
              <w:top w:w="65" w:type="dxa"/>
              <w:left w:w="65" w:type="dxa"/>
              <w:bottom w:w="65" w:type="dxa"/>
              <w:right w:w="65" w:type="dxa"/>
            </w:tcMar>
          </w:tcPr>
          <w:p>
            <w:pPr>
              <w:pStyle w:val="TableText"/>
              <w:keepNext/>
              <w:widowControl/>
              <w:jc w:val="center"/>
            </w:pPr>
            <w:r>
              <w:rPr>
                <w:b/>
                <w:sz w:val="17"/>
              </w:rPr>
              <w:t>모델</w:t>
            </w:r>
          </w:p>
        </w:tc>
        <w:tc>
          <w:tcPr>
            <w:tcW w:type="dxa" w:w="1247"/>
            <w:vAlign w:val="center"/>
            <w:shd w:fill="F1F1F1"/>
            <w:tcMar>
              <w:top w:w="65" w:type="dxa"/>
              <w:left w:w="65" w:type="dxa"/>
              <w:bottom w:w="65" w:type="dxa"/>
              <w:right w:w="65" w:type="dxa"/>
            </w:tcMar>
          </w:tcPr>
          <w:p>
            <w:pPr>
              <w:pStyle w:val="TableText"/>
              <w:keepNext/>
              <w:widowControl/>
              <w:jc w:val="center"/>
            </w:pPr>
            <w:r>
              <w:rPr>
                <w:b/>
                <w:sz w:val="17"/>
              </w:rPr>
              <w:t>Regime</w:t>
            </w:r>
          </w:p>
        </w:tc>
        <w:tc>
          <w:tcPr>
            <w:tcW w:type="dxa" w:w="1587"/>
            <w:vAlign w:val="center"/>
            <w:shd w:fill="F1F1F1"/>
            <w:tcMar>
              <w:top w:w="65" w:type="dxa"/>
              <w:left w:w="65" w:type="dxa"/>
              <w:bottom w:w="65" w:type="dxa"/>
              <w:right w:w="65" w:type="dxa"/>
            </w:tcMar>
          </w:tcPr>
          <w:p>
            <w:pPr>
              <w:pStyle w:val="TableText"/>
              <w:keepNext/>
              <w:widowControl/>
              <w:jc w:val="center"/>
            </w:pPr>
            <w:r>
              <w:rPr>
                <w:b/>
                <w:sz w:val="17"/>
              </w:rPr>
              <w:t>Strict 수용</w:t>
            </w:r>
          </w:p>
        </w:tc>
        <w:tc>
          <w:tcPr>
            <w:tcW w:type="dxa" w:w="1531"/>
            <w:vAlign w:val="center"/>
            <w:shd w:fill="F1F1F1"/>
            <w:tcMar>
              <w:top w:w="65" w:type="dxa"/>
              <w:left w:w="65" w:type="dxa"/>
              <w:bottom w:w="65" w:type="dxa"/>
              <w:right w:w="65" w:type="dxa"/>
            </w:tcMar>
          </w:tcPr>
          <w:p>
            <w:pPr>
              <w:pStyle w:val="TableText"/>
              <w:keepNext/>
              <w:widowControl/>
              <w:jc w:val="center"/>
            </w:pPr>
            <w:r>
              <w:rPr>
                <w:b/>
                <w:sz w:val="17"/>
              </w:rPr>
              <w:t>추가 복구</w:t>
            </w:r>
          </w:p>
        </w:tc>
        <w:tc>
          <w:tcPr>
            <w:tcW w:type="dxa" w:w="1361"/>
            <w:vAlign w:val="center"/>
            <w:shd w:fill="F1F1F1"/>
            <w:tcMar>
              <w:top w:w="65" w:type="dxa"/>
              <w:left w:w="65" w:type="dxa"/>
              <w:bottom w:w="65" w:type="dxa"/>
              <w:right w:w="65" w:type="dxa"/>
            </w:tcMar>
          </w:tcPr>
          <w:p>
            <w:pPr>
              <w:pStyle w:val="TableText"/>
              <w:keepNext/>
              <w:widowControl/>
              <w:jc w:val="center"/>
            </w:pPr>
            <w:r>
              <w:rPr>
                <w:b/>
                <w:sz w:val="17"/>
              </w:rPr>
              <w:t>여전히 불용</w:t>
            </w:r>
          </w:p>
        </w:tc>
        <w:tc>
          <w:tcPr>
            <w:tcW w:type="dxa" w:w="1417"/>
            <w:vAlign w:val="center"/>
            <w:shd w:fill="F1F1F1"/>
            <w:tcMar>
              <w:top w:w="65" w:type="dxa"/>
              <w:left w:w="65" w:type="dxa"/>
              <w:bottom w:w="65" w:type="dxa"/>
              <w:right w:w="65" w:type="dxa"/>
            </w:tcMar>
          </w:tcPr>
          <w:p>
            <w:pPr>
              <w:pStyle w:val="TableText"/>
              <w:keepNext/>
              <w:widowControl/>
              <w:jc w:val="center"/>
            </w:pPr>
            <w:r>
              <w:rPr>
                <w:b/>
                <w:sz w:val="17"/>
              </w:rPr>
              <w:t>기존 수용값 변경</w:t>
            </w:r>
          </w:p>
        </w:tc>
      </w:tr>
      <w:tr>
        <w:trPr>
          <w:cantSplit/>
        </w:trPr>
        <w:tc>
          <w:tcPr>
            <w:tcW w:type="dxa" w:w="794"/>
            <w:vAlign w:val="center"/>
            <w:tcMar>
              <w:top w:w="65" w:type="dxa"/>
              <w:left w:w="65" w:type="dxa"/>
              <w:bottom w:w="65" w:type="dxa"/>
              <w:right w:w="65" w:type="dxa"/>
            </w:tcMar>
          </w:tcPr>
          <w:p>
            <w:pPr>
              <w:pStyle w:val="TableText"/>
              <w:keepNext/>
              <w:widowControl/>
              <w:jc w:val="left"/>
            </w:pPr>
            <w:r>
              <w:rPr>
                <w:b w:val="0"/>
                <w:sz w:val="17"/>
              </w:rPr>
              <w:t>Gemini</w:t>
            </w:r>
          </w:p>
        </w:tc>
        <w:tc>
          <w:tcPr>
            <w:tcW w:type="dxa" w:w="1247"/>
            <w:vAlign w:val="center"/>
            <w:tcMar>
              <w:top w:w="65" w:type="dxa"/>
              <w:left w:w="65" w:type="dxa"/>
              <w:bottom w:w="65" w:type="dxa"/>
              <w:right w:w="65" w:type="dxa"/>
            </w:tcMar>
          </w:tcPr>
          <w:p>
            <w:pPr>
              <w:pStyle w:val="TableText"/>
              <w:keepNext/>
              <w:widowControl/>
              <w:jc w:val="left"/>
            </w:pPr>
            <w:r>
              <w:rPr>
                <w:b w:val="0"/>
                <w:sz w:val="17"/>
              </w:rPr>
              <w:t>Baseline</w:t>
            </w:r>
          </w:p>
        </w:tc>
        <w:tc>
          <w:tcPr>
            <w:tcW w:type="dxa" w:w="1587"/>
            <w:vAlign w:val="center"/>
            <w:tcMar>
              <w:top w:w="65" w:type="dxa"/>
              <w:left w:w="65" w:type="dxa"/>
              <w:bottom w:w="65" w:type="dxa"/>
              <w:right w:w="65" w:type="dxa"/>
            </w:tcMar>
          </w:tcPr>
          <w:p>
            <w:pPr>
              <w:pStyle w:val="TableText"/>
              <w:keepNext/>
              <w:widowControl/>
              <w:jc w:val="left"/>
            </w:pPr>
            <w:r>
              <w:rPr>
                <w:b w:val="0"/>
                <w:sz w:val="17"/>
              </w:rPr>
              <w:t>7,259</w:t>
            </w:r>
          </w:p>
        </w:tc>
        <w:tc>
          <w:tcPr>
            <w:tcW w:type="dxa" w:w="1531"/>
            <w:vAlign w:val="center"/>
            <w:tcMar>
              <w:top w:w="65" w:type="dxa"/>
              <w:left w:w="65" w:type="dxa"/>
              <w:bottom w:w="65" w:type="dxa"/>
              <w:right w:w="65" w:type="dxa"/>
            </w:tcMar>
          </w:tcPr>
          <w:p>
            <w:pPr>
              <w:pStyle w:val="TableText"/>
              <w:keepNext/>
              <w:widowControl/>
              <w:jc w:val="left"/>
            </w:pPr>
            <w:r>
              <w:rPr>
                <w:b w:val="0"/>
                <w:sz w:val="17"/>
              </w:rPr>
              <w:t>4,802</w:t>
            </w:r>
          </w:p>
        </w:tc>
        <w:tc>
          <w:tcPr>
            <w:tcW w:type="dxa" w:w="1361"/>
            <w:vAlign w:val="center"/>
            <w:tcMar>
              <w:top w:w="65" w:type="dxa"/>
              <w:left w:w="65" w:type="dxa"/>
              <w:bottom w:w="65" w:type="dxa"/>
              <w:right w:w="65" w:type="dxa"/>
            </w:tcMar>
          </w:tcPr>
          <w:p>
            <w:pPr>
              <w:pStyle w:val="TableText"/>
              <w:keepNext/>
              <w:widowControl/>
              <w:jc w:val="left"/>
            </w:pPr>
            <w:r>
              <w:rPr>
                <w:b w:val="0"/>
                <w:sz w:val="17"/>
              </w:rPr>
              <w:t>14</w:t>
            </w:r>
          </w:p>
        </w:tc>
        <w:tc>
          <w:tcPr>
            <w:tcW w:type="dxa" w:w="1417"/>
            <w:vAlign w:val="center"/>
            <w:tcMar>
              <w:top w:w="65" w:type="dxa"/>
              <w:left w:w="65" w:type="dxa"/>
              <w:bottom w:w="65" w:type="dxa"/>
              <w:right w:w="65" w:type="dxa"/>
            </w:tcMar>
          </w:tcPr>
          <w:p>
            <w:pPr>
              <w:pStyle w:val="TableText"/>
              <w:keepNext/>
              <w:widowControl/>
              <w:jc w:val="left"/>
            </w:pPr>
            <w:r>
              <w:rPr>
                <w:b w:val="0"/>
                <w:sz w:val="17"/>
              </w:rPr>
              <w:t>0</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7"/>
              </w:rPr>
              <w:t>GPT</w:t>
            </w:r>
          </w:p>
        </w:tc>
        <w:tc>
          <w:tcPr>
            <w:tcW w:type="dxa" w:w="1247"/>
            <w:vAlign w:val="center"/>
            <w:tcMar>
              <w:top w:w="65" w:type="dxa"/>
              <w:left w:w="65" w:type="dxa"/>
              <w:bottom w:w="65" w:type="dxa"/>
              <w:right w:w="65" w:type="dxa"/>
            </w:tcMar>
          </w:tcPr>
          <w:p>
            <w:pPr>
              <w:pStyle w:val="TableText"/>
              <w:keepNext w:val="0"/>
              <w:widowControl/>
              <w:jc w:val="left"/>
            </w:pPr>
            <w:r>
              <w:rPr>
                <w:b w:val="0"/>
                <w:sz w:val="17"/>
              </w:rPr>
              <w:t>Baseline</w:t>
            </w:r>
          </w:p>
        </w:tc>
        <w:tc>
          <w:tcPr>
            <w:tcW w:type="dxa" w:w="1587"/>
            <w:vAlign w:val="center"/>
            <w:tcMar>
              <w:top w:w="65" w:type="dxa"/>
              <w:left w:w="65" w:type="dxa"/>
              <w:bottom w:w="65" w:type="dxa"/>
              <w:right w:w="65" w:type="dxa"/>
            </w:tcMar>
          </w:tcPr>
          <w:p>
            <w:pPr>
              <w:pStyle w:val="TableText"/>
              <w:keepNext w:val="0"/>
              <w:widowControl/>
              <w:jc w:val="left"/>
            </w:pPr>
            <w:r>
              <w:rPr>
                <w:b w:val="0"/>
                <w:sz w:val="17"/>
              </w:rPr>
              <w:t>8,765</w:t>
            </w:r>
          </w:p>
        </w:tc>
        <w:tc>
          <w:tcPr>
            <w:tcW w:type="dxa" w:w="1531"/>
            <w:vAlign w:val="center"/>
            <w:tcMar>
              <w:top w:w="65" w:type="dxa"/>
              <w:left w:w="65" w:type="dxa"/>
              <w:bottom w:w="65" w:type="dxa"/>
              <w:right w:w="65" w:type="dxa"/>
            </w:tcMar>
          </w:tcPr>
          <w:p>
            <w:pPr>
              <w:pStyle w:val="TableText"/>
              <w:keepNext w:val="0"/>
              <w:widowControl/>
              <w:jc w:val="left"/>
            </w:pPr>
            <w:r>
              <w:rPr>
                <w:b w:val="0"/>
                <w:sz w:val="17"/>
              </w:rPr>
              <w:t>3,305</w:t>
            </w:r>
          </w:p>
        </w:tc>
        <w:tc>
          <w:tcPr>
            <w:tcW w:type="dxa" w:w="1361"/>
            <w:vAlign w:val="center"/>
            <w:tcMar>
              <w:top w:w="65" w:type="dxa"/>
              <w:left w:w="65" w:type="dxa"/>
              <w:bottom w:w="65" w:type="dxa"/>
              <w:right w:w="65" w:type="dxa"/>
            </w:tcMar>
          </w:tcPr>
          <w:p>
            <w:pPr>
              <w:pStyle w:val="TableText"/>
              <w:keepNext w:val="0"/>
              <w:widowControl/>
              <w:jc w:val="left"/>
            </w:pPr>
            <w:r>
              <w:rPr>
                <w:b w:val="0"/>
                <w:sz w:val="17"/>
              </w:rPr>
              <w:t>5</w:t>
            </w:r>
          </w:p>
        </w:tc>
        <w:tc>
          <w:tcPr>
            <w:tcW w:type="dxa" w:w="1417"/>
            <w:vAlign w:val="center"/>
            <w:tcMar>
              <w:top w:w="65" w:type="dxa"/>
              <w:left w:w="65" w:type="dxa"/>
              <w:bottom w:w="65" w:type="dxa"/>
              <w:right w:w="65" w:type="dxa"/>
            </w:tcMar>
          </w:tcPr>
          <w:p>
            <w:pPr>
              <w:pStyle w:val="TableText"/>
              <w:keepNext w:val="0"/>
              <w:widowControl/>
              <w:jc w:val="left"/>
            </w:pPr>
            <w:r>
              <w:rPr>
                <w:b w:val="0"/>
                <w:sz w:val="17"/>
              </w:rPr>
              <w:t>0</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7"/>
              </w:rPr>
              <w:t>Gemini</w:t>
            </w:r>
          </w:p>
        </w:tc>
        <w:tc>
          <w:tcPr>
            <w:tcW w:type="dxa" w:w="1247"/>
            <w:vAlign w:val="center"/>
            <w:tcMar>
              <w:top w:w="65" w:type="dxa"/>
              <w:left w:w="65" w:type="dxa"/>
              <w:bottom w:w="65" w:type="dxa"/>
              <w:right w:w="65" w:type="dxa"/>
            </w:tcMar>
          </w:tcPr>
          <w:p>
            <w:pPr>
              <w:pStyle w:val="TableText"/>
              <w:keepNext w:val="0"/>
              <w:widowControl/>
              <w:jc w:val="left"/>
            </w:pPr>
            <w:r>
              <w:rPr>
                <w:b w:val="0"/>
                <w:sz w:val="17"/>
              </w:rPr>
              <w:t>High</w:t>
            </w:r>
          </w:p>
        </w:tc>
        <w:tc>
          <w:tcPr>
            <w:tcW w:type="dxa" w:w="1587"/>
            <w:vAlign w:val="center"/>
            <w:tcMar>
              <w:top w:w="65" w:type="dxa"/>
              <w:left w:w="65" w:type="dxa"/>
              <w:bottom w:w="65" w:type="dxa"/>
              <w:right w:w="65" w:type="dxa"/>
            </w:tcMar>
          </w:tcPr>
          <w:p>
            <w:pPr>
              <w:pStyle w:val="TableText"/>
              <w:keepNext w:val="0"/>
              <w:widowControl/>
              <w:jc w:val="left"/>
            </w:pPr>
            <w:r>
              <w:rPr>
                <w:b w:val="0"/>
                <w:sz w:val="17"/>
              </w:rPr>
              <w:t>11,996</w:t>
            </w:r>
          </w:p>
        </w:tc>
        <w:tc>
          <w:tcPr>
            <w:tcW w:type="dxa" w:w="1531"/>
            <w:vAlign w:val="center"/>
            <w:tcMar>
              <w:top w:w="65" w:type="dxa"/>
              <w:left w:w="65" w:type="dxa"/>
              <w:bottom w:w="65" w:type="dxa"/>
              <w:right w:w="65" w:type="dxa"/>
            </w:tcMar>
          </w:tcPr>
          <w:p>
            <w:pPr>
              <w:pStyle w:val="TableText"/>
              <w:keepNext w:val="0"/>
              <w:widowControl/>
              <w:jc w:val="left"/>
            </w:pPr>
            <w:r>
              <w:rPr>
                <w:b w:val="0"/>
                <w:sz w:val="17"/>
              </w:rPr>
              <w:t>78</w:t>
            </w:r>
          </w:p>
        </w:tc>
        <w:tc>
          <w:tcPr>
            <w:tcW w:type="dxa" w:w="1361"/>
            <w:vAlign w:val="center"/>
            <w:tcMar>
              <w:top w:w="65" w:type="dxa"/>
              <w:left w:w="65" w:type="dxa"/>
              <w:bottom w:w="65" w:type="dxa"/>
              <w:right w:w="65" w:type="dxa"/>
            </w:tcMar>
          </w:tcPr>
          <w:p>
            <w:pPr>
              <w:pStyle w:val="TableText"/>
              <w:keepNext w:val="0"/>
              <w:widowControl/>
              <w:jc w:val="left"/>
            </w:pPr>
            <w:r>
              <w:rPr>
                <w:b w:val="0"/>
                <w:sz w:val="17"/>
              </w:rPr>
              <w:t>1</w:t>
            </w:r>
          </w:p>
        </w:tc>
        <w:tc>
          <w:tcPr>
            <w:tcW w:type="dxa" w:w="1417"/>
            <w:vAlign w:val="center"/>
            <w:tcMar>
              <w:top w:w="65" w:type="dxa"/>
              <w:left w:w="65" w:type="dxa"/>
              <w:bottom w:w="65" w:type="dxa"/>
              <w:right w:w="65" w:type="dxa"/>
            </w:tcMar>
          </w:tcPr>
          <w:p>
            <w:pPr>
              <w:pStyle w:val="TableText"/>
              <w:keepNext w:val="0"/>
              <w:widowControl/>
              <w:jc w:val="left"/>
            </w:pPr>
            <w:r>
              <w:rPr>
                <w:b w:val="0"/>
                <w:sz w:val="17"/>
              </w:rPr>
              <w:t>0</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7"/>
              </w:rPr>
              <w:t>GPT</w:t>
            </w:r>
          </w:p>
        </w:tc>
        <w:tc>
          <w:tcPr>
            <w:tcW w:type="dxa" w:w="1247"/>
            <w:vAlign w:val="center"/>
            <w:tcMar>
              <w:top w:w="65" w:type="dxa"/>
              <w:left w:w="65" w:type="dxa"/>
              <w:bottom w:w="65" w:type="dxa"/>
              <w:right w:w="65" w:type="dxa"/>
            </w:tcMar>
          </w:tcPr>
          <w:p>
            <w:pPr>
              <w:pStyle w:val="TableText"/>
              <w:keepNext w:val="0"/>
              <w:widowControl/>
              <w:jc w:val="left"/>
            </w:pPr>
            <w:r>
              <w:rPr>
                <w:b w:val="0"/>
                <w:sz w:val="17"/>
              </w:rPr>
              <w:t>High</w:t>
            </w:r>
          </w:p>
        </w:tc>
        <w:tc>
          <w:tcPr>
            <w:tcW w:type="dxa" w:w="1587"/>
            <w:vAlign w:val="center"/>
            <w:tcMar>
              <w:top w:w="65" w:type="dxa"/>
              <w:left w:w="65" w:type="dxa"/>
              <w:bottom w:w="65" w:type="dxa"/>
              <w:right w:w="65" w:type="dxa"/>
            </w:tcMar>
          </w:tcPr>
          <w:p>
            <w:pPr>
              <w:pStyle w:val="TableText"/>
              <w:keepNext w:val="0"/>
              <w:widowControl/>
              <w:jc w:val="left"/>
            </w:pPr>
            <w:r>
              <w:rPr>
                <w:b w:val="0"/>
                <w:sz w:val="17"/>
              </w:rPr>
              <w:t>11,904</w:t>
            </w:r>
          </w:p>
        </w:tc>
        <w:tc>
          <w:tcPr>
            <w:tcW w:type="dxa" w:w="1531"/>
            <w:vAlign w:val="center"/>
            <w:tcMar>
              <w:top w:w="65" w:type="dxa"/>
              <w:left w:w="65" w:type="dxa"/>
              <w:bottom w:w="65" w:type="dxa"/>
              <w:right w:w="65" w:type="dxa"/>
            </w:tcMar>
          </w:tcPr>
          <w:p>
            <w:pPr>
              <w:pStyle w:val="TableText"/>
              <w:keepNext w:val="0"/>
              <w:widowControl/>
              <w:jc w:val="left"/>
            </w:pPr>
            <w:r>
              <w:rPr>
                <w:b w:val="0"/>
                <w:sz w:val="17"/>
              </w:rPr>
              <w:t>170</w:t>
            </w:r>
          </w:p>
        </w:tc>
        <w:tc>
          <w:tcPr>
            <w:tcW w:type="dxa" w:w="1361"/>
            <w:vAlign w:val="center"/>
            <w:tcMar>
              <w:top w:w="65" w:type="dxa"/>
              <w:left w:w="65" w:type="dxa"/>
              <w:bottom w:w="65" w:type="dxa"/>
              <w:right w:w="65" w:type="dxa"/>
            </w:tcMar>
          </w:tcPr>
          <w:p>
            <w:pPr>
              <w:pStyle w:val="TableText"/>
              <w:keepNext w:val="0"/>
              <w:widowControl/>
              <w:jc w:val="left"/>
            </w:pPr>
            <w:r>
              <w:rPr>
                <w:b w:val="0"/>
                <w:sz w:val="17"/>
              </w:rPr>
              <w:t>1</w:t>
            </w:r>
          </w:p>
        </w:tc>
        <w:tc>
          <w:tcPr>
            <w:tcW w:type="dxa" w:w="1417"/>
            <w:vAlign w:val="center"/>
            <w:tcMar>
              <w:top w:w="65" w:type="dxa"/>
              <w:left w:w="65" w:type="dxa"/>
              <w:bottom w:w="65" w:type="dxa"/>
              <w:right w:w="65" w:type="dxa"/>
            </w:tcMar>
          </w:tcPr>
          <w:p>
            <w:pPr>
              <w:pStyle w:val="TableText"/>
              <w:keepNext w:val="0"/>
              <w:widowControl/>
              <w:jc w:val="left"/>
            </w:pPr>
            <w:r>
              <w:rPr>
                <w:b w:val="0"/>
                <w:sz w:val="17"/>
              </w:rPr>
              <w:t>0</w:t>
            </w:r>
          </w:p>
        </w:tc>
      </w:tr>
    </w:tbl>
    <w:p>
      <w:pPr>
        <w:pStyle w:val="SourceNote"/>
        <w:widowControl/>
      </w:pPr>
      <w:r>
        <w:t>자료: 두 Run을 포함한 모델·regime별 12,075개 요청을 원 요청키로 연결. 마지막 열은 원래 strict usable인 응답의 Oracle-α 값이 바뀐 건수이며 최대 절대변화도 모든 집합에서 0이다.</w:t>
      </w:r>
    </w:p>
    <w:p>
      <w:pPr>
        <w:widowControl/>
      </w:pPr>
      <w:r>
        <w:t>Baseline에서는 Gemini 4,802건, GPT 3,305건이 Repair 후 추가로 수용 가능해졌다. High에서는 이미 수용률이 높아 추가 복구가 각각 78건과 170건이다. 원래 strict usable이던 응답의 α 점수는 모두 그대로였다. 이 결과는 정상 응답을 더 유리한 행동으로 바꾸어 평균을 끌어올린 것이 아니라, 불용 출력의 처리규칙 변화가 주된 분석대상임을 확인한다.</w:t>
      </w:r>
    </w:p>
    <w:p>
      <w:pPr>
        <w:widowControl/>
      </w:pPr>
      <w:r>
        <w:t>하지만 복구된 수가 많다고 모든 응답의 의도를 정확하게 복원했다고 말할 수 없다. 동일한 원문에 같은 규칙을 적용해 재현 가능한 행동을 얻었다는 것과, 그 행동이 원래 모델이 생각한 최선의 판단이었다는 것은 다르다. 특히 예산 rescale은 원래 제안의 크기를 바꾸고 중복 key의 last-write-wins는 가능한 여러 값 가운데 하나를 선택한다. 복구율은 해당 규칙으로 평가 가능한 산출물을 얻은 비율이다.</w:t>
      </w:r>
    </w:p>
    <w:p>
      <w:bookmarkStart w:id="141" w:name="head_103"/>
      <w:pPr>
        <w:pStyle w:val="3"/>
        <w:widowControl/>
      </w:pPr>
      <w:r>
        <w:t>6.3.2 네 실행조합의 정책가치</w:t>
      </w:r>
      <w:bookmarkEnd w:id="141"/>
    </w:p>
    <w:p>
      <w:bookmarkStart w:id="142" w:name="cap_39"/>
      <w:pPr>
        <w:pStyle w:val="af"/>
        <w:widowControl/>
      </w:pPr>
      <w:r>
        <w:t>표 6-6. Gemini 3.1 Flash-Lite의 생성·실행 조합별 A0 대비 가치</w:t>
      </w:r>
      <w:bookmarkEnd w:id="142"/>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680"/>
        <w:gridCol w:w="1020"/>
        <w:gridCol w:w="1559"/>
        <w:gridCol w:w="1559"/>
        <w:gridCol w:w="1559"/>
        <w:gridCol w:w="1559"/>
      </w:tblGrid>
      <w:tr>
        <w:trPr>
          <w:cantSplit/>
          <w:tblHeader/>
        </w:trPr>
        <w:tc>
          <w:tcPr>
            <w:tcW w:type="dxa" w:w="680"/>
            <w:vAlign w:val="center"/>
            <w:shd w:fill="F1F1F1"/>
            <w:tcMar>
              <w:top w:w="65" w:type="dxa"/>
              <w:left w:w="65" w:type="dxa"/>
              <w:bottom w:w="65" w:type="dxa"/>
              <w:right w:w="65" w:type="dxa"/>
            </w:tcMar>
          </w:tcPr>
          <w:p>
            <w:pPr>
              <w:pStyle w:val="TableText"/>
              <w:keepNext/>
              <w:widowControl/>
              <w:jc w:val="center"/>
            </w:pPr>
            <w:r>
              <w:rPr>
                <w:b/>
                <w:sz w:val="17"/>
              </w:rPr>
              <w:t>예산</w:t>
            </w:r>
          </w:p>
        </w:tc>
        <w:tc>
          <w:tcPr>
            <w:tcW w:type="dxa" w:w="1020"/>
            <w:vAlign w:val="center"/>
            <w:shd w:fill="F1F1F1"/>
            <w:tcMar>
              <w:top w:w="65" w:type="dxa"/>
              <w:left w:w="65" w:type="dxa"/>
              <w:bottom w:w="65" w:type="dxa"/>
              <w:right w:w="65" w:type="dxa"/>
            </w:tcMar>
          </w:tcPr>
          <w:p>
            <w:pPr>
              <w:pStyle w:val="TableText"/>
              <w:keepNext/>
              <w:widowControl/>
              <w:jc w:val="center"/>
            </w:pPr>
            <w:r>
              <w:rPr>
                <w:b/>
                <w:sz w:val="17"/>
              </w:rPr>
              <w:t>정책</w:t>
            </w:r>
          </w:p>
        </w:tc>
        <w:tc>
          <w:tcPr>
            <w:tcW w:type="dxa" w:w="1559"/>
            <w:vAlign w:val="center"/>
            <w:shd w:fill="F1F1F1"/>
            <w:tcMar>
              <w:top w:w="65" w:type="dxa"/>
              <w:left w:w="65" w:type="dxa"/>
              <w:bottom w:w="65" w:type="dxa"/>
              <w:right w:w="65" w:type="dxa"/>
            </w:tcMar>
          </w:tcPr>
          <w:p>
            <w:pPr>
              <w:pStyle w:val="TableText"/>
              <w:keepNext/>
              <w:widowControl/>
              <w:jc w:val="center"/>
            </w:pPr>
            <w:r>
              <w:rPr>
                <w:b/>
                <w:sz w:val="17"/>
              </w:rPr>
              <w:t>Base Strict</w:t>
            </w:r>
          </w:p>
        </w:tc>
        <w:tc>
          <w:tcPr>
            <w:tcW w:type="dxa" w:w="1559"/>
            <w:vAlign w:val="center"/>
            <w:shd w:fill="F1F1F1"/>
            <w:tcMar>
              <w:top w:w="65" w:type="dxa"/>
              <w:left w:w="65" w:type="dxa"/>
              <w:bottom w:w="65" w:type="dxa"/>
              <w:right w:w="65" w:type="dxa"/>
            </w:tcMar>
          </w:tcPr>
          <w:p>
            <w:pPr>
              <w:pStyle w:val="TableText"/>
              <w:keepNext/>
              <w:widowControl/>
              <w:jc w:val="center"/>
            </w:pPr>
            <w:r>
              <w:rPr>
                <w:b/>
                <w:sz w:val="17"/>
              </w:rPr>
              <w:t>Base Repair</w:t>
            </w:r>
          </w:p>
        </w:tc>
        <w:tc>
          <w:tcPr>
            <w:tcW w:type="dxa" w:w="1559"/>
            <w:vAlign w:val="center"/>
            <w:shd w:fill="F1F1F1"/>
            <w:tcMar>
              <w:top w:w="65" w:type="dxa"/>
              <w:left w:w="65" w:type="dxa"/>
              <w:bottom w:w="65" w:type="dxa"/>
              <w:right w:w="65" w:type="dxa"/>
            </w:tcMar>
          </w:tcPr>
          <w:p>
            <w:pPr>
              <w:pStyle w:val="TableText"/>
              <w:keepNext/>
              <w:widowControl/>
              <w:jc w:val="center"/>
            </w:pPr>
            <w:r>
              <w:rPr>
                <w:b/>
                <w:sz w:val="17"/>
              </w:rPr>
              <w:t>High Strict</w:t>
            </w:r>
          </w:p>
        </w:tc>
        <w:tc>
          <w:tcPr>
            <w:tcW w:type="dxa" w:w="1559"/>
            <w:vAlign w:val="center"/>
            <w:shd w:fill="F1F1F1"/>
            <w:tcMar>
              <w:top w:w="65" w:type="dxa"/>
              <w:left w:w="65" w:type="dxa"/>
              <w:bottom w:w="65" w:type="dxa"/>
              <w:right w:w="65" w:type="dxa"/>
            </w:tcMar>
          </w:tcPr>
          <w:p>
            <w:pPr>
              <w:pStyle w:val="TableText"/>
              <w:keepNext/>
              <w:widowControl/>
              <w:jc w:val="center"/>
            </w:pPr>
            <w:r>
              <w:rPr>
                <w:b/>
                <w:sz w:val="17"/>
              </w:rPr>
              <w:t>High Repair</w:t>
            </w:r>
          </w:p>
        </w:tc>
      </w:tr>
      <w:tr>
        <w:trPr>
          <w:cantSplit/>
        </w:trPr>
        <w:tc>
          <w:tcPr>
            <w:tcW w:type="dxa" w:w="680"/>
            <w:vAlign w:val="center"/>
            <w:tcMar>
              <w:top w:w="65" w:type="dxa"/>
              <w:left w:w="65" w:type="dxa"/>
              <w:bottom w:w="65" w:type="dxa"/>
              <w:right w:w="65" w:type="dxa"/>
            </w:tcMar>
          </w:tcPr>
          <w:p>
            <w:pPr>
              <w:pStyle w:val="TableText"/>
              <w:keepNext/>
              <w:widowControl/>
              <w:jc w:val="left"/>
            </w:pPr>
            <w:r>
              <w:rPr>
                <w:b w:val="0"/>
                <w:sz w:val="17"/>
              </w:rPr>
              <w:t>B1</w:t>
            </w:r>
          </w:p>
        </w:tc>
        <w:tc>
          <w:tcPr>
            <w:tcW w:type="dxa" w:w="1020"/>
            <w:vAlign w:val="center"/>
            <w:tcMar>
              <w:top w:w="65" w:type="dxa"/>
              <w:left w:w="65" w:type="dxa"/>
              <w:bottom w:w="65" w:type="dxa"/>
              <w:right w:w="65" w:type="dxa"/>
            </w:tcMar>
          </w:tcPr>
          <w:p>
            <w:pPr>
              <w:pStyle w:val="TableText"/>
              <w:keepNext/>
              <w:widowControl/>
              <w:jc w:val="left"/>
            </w:pPr>
            <w:r>
              <w:rPr>
                <w:b w:val="0"/>
                <w:sz w:val="17"/>
              </w:rPr>
              <w:t>C4</w:t>
            </w:r>
          </w:p>
        </w:tc>
        <w:tc>
          <w:tcPr>
            <w:tcW w:type="dxa" w:w="1559"/>
            <w:vAlign w:val="center"/>
            <w:tcMar>
              <w:top w:w="65" w:type="dxa"/>
              <w:left w:w="65" w:type="dxa"/>
              <w:bottom w:w="65" w:type="dxa"/>
              <w:right w:w="65" w:type="dxa"/>
            </w:tcMar>
          </w:tcPr>
          <w:p>
            <w:pPr>
              <w:pStyle w:val="TableText"/>
              <w:keepNext/>
              <w:widowControl/>
              <w:jc w:val="left"/>
            </w:pPr>
            <w:r>
              <w:rPr>
                <w:b w:val="0"/>
                <w:sz w:val="17"/>
              </w:rPr>
              <w:t>+0.1470</w:t>
            </w:r>
          </w:p>
        </w:tc>
        <w:tc>
          <w:tcPr>
            <w:tcW w:type="dxa" w:w="1559"/>
            <w:vAlign w:val="center"/>
            <w:tcMar>
              <w:top w:w="65" w:type="dxa"/>
              <w:left w:w="65" w:type="dxa"/>
              <w:bottom w:w="65" w:type="dxa"/>
              <w:right w:w="65" w:type="dxa"/>
            </w:tcMar>
          </w:tcPr>
          <w:p>
            <w:pPr>
              <w:pStyle w:val="TableText"/>
              <w:keepNext/>
              <w:widowControl/>
              <w:jc w:val="left"/>
            </w:pPr>
            <w:r>
              <w:rPr>
                <w:b w:val="0"/>
                <w:sz w:val="17"/>
              </w:rPr>
              <w:t>+0.7662</w:t>
            </w:r>
          </w:p>
        </w:tc>
        <w:tc>
          <w:tcPr>
            <w:tcW w:type="dxa" w:w="1559"/>
            <w:vAlign w:val="center"/>
            <w:tcMar>
              <w:top w:w="65" w:type="dxa"/>
              <w:left w:w="65" w:type="dxa"/>
              <w:bottom w:w="65" w:type="dxa"/>
              <w:right w:w="65" w:type="dxa"/>
            </w:tcMar>
          </w:tcPr>
          <w:p>
            <w:pPr>
              <w:pStyle w:val="TableText"/>
              <w:keepNext/>
              <w:widowControl/>
              <w:jc w:val="left"/>
            </w:pPr>
            <w:r>
              <w:rPr>
                <w:b w:val="0"/>
                <w:sz w:val="17"/>
              </w:rPr>
              <w:t>+0.8052</w:t>
            </w:r>
          </w:p>
        </w:tc>
        <w:tc>
          <w:tcPr>
            <w:tcW w:type="dxa" w:w="1559"/>
            <w:vAlign w:val="center"/>
            <w:tcMar>
              <w:top w:w="65" w:type="dxa"/>
              <w:left w:w="65" w:type="dxa"/>
              <w:bottom w:w="65" w:type="dxa"/>
              <w:right w:w="65" w:type="dxa"/>
            </w:tcMar>
          </w:tcPr>
          <w:p>
            <w:pPr>
              <w:pStyle w:val="TableText"/>
              <w:keepNext/>
              <w:widowControl/>
              <w:jc w:val="left"/>
            </w:pPr>
            <w:r>
              <w:rPr>
                <w:b w:val="0"/>
                <w:sz w:val="17"/>
              </w:rPr>
              <w:t>+0.8169</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7"/>
              </w:rPr>
              <w:t>B1</w:t>
            </w:r>
          </w:p>
        </w:tc>
        <w:tc>
          <w:tcPr>
            <w:tcW w:type="dxa" w:w="1020"/>
            <w:vAlign w:val="center"/>
            <w:tcMar>
              <w:top w:w="65" w:type="dxa"/>
              <w:left w:w="65" w:type="dxa"/>
              <w:bottom w:w="65" w:type="dxa"/>
              <w:right w:w="65" w:type="dxa"/>
            </w:tcMar>
          </w:tcPr>
          <w:p>
            <w:pPr>
              <w:pStyle w:val="TableText"/>
              <w:keepNext w:val="0"/>
              <w:widowControl/>
              <w:jc w:val="left"/>
            </w:pPr>
            <w:r>
              <w:rPr>
                <w:b w:val="0"/>
                <w:sz w:val="17"/>
              </w:rPr>
              <w:t>C4R</w:t>
            </w:r>
          </w:p>
        </w:tc>
        <w:tc>
          <w:tcPr>
            <w:tcW w:type="dxa" w:w="1559"/>
            <w:vAlign w:val="center"/>
            <w:tcMar>
              <w:top w:w="65" w:type="dxa"/>
              <w:left w:w="65" w:type="dxa"/>
              <w:bottom w:w="65" w:type="dxa"/>
              <w:right w:w="65" w:type="dxa"/>
            </w:tcMar>
          </w:tcPr>
          <w:p>
            <w:pPr>
              <w:pStyle w:val="TableText"/>
              <w:keepNext w:val="0"/>
              <w:widowControl/>
              <w:jc w:val="left"/>
            </w:pPr>
            <w:r>
              <w:rPr>
                <w:b w:val="0"/>
                <w:sz w:val="17"/>
              </w:rPr>
              <w:t>+0.1447</w:t>
            </w:r>
          </w:p>
        </w:tc>
        <w:tc>
          <w:tcPr>
            <w:tcW w:type="dxa" w:w="1559"/>
            <w:vAlign w:val="center"/>
            <w:tcMar>
              <w:top w:w="65" w:type="dxa"/>
              <w:left w:w="65" w:type="dxa"/>
              <w:bottom w:w="65" w:type="dxa"/>
              <w:right w:w="65" w:type="dxa"/>
            </w:tcMar>
          </w:tcPr>
          <w:p>
            <w:pPr>
              <w:pStyle w:val="TableText"/>
              <w:keepNext w:val="0"/>
              <w:widowControl/>
              <w:jc w:val="left"/>
            </w:pPr>
            <w:r>
              <w:rPr>
                <w:b w:val="0"/>
                <w:sz w:val="17"/>
              </w:rPr>
              <w:t>+0.7554</w:t>
            </w:r>
          </w:p>
        </w:tc>
        <w:tc>
          <w:tcPr>
            <w:tcW w:type="dxa" w:w="1559"/>
            <w:vAlign w:val="center"/>
            <w:tcMar>
              <w:top w:w="65" w:type="dxa"/>
              <w:left w:w="65" w:type="dxa"/>
              <w:bottom w:w="65" w:type="dxa"/>
              <w:right w:w="65" w:type="dxa"/>
            </w:tcMar>
          </w:tcPr>
          <w:p>
            <w:pPr>
              <w:pStyle w:val="TableText"/>
              <w:keepNext w:val="0"/>
              <w:widowControl/>
              <w:jc w:val="left"/>
            </w:pPr>
            <w:r>
              <w:rPr>
                <w:b w:val="0"/>
                <w:sz w:val="17"/>
              </w:rPr>
              <w:t>+0.7950</w:t>
            </w:r>
          </w:p>
        </w:tc>
        <w:tc>
          <w:tcPr>
            <w:tcW w:type="dxa" w:w="1559"/>
            <w:vAlign w:val="center"/>
            <w:tcMar>
              <w:top w:w="65" w:type="dxa"/>
              <w:left w:w="65" w:type="dxa"/>
              <w:bottom w:w="65" w:type="dxa"/>
              <w:right w:w="65" w:type="dxa"/>
            </w:tcMar>
          </w:tcPr>
          <w:p>
            <w:pPr>
              <w:pStyle w:val="TableText"/>
              <w:keepNext w:val="0"/>
              <w:widowControl/>
              <w:jc w:val="left"/>
            </w:pPr>
            <w:r>
              <w:rPr>
                <w:b w:val="0"/>
                <w:sz w:val="17"/>
              </w:rPr>
              <w:t>+0.8172</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7"/>
              </w:rPr>
              <w:t>B1</w:t>
            </w:r>
          </w:p>
        </w:tc>
        <w:tc>
          <w:tcPr>
            <w:tcW w:type="dxa" w:w="1020"/>
            <w:vAlign w:val="center"/>
            <w:tcMar>
              <w:top w:w="65" w:type="dxa"/>
              <w:left w:w="65" w:type="dxa"/>
              <w:bottom w:w="65" w:type="dxa"/>
              <w:right w:w="65" w:type="dxa"/>
            </w:tcMar>
          </w:tcPr>
          <w:p>
            <w:pPr>
              <w:pStyle w:val="TableText"/>
              <w:keepNext w:val="0"/>
              <w:widowControl/>
              <w:jc w:val="left"/>
            </w:pPr>
            <w:r>
              <w:rPr>
                <w:b w:val="0"/>
                <w:sz w:val="17"/>
              </w:rPr>
              <w:t>C5</w:t>
            </w:r>
          </w:p>
        </w:tc>
        <w:tc>
          <w:tcPr>
            <w:tcW w:type="dxa" w:w="1559"/>
            <w:vAlign w:val="center"/>
            <w:tcMar>
              <w:top w:w="65" w:type="dxa"/>
              <w:left w:w="65" w:type="dxa"/>
              <w:bottom w:w="65" w:type="dxa"/>
              <w:right w:w="65" w:type="dxa"/>
            </w:tcMar>
          </w:tcPr>
          <w:p>
            <w:pPr>
              <w:pStyle w:val="TableText"/>
              <w:keepNext w:val="0"/>
              <w:widowControl/>
              <w:jc w:val="left"/>
            </w:pPr>
            <w:r>
              <w:rPr>
                <w:b w:val="0"/>
                <w:sz w:val="17"/>
              </w:rPr>
              <w:t>+0.2623</w:t>
            </w:r>
          </w:p>
        </w:tc>
        <w:tc>
          <w:tcPr>
            <w:tcW w:type="dxa" w:w="1559"/>
            <w:vAlign w:val="center"/>
            <w:tcMar>
              <w:top w:w="65" w:type="dxa"/>
              <w:left w:w="65" w:type="dxa"/>
              <w:bottom w:w="65" w:type="dxa"/>
              <w:right w:w="65" w:type="dxa"/>
            </w:tcMar>
          </w:tcPr>
          <w:p>
            <w:pPr>
              <w:pStyle w:val="TableText"/>
              <w:keepNext w:val="0"/>
              <w:widowControl/>
              <w:jc w:val="left"/>
            </w:pPr>
            <w:r>
              <w:rPr>
                <w:b w:val="0"/>
                <w:sz w:val="17"/>
              </w:rPr>
              <w:t>+0.8264</w:t>
            </w:r>
          </w:p>
        </w:tc>
        <w:tc>
          <w:tcPr>
            <w:tcW w:type="dxa" w:w="1559"/>
            <w:vAlign w:val="center"/>
            <w:tcMar>
              <w:top w:w="65" w:type="dxa"/>
              <w:left w:w="65" w:type="dxa"/>
              <w:bottom w:w="65" w:type="dxa"/>
              <w:right w:w="65" w:type="dxa"/>
            </w:tcMar>
          </w:tcPr>
          <w:p>
            <w:pPr>
              <w:pStyle w:val="TableText"/>
              <w:keepNext w:val="0"/>
              <w:widowControl/>
              <w:jc w:val="left"/>
            </w:pPr>
            <w:r>
              <w:rPr>
                <w:b w:val="0"/>
                <w:sz w:val="17"/>
              </w:rPr>
              <w:t>+0.8700</w:t>
            </w:r>
          </w:p>
        </w:tc>
        <w:tc>
          <w:tcPr>
            <w:tcW w:type="dxa" w:w="1559"/>
            <w:vAlign w:val="center"/>
            <w:tcMar>
              <w:top w:w="65" w:type="dxa"/>
              <w:left w:w="65" w:type="dxa"/>
              <w:bottom w:w="65" w:type="dxa"/>
              <w:right w:w="65" w:type="dxa"/>
            </w:tcMar>
          </w:tcPr>
          <w:p>
            <w:pPr>
              <w:pStyle w:val="TableText"/>
              <w:keepNext w:val="0"/>
              <w:widowControl/>
              <w:jc w:val="left"/>
            </w:pPr>
            <w:r>
              <w:rPr>
                <w:b w:val="0"/>
                <w:sz w:val="17"/>
              </w:rPr>
              <w:t>+0.8794</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7"/>
              </w:rPr>
              <w:t>B1</w:t>
            </w:r>
          </w:p>
        </w:tc>
        <w:tc>
          <w:tcPr>
            <w:tcW w:type="dxa" w:w="1020"/>
            <w:vAlign w:val="center"/>
            <w:tcMar>
              <w:top w:w="65" w:type="dxa"/>
              <w:left w:w="65" w:type="dxa"/>
              <w:bottom w:w="65" w:type="dxa"/>
              <w:right w:w="65" w:type="dxa"/>
            </w:tcMar>
          </w:tcPr>
          <w:p>
            <w:pPr>
              <w:pStyle w:val="TableText"/>
              <w:keepNext w:val="0"/>
              <w:widowControl/>
              <w:jc w:val="left"/>
            </w:pPr>
            <w:r>
              <w:rPr>
                <w:b w:val="0"/>
                <w:sz w:val="17"/>
              </w:rPr>
              <w:t>C6-E</w:t>
            </w:r>
          </w:p>
        </w:tc>
        <w:tc>
          <w:tcPr>
            <w:tcW w:type="dxa" w:w="1559"/>
            <w:vAlign w:val="center"/>
            <w:tcMar>
              <w:top w:w="65" w:type="dxa"/>
              <w:left w:w="65" w:type="dxa"/>
              <w:bottom w:w="65" w:type="dxa"/>
              <w:right w:w="65" w:type="dxa"/>
            </w:tcMar>
          </w:tcPr>
          <w:p>
            <w:pPr>
              <w:pStyle w:val="TableText"/>
              <w:keepNext w:val="0"/>
              <w:widowControl/>
              <w:jc w:val="left"/>
            </w:pPr>
            <w:r>
              <w:rPr>
                <w:b w:val="0"/>
                <w:sz w:val="17"/>
              </w:rPr>
              <w:t>+0.1667</w:t>
            </w:r>
          </w:p>
        </w:tc>
        <w:tc>
          <w:tcPr>
            <w:tcW w:type="dxa" w:w="1559"/>
            <w:vAlign w:val="center"/>
            <w:tcMar>
              <w:top w:w="65" w:type="dxa"/>
              <w:left w:w="65" w:type="dxa"/>
              <w:bottom w:w="65" w:type="dxa"/>
              <w:right w:w="65" w:type="dxa"/>
            </w:tcMar>
          </w:tcPr>
          <w:p>
            <w:pPr>
              <w:pStyle w:val="TableText"/>
              <w:keepNext w:val="0"/>
              <w:widowControl/>
              <w:jc w:val="left"/>
            </w:pPr>
            <w:r>
              <w:rPr>
                <w:b w:val="0"/>
                <w:sz w:val="17"/>
              </w:rPr>
              <w:t>+0.8139</w:t>
            </w:r>
          </w:p>
        </w:tc>
        <w:tc>
          <w:tcPr>
            <w:tcW w:type="dxa" w:w="1559"/>
            <w:vAlign w:val="center"/>
            <w:tcMar>
              <w:top w:w="65" w:type="dxa"/>
              <w:left w:w="65" w:type="dxa"/>
              <w:bottom w:w="65" w:type="dxa"/>
              <w:right w:w="65" w:type="dxa"/>
            </w:tcMar>
          </w:tcPr>
          <w:p>
            <w:pPr>
              <w:pStyle w:val="TableText"/>
              <w:keepNext w:val="0"/>
              <w:widowControl/>
              <w:jc w:val="left"/>
            </w:pPr>
            <w:r>
              <w:rPr>
                <w:b w:val="0"/>
                <w:sz w:val="17"/>
              </w:rPr>
              <w:t>+0.8847</w:t>
            </w:r>
          </w:p>
        </w:tc>
        <w:tc>
          <w:tcPr>
            <w:tcW w:type="dxa" w:w="1559"/>
            <w:vAlign w:val="center"/>
            <w:tcMar>
              <w:top w:w="65" w:type="dxa"/>
              <w:left w:w="65" w:type="dxa"/>
              <w:bottom w:w="65" w:type="dxa"/>
              <w:right w:w="65" w:type="dxa"/>
            </w:tcMar>
          </w:tcPr>
          <w:p>
            <w:pPr>
              <w:pStyle w:val="TableText"/>
              <w:keepNext w:val="0"/>
              <w:widowControl/>
              <w:jc w:val="left"/>
            </w:pPr>
            <w:r>
              <w:rPr>
                <w:b w:val="0"/>
                <w:sz w:val="17"/>
              </w:rPr>
              <w:t>+0.8965</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7"/>
              </w:rPr>
              <w:t>B1</w:t>
            </w:r>
          </w:p>
        </w:tc>
        <w:tc>
          <w:tcPr>
            <w:tcW w:type="dxa" w:w="1020"/>
            <w:vAlign w:val="center"/>
            <w:tcMar>
              <w:top w:w="65" w:type="dxa"/>
              <w:left w:w="65" w:type="dxa"/>
              <w:bottom w:w="65" w:type="dxa"/>
              <w:right w:w="65" w:type="dxa"/>
            </w:tcMar>
          </w:tcPr>
          <w:p>
            <w:pPr>
              <w:pStyle w:val="TableText"/>
              <w:keepNext w:val="0"/>
              <w:widowControl/>
              <w:jc w:val="left"/>
            </w:pPr>
            <w:r>
              <w:rPr>
                <w:b w:val="0"/>
                <w:sz w:val="17"/>
              </w:rPr>
              <w:t>C6-EX</w:t>
            </w:r>
          </w:p>
        </w:tc>
        <w:tc>
          <w:tcPr>
            <w:tcW w:type="dxa" w:w="1559"/>
            <w:vAlign w:val="center"/>
            <w:tcMar>
              <w:top w:w="65" w:type="dxa"/>
              <w:left w:w="65" w:type="dxa"/>
              <w:bottom w:w="65" w:type="dxa"/>
              <w:right w:w="65" w:type="dxa"/>
            </w:tcMar>
          </w:tcPr>
          <w:p>
            <w:pPr>
              <w:pStyle w:val="TableText"/>
              <w:keepNext w:val="0"/>
              <w:widowControl/>
              <w:jc w:val="left"/>
            </w:pPr>
            <w:r>
              <w:rPr>
                <w:b w:val="0"/>
                <w:sz w:val="17"/>
              </w:rPr>
              <w:t>+0.1215</w:t>
            </w:r>
          </w:p>
        </w:tc>
        <w:tc>
          <w:tcPr>
            <w:tcW w:type="dxa" w:w="1559"/>
            <w:vAlign w:val="center"/>
            <w:tcMar>
              <w:top w:w="65" w:type="dxa"/>
              <w:left w:w="65" w:type="dxa"/>
              <w:bottom w:w="65" w:type="dxa"/>
              <w:right w:w="65" w:type="dxa"/>
            </w:tcMar>
          </w:tcPr>
          <w:p>
            <w:pPr>
              <w:pStyle w:val="TableText"/>
              <w:keepNext w:val="0"/>
              <w:widowControl/>
              <w:jc w:val="left"/>
            </w:pPr>
            <w:r>
              <w:rPr>
                <w:b w:val="0"/>
                <w:sz w:val="17"/>
              </w:rPr>
              <w:t>+0.7373</w:t>
            </w:r>
          </w:p>
        </w:tc>
        <w:tc>
          <w:tcPr>
            <w:tcW w:type="dxa" w:w="1559"/>
            <w:vAlign w:val="center"/>
            <w:tcMar>
              <w:top w:w="65" w:type="dxa"/>
              <w:left w:w="65" w:type="dxa"/>
              <w:bottom w:w="65" w:type="dxa"/>
              <w:right w:w="65" w:type="dxa"/>
            </w:tcMar>
          </w:tcPr>
          <w:p>
            <w:pPr>
              <w:pStyle w:val="TableText"/>
              <w:keepNext w:val="0"/>
              <w:widowControl/>
              <w:jc w:val="left"/>
            </w:pPr>
            <w:r>
              <w:rPr>
                <w:b w:val="0"/>
                <w:sz w:val="17"/>
              </w:rPr>
              <w:t>+0.8435</w:t>
            </w:r>
          </w:p>
        </w:tc>
        <w:tc>
          <w:tcPr>
            <w:tcW w:type="dxa" w:w="1559"/>
            <w:vAlign w:val="center"/>
            <w:tcMar>
              <w:top w:w="65" w:type="dxa"/>
              <w:left w:w="65" w:type="dxa"/>
              <w:bottom w:w="65" w:type="dxa"/>
              <w:right w:w="65" w:type="dxa"/>
            </w:tcMar>
          </w:tcPr>
          <w:p>
            <w:pPr>
              <w:pStyle w:val="TableText"/>
              <w:keepNext w:val="0"/>
              <w:widowControl/>
              <w:jc w:val="left"/>
            </w:pPr>
            <w:r>
              <w:rPr>
                <w:b w:val="0"/>
                <w:sz w:val="17"/>
              </w:rPr>
              <w:t>+0.8495</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7"/>
              </w:rPr>
              <w:t>BINF</w:t>
            </w:r>
          </w:p>
        </w:tc>
        <w:tc>
          <w:tcPr>
            <w:tcW w:type="dxa" w:w="1020"/>
            <w:vAlign w:val="center"/>
            <w:tcMar>
              <w:top w:w="65" w:type="dxa"/>
              <w:left w:w="65" w:type="dxa"/>
              <w:bottom w:w="65" w:type="dxa"/>
              <w:right w:w="65" w:type="dxa"/>
            </w:tcMar>
          </w:tcPr>
          <w:p>
            <w:pPr>
              <w:pStyle w:val="TableText"/>
              <w:keepNext w:val="0"/>
              <w:widowControl/>
              <w:jc w:val="left"/>
            </w:pPr>
            <w:r>
              <w:rPr>
                <w:b w:val="0"/>
                <w:sz w:val="17"/>
              </w:rPr>
              <w:t>C4</w:t>
            </w:r>
          </w:p>
        </w:tc>
        <w:tc>
          <w:tcPr>
            <w:tcW w:type="dxa" w:w="1559"/>
            <w:vAlign w:val="center"/>
            <w:tcMar>
              <w:top w:w="65" w:type="dxa"/>
              <w:left w:w="65" w:type="dxa"/>
              <w:bottom w:w="65" w:type="dxa"/>
              <w:right w:w="65" w:type="dxa"/>
            </w:tcMar>
          </w:tcPr>
          <w:p>
            <w:pPr>
              <w:pStyle w:val="TableText"/>
              <w:keepNext w:val="0"/>
              <w:widowControl/>
              <w:jc w:val="left"/>
            </w:pPr>
            <w:r>
              <w:rPr>
                <w:b w:val="0"/>
                <w:sz w:val="17"/>
              </w:rPr>
              <w:t>+1.4818</w:t>
            </w:r>
          </w:p>
        </w:tc>
        <w:tc>
          <w:tcPr>
            <w:tcW w:type="dxa" w:w="1559"/>
            <w:vAlign w:val="center"/>
            <w:tcMar>
              <w:top w:w="65" w:type="dxa"/>
              <w:left w:w="65" w:type="dxa"/>
              <w:bottom w:w="65" w:type="dxa"/>
              <w:right w:w="65" w:type="dxa"/>
            </w:tcMar>
          </w:tcPr>
          <w:p>
            <w:pPr>
              <w:pStyle w:val="TableText"/>
              <w:keepNext w:val="0"/>
              <w:widowControl/>
              <w:jc w:val="left"/>
            </w:pPr>
            <w:r>
              <w:rPr>
                <w:b w:val="0"/>
                <w:sz w:val="17"/>
              </w:rPr>
              <w:t>+1.4818</w:t>
            </w:r>
          </w:p>
        </w:tc>
        <w:tc>
          <w:tcPr>
            <w:tcW w:type="dxa" w:w="1559"/>
            <w:vAlign w:val="center"/>
            <w:tcMar>
              <w:top w:w="65" w:type="dxa"/>
              <w:left w:w="65" w:type="dxa"/>
              <w:bottom w:w="65" w:type="dxa"/>
              <w:right w:w="65" w:type="dxa"/>
            </w:tcMar>
          </w:tcPr>
          <w:p>
            <w:pPr>
              <w:pStyle w:val="TableText"/>
              <w:keepNext w:val="0"/>
              <w:widowControl/>
              <w:jc w:val="left"/>
            </w:pPr>
            <w:r>
              <w:rPr>
                <w:b w:val="0"/>
                <w:sz w:val="17"/>
              </w:rPr>
              <w:t>+1.2742</w:t>
            </w:r>
          </w:p>
        </w:tc>
        <w:tc>
          <w:tcPr>
            <w:tcW w:type="dxa" w:w="1559"/>
            <w:vAlign w:val="center"/>
            <w:tcMar>
              <w:top w:w="65" w:type="dxa"/>
              <w:left w:w="65" w:type="dxa"/>
              <w:bottom w:w="65" w:type="dxa"/>
              <w:right w:w="65" w:type="dxa"/>
            </w:tcMar>
          </w:tcPr>
          <w:p>
            <w:pPr>
              <w:pStyle w:val="TableText"/>
              <w:keepNext w:val="0"/>
              <w:widowControl/>
              <w:jc w:val="left"/>
            </w:pPr>
            <w:r>
              <w:rPr>
                <w:b w:val="0"/>
                <w:sz w:val="17"/>
              </w:rPr>
              <w:t>+1.2742</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7"/>
              </w:rPr>
              <w:t>BINF</w:t>
            </w:r>
          </w:p>
        </w:tc>
        <w:tc>
          <w:tcPr>
            <w:tcW w:type="dxa" w:w="1020"/>
            <w:vAlign w:val="center"/>
            <w:tcMar>
              <w:top w:w="65" w:type="dxa"/>
              <w:left w:w="65" w:type="dxa"/>
              <w:bottom w:w="65" w:type="dxa"/>
              <w:right w:w="65" w:type="dxa"/>
            </w:tcMar>
          </w:tcPr>
          <w:p>
            <w:pPr>
              <w:pStyle w:val="TableText"/>
              <w:keepNext w:val="0"/>
              <w:widowControl/>
              <w:jc w:val="left"/>
            </w:pPr>
            <w:r>
              <w:rPr>
                <w:b w:val="0"/>
                <w:sz w:val="17"/>
              </w:rPr>
              <w:t>C4R</w:t>
            </w:r>
          </w:p>
        </w:tc>
        <w:tc>
          <w:tcPr>
            <w:tcW w:type="dxa" w:w="1559"/>
            <w:vAlign w:val="center"/>
            <w:tcMar>
              <w:top w:w="65" w:type="dxa"/>
              <w:left w:w="65" w:type="dxa"/>
              <w:bottom w:w="65" w:type="dxa"/>
              <w:right w:w="65" w:type="dxa"/>
            </w:tcMar>
          </w:tcPr>
          <w:p>
            <w:pPr>
              <w:pStyle w:val="TableText"/>
              <w:keepNext w:val="0"/>
              <w:widowControl/>
              <w:jc w:val="left"/>
            </w:pPr>
            <w:r>
              <w:rPr>
                <w:b w:val="0"/>
                <w:sz w:val="17"/>
              </w:rPr>
              <w:t>+1.6245</w:t>
            </w:r>
          </w:p>
        </w:tc>
        <w:tc>
          <w:tcPr>
            <w:tcW w:type="dxa" w:w="1559"/>
            <w:vAlign w:val="center"/>
            <w:tcMar>
              <w:top w:w="65" w:type="dxa"/>
              <w:left w:w="65" w:type="dxa"/>
              <w:bottom w:w="65" w:type="dxa"/>
              <w:right w:w="65" w:type="dxa"/>
            </w:tcMar>
          </w:tcPr>
          <w:p>
            <w:pPr>
              <w:pStyle w:val="TableText"/>
              <w:keepNext w:val="0"/>
              <w:widowControl/>
              <w:jc w:val="left"/>
            </w:pPr>
            <w:r>
              <w:rPr>
                <w:b w:val="0"/>
                <w:sz w:val="17"/>
              </w:rPr>
              <w:t>+1.6245</w:t>
            </w:r>
          </w:p>
        </w:tc>
        <w:tc>
          <w:tcPr>
            <w:tcW w:type="dxa" w:w="1559"/>
            <w:vAlign w:val="center"/>
            <w:tcMar>
              <w:top w:w="65" w:type="dxa"/>
              <w:left w:w="65" w:type="dxa"/>
              <w:bottom w:w="65" w:type="dxa"/>
              <w:right w:w="65" w:type="dxa"/>
            </w:tcMar>
          </w:tcPr>
          <w:p>
            <w:pPr>
              <w:pStyle w:val="TableText"/>
              <w:keepNext w:val="0"/>
              <w:widowControl/>
              <w:jc w:val="left"/>
            </w:pPr>
            <w:r>
              <w:rPr>
                <w:b w:val="0"/>
                <w:sz w:val="17"/>
              </w:rPr>
              <w:t>+1.4191</w:t>
            </w:r>
          </w:p>
        </w:tc>
        <w:tc>
          <w:tcPr>
            <w:tcW w:type="dxa" w:w="1559"/>
            <w:vAlign w:val="center"/>
            <w:tcMar>
              <w:top w:w="65" w:type="dxa"/>
              <w:left w:w="65" w:type="dxa"/>
              <w:bottom w:w="65" w:type="dxa"/>
              <w:right w:w="65" w:type="dxa"/>
            </w:tcMar>
          </w:tcPr>
          <w:p>
            <w:pPr>
              <w:pStyle w:val="TableText"/>
              <w:keepNext w:val="0"/>
              <w:widowControl/>
              <w:jc w:val="left"/>
            </w:pPr>
            <w:r>
              <w:rPr>
                <w:b w:val="0"/>
                <w:sz w:val="17"/>
              </w:rPr>
              <w:t>+1.4191</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7"/>
              </w:rPr>
              <w:t>BINF</w:t>
            </w:r>
          </w:p>
        </w:tc>
        <w:tc>
          <w:tcPr>
            <w:tcW w:type="dxa" w:w="1020"/>
            <w:vAlign w:val="center"/>
            <w:tcMar>
              <w:top w:w="65" w:type="dxa"/>
              <w:left w:w="65" w:type="dxa"/>
              <w:bottom w:w="65" w:type="dxa"/>
              <w:right w:w="65" w:type="dxa"/>
            </w:tcMar>
          </w:tcPr>
          <w:p>
            <w:pPr>
              <w:pStyle w:val="TableText"/>
              <w:keepNext w:val="0"/>
              <w:widowControl/>
              <w:jc w:val="left"/>
            </w:pPr>
            <w:r>
              <w:rPr>
                <w:b w:val="0"/>
                <w:sz w:val="17"/>
              </w:rPr>
              <w:t>C5</w:t>
            </w:r>
          </w:p>
        </w:tc>
        <w:tc>
          <w:tcPr>
            <w:tcW w:type="dxa" w:w="1559"/>
            <w:vAlign w:val="center"/>
            <w:tcMar>
              <w:top w:w="65" w:type="dxa"/>
              <w:left w:w="65" w:type="dxa"/>
              <w:bottom w:w="65" w:type="dxa"/>
              <w:right w:w="65" w:type="dxa"/>
            </w:tcMar>
          </w:tcPr>
          <w:p>
            <w:pPr>
              <w:pStyle w:val="TableText"/>
              <w:keepNext w:val="0"/>
              <w:widowControl/>
              <w:jc w:val="left"/>
            </w:pPr>
            <w:r>
              <w:rPr>
                <w:b w:val="0"/>
                <w:sz w:val="17"/>
              </w:rPr>
              <w:t>+1.4104</w:t>
            </w:r>
          </w:p>
        </w:tc>
        <w:tc>
          <w:tcPr>
            <w:tcW w:type="dxa" w:w="1559"/>
            <w:vAlign w:val="center"/>
            <w:tcMar>
              <w:top w:w="65" w:type="dxa"/>
              <w:left w:w="65" w:type="dxa"/>
              <w:bottom w:w="65" w:type="dxa"/>
              <w:right w:w="65" w:type="dxa"/>
            </w:tcMar>
          </w:tcPr>
          <w:p>
            <w:pPr>
              <w:pStyle w:val="TableText"/>
              <w:keepNext w:val="0"/>
              <w:widowControl/>
              <w:jc w:val="left"/>
            </w:pPr>
            <w:r>
              <w:rPr>
                <w:b w:val="0"/>
                <w:sz w:val="17"/>
              </w:rPr>
              <w:t>+1.4104</w:t>
            </w:r>
          </w:p>
        </w:tc>
        <w:tc>
          <w:tcPr>
            <w:tcW w:type="dxa" w:w="1559"/>
            <w:vAlign w:val="center"/>
            <w:tcMar>
              <w:top w:w="65" w:type="dxa"/>
              <w:left w:w="65" w:type="dxa"/>
              <w:bottom w:w="65" w:type="dxa"/>
              <w:right w:w="65" w:type="dxa"/>
            </w:tcMar>
          </w:tcPr>
          <w:p>
            <w:pPr>
              <w:pStyle w:val="TableText"/>
              <w:keepNext w:val="0"/>
              <w:widowControl/>
              <w:jc w:val="left"/>
            </w:pPr>
            <w:r>
              <w:rPr>
                <w:b w:val="0"/>
                <w:sz w:val="17"/>
              </w:rPr>
              <w:t>+1.2090</w:t>
            </w:r>
          </w:p>
        </w:tc>
        <w:tc>
          <w:tcPr>
            <w:tcW w:type="dxa" w:w="1559"/>
            <w:vAlign w:val="center"/>
            <w:tcMar>
              <w:top w:w="65" w:type="dxa"/>
              <w:left w:w="65" w:type="dxa"/>
              <w:bottom w:w="65" w:type="dxa"/>
              <w:right w:w="65" w:type="dxa"/>
            </w:tcMar>
          </w:tcPr>
          <w:p>
            <w:pPr>
              <w:pStyle w:val="TableText"/>
              <w:keepNext w:val="0"/>
              <w:widowControl/>
              <w:jc w:val="left"/>
            </w:pPr>
            <w:r>
              <w:rPr>
                <w:b w:val="0"/>
                <w:sz w:val="17"/>
              </w:rPr>
              <w:t>+1.2090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7"/>
              </w:rPr>
              <w:t>BINF</w:t>
            </w:r>
          </w:p>
        </w:tc>
        <w:tc>
          <w:tcPr>
            <w:tcW w:type="dxa" w:w="1020"/>
            <w:vAlign w:val="center"/>
            <w:tcMar>
              <w:top w:w="65" w:type="dxa"/>
              <w:left w:w="65" w:type="dxa"/>
              <w:bottom w:w="65" w:type="dxa"/>
              <w:right w:w="65" w:type="dxa"/>
            </w:tcMar>
          </w:tcPr>
          <w:p>
            <w:pPr>
              <w:pStyle w:val="TableText"/>
              <w:keepNext w:val="0"/>
              <w:widowControl/>
              <w:jc w:val="left"/>
            </w:pPr>
            <w:r>
              <w:rPr>
                <w:b w:val="0"/>
                <w:sz w:val="17"/>
              </w:rPr>
              <w:t>C6-E</w:t>
            </w:r>
          </w:p>
        </w:tc>
        <w:tc>
          <w:tcPr>
            <w:tcW w:type="dxa" w:w="1559"/>
            <w:vAlign w:val="center"/>
            <w:tcMar>
              <w:top w:w="65" w:type="dxa"/>
              <w:left w:w="65" w:type="dxa"/>
              <w:bottom w:w="65" w:type="dxa"/>
              <w:right w:w="65" w:type="dxa"/>
            </w:tcMar>
          </w:tcPr>
          <w:p>
            <w:pPr>
              <w:pStyle w:val="TableText"/>
              <w:keepNext w:val="0"/>
              <w:widowControl/>
              <w:jc w:val="left"/>
            </w:pPr>
            <w:r>
              <w:rPr>
                <w:b w:val="0"/>
                <w:sz w:val="17"/>
              </w:rPr>
              <w:t>+1.6426</w:t>
            </w:r>
          </w:p>
        </w:tc>
        <w:tc>
          <w:tcPr>
            <w:tcW w:type="dxa" w:w="1559"/>
            <w:vAlign w:val="center"/>
            <w:tcMar>
              <w:top w:w="65" w:type="dxa"/>
              <w:left w:w="65" w:type="dxa"/>
              <w:bottom w:w="65" w:type="dxa"/>
              <w:right w:w="65" w:type="dxa"/>
            </w:tcMar>
          </w:tcPr>
          <w:p>
            <w:pPr>
              <w:pStyle w:val="TableText"/>
              <w:keepNext w:val="0"/>
              <w:widowControl/>
              <w:jc w:val="left"/>
            </w:pPr>
            <w:r>
              <w:rPr>
                <w:b w:val="0"/>
                <w:sz w:val="17"/>
              </w:rPr>
              <w:t>+1.6426</w:t>
            </w:r>
          </w:p>
        </w:tc>
        <w:tc>
          <w:tcPr>
            <w:tcW w:type="dxa" w:w="1559"/>
            <w:vAlign w:val="center"/>
            <w:tcMar>
              <w:top w:w="65" w:type="dxa"/>
              <w:left w:w="65" w:type="dxa"/>
              <w:bottom w:w="65" w:type="dxa"/>
              <w:right w:w="65" w:type="dxa"/>
            </w:tcMar>
          </w:tcPr>
          <w:p>
            <w:pPr>
              <w:pStyle w:val="TableText"/>
              <w:keepNext w:val="0"/>
              <w:widowControl/>
              <w:jc w:val="left"/>
            </w:pPr>
            <w:r>
              <w:rPr>
                <w:b w:val="0"/>
                <w:sz w:val="17"/>
              </w:rPr>
              <w:t>+1.4622</w:t>
            </w:r>
          </w:p>
        </w:tc>
        <w:tc>
          <w:tcPr>
            <w:tcW w:type="dxa" w:w="1559"/>
            <w:vAlign w:val="center"/>
            <w:tcMar>
              <w:top w:w="65" w:type="dxa"/>
              <w:left w:w="65" w:type="dxa"/>
              <w:bottom w:w="65" w:type="dxa"/>
              <w:right w:w="65" w:type="dxa"/>
            </w:tcMar>
          </w:tcPr>
          <w:p>
            <w:pPr>
              <w:pStyle w:val="TableText"/>
              <w:keepNext w:val="0"/>
              <w:widowControl/>
              <w:jc w:val="left"/>
            </w:pPr>
            <w:r>
              <w:rPr>
                <w:b w:val="0"/>
                <w:sz w:val="17"/>
              </w:rPr>
              <w:t>+1.4622</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7"/>
              </w:rPr>
              <w:t>BINF</w:t>
            </w:r>
          </w:p>
        </w:tc>
        <w:tc>
          <w:tcPr>
            <w:tcW w:type="dxa" w:w="1020"/>
            <w:vAlign w:val="center"/>
            <w:tcMar>
              <w:top w:w="65" w:type="dxa"/>
              <w:left w:w="65" w:type="dxa"/>
              <w:bottom w:w="65" w:type="dxa"/>
              <w:right w:w="65" w:type="dxa"/>
            </w:tcMar>
          </w:tcPr>
          <w:p>
            <w:pPr>
              <w:pStyle w:val="TableText"/>
              <w:keepNext w:val="0"/>
              <w:widowControl/>
              <w:jc w:val="left"/>
            </w:pPr>
            <w:r>
              <w:rPr>
                <w:b w:val="0"/>
                <w:sz w:val="17"/>
              </w:rPr>
              <w:t>C6-EX</w:t>
            </w:r>
          </w:p>
        </w:tc>
        <w:tc>
          <w:tcPr>
            <w:tcW w:type="dxa" w:w="1559"/>
            <w:vAlign w:val="center"/>
            <w:tcMar>
              <w:top w:w="65" w:type="dxa"/>
              <w:left w:w="65" w:type="dxa"/>
              <w:bottom w:w="65" w:type="dxa"/>
              <w:right w:w="65" w:type="dxa"/>
            </w:tcMar>
          </w:tcPr>
          <w:p>
            <w:pPr>
              <w:pStyle w:val="TableText"/>
              <w:keepNext w:val="0"/>
              <w:widowControl/>
              <w:jc w:val="left"/>
            </w:pPr>
            <w:r>
              <w:rPr>
                <w:b w:val="0"/>
                <w:sz w:val="17"/>
              </w:rPr>
              <w:t>+1.5850</w:t>
            </w:r>
          </w:p>
        </w:tc>
        <w:tc>
          <w:tcPr>
            <w:tcW w:type="dxa" w:w="1559"/>
            <w:vAlign w:val="center"/>
            <w:tcMar>
              <w:top w:w="65" w:type="dxa"/>
              <w:left w:w="65" w:type="dxa"/>
              <w:bottom w:w="65" w:type="dxa"/>
              <w:right w:w="65" w:type="dxa"/>
            </w:tcMar>
          </w:tcPr>
          <w:p>
            <w:pPr>
              <w:pStyle w:val="TableText"/>
              <w:keepNext w:val="0"/>
              <w:widowControl/>
              <w:jc w:val="left"/>
            </w:pPr>
            <w:r>
              <w:rPr>
                <w:b w:val="0"/>
                <w:sz w:val="17"/>
              </w:rPr>
              <w:t>+1.5850</w:t>
            </w:r>
          </w:p>
        </w:tc>
        <w:tc>
          <w:tcPr>
            <w:tcW w:type="dxa" w:w="1559"/>
            <w:vAlign w:val="center"/>
            <w:tcMar>
              <w:top w:w="65" w:type="dxa"/>
              <w:left w:w="65" w:type="dxa"/>
              <w:bottom w:w="65" w:type="dxa"/>
              <w:right w:w="65" w:type="dxa"/>
            </w:tcMar>
          </w:tcPr>
          <w:p>
            <w:pPr>
              <w:pStyle w:val="TableText"/>
              <w:keepNext w:val="0"/>
              <w:widowControl/>
              <w:jc w:val="left"/>
            </w:pPr>
            <w:r>
              <w:rPr>
                <w:b w:val="0"/>
                <w:sz w:val="17"/>
              </w:rPr>
              <w:t>+1.4469</w:t>
            </w:r>
          </w:p>
        </w:tc>
        <w:tc>
          <w:tcPr>
            <w:tcW w:type="dxa" w:w="1559"/>
            <w:vAlign w:val="center"/>
            <w:tcMar>
              <w:top w:w="65" w:type="dxa"/>
              <w:left w:w="65" w:type="dxa"/>
              <w:bottom w:w="65" w:type="dxa"/>
              <w:right w:w="65" w:type="dxa"/>
            </w:tcMar>
          </w:tcPr>
          <w:p>
            <w:pPr>
              <w:pStyle w:val="TableText"/>
              <w:keepNext w:val="0"/>
              <w:widowControl/>
              <w:jc w:val="left"/>
            </w:pPr>
            <w:r>
              <w:rPr>
                <w:b w:val="0"/>
                <w:sz w:val="17"/>
              </w:rPr>
              <w:t>+1.4469</w:t>
            </w:r>
          </w:p>
        </w:tc>
      </w:tr>
    </w:tbl>
    <w:p>
      <w:pPr>
        <w:pStyle w:val="SourceNote"/>
        <w:widowControl/>
      </w:pPr>
      <w:r>
        <w:t>자료: V4.3 최종 평가 패키지의 기업별 Stage9 ITT 기록을 재집계. Main Run1, IC-b, 기업 575개. 모든 열은 N=575의 ITT이다. Repair는 추가 생성이 아니라 동일 원응답의 실행규칙 변경이다.</w:t>
      </w:r>
    </w:p>
    <w:p>
      <w:bookmarkStart w:id="143" w:name="cap_40"/>
      <w:pPr>
        <w:pStyle w:val="af"/>
        <w:widowControl/>
      </w:pPr>
      <w:r>
        <w:t>그림 6-3. Gemini 3.1 Flash-Lite B1의 네 생성·실행 조합</w:t>
      </w:r>
      <w:bookmarkEnd w:id="143"/>
    </w:p>
    <w:p>
      <w:pPr>
        <w:keepNext/>
        <w:widowControl/>
        <w:ind w:firstLine="0"/>
        <w:jc w:val="center"/>
      </w:pPr>
      <w:r>
        <w:drawing>
          <wp:inline xmlns:a="http://schemas.openxmlformats.org/drawingml/2006/main" xmlns:pic="http://schemas.openxmlformats.org/drawingml/2006/picture">
            <wp:extent cx="5040000" cy="2940000"/>
            <wp:docPr id="5" name="Picture 5"/>
            <wp:cNvGraphicFramePr>
              <a:graphicFrameLocks noChangeAspect="1"/>
            </wp:cNvGraphicFramePr>
            <a:graphic>
              <a:graphicData uri="http://schemas.openxmlformats.org/drawingml/2006/picture">
                <pic:pic>
                  <pic:nvPicPr>
                    <pic:cNvPr id="0" name="value_google_gemini31flashlite_B1.png"/>
                    <pic:cNvPicPr/>
                  </pic:nvPicPr>
                  <pic:blipFill>
                    <a:blip r:embed="rId37"/>
                    <a:stretch>
                      <a:fillRect/>
                    </a:stretch>
                  </pic:blipFill>
                  <pic:spPr>
                    <a:xfrm>
                      <a:off x="0" y="0"/>
                      <a:ext cx="5040000" cy="2940000"/>
                    </a:xfrm>
                    <a:prstGeom prst="rect"/>
                  </pic:spPr>
                </pic:pic>
              </a:graphicData>
            </a:graphic>
          </wp:inline>
        </w:drawing>
      </w:r>
    </w:p>
    <w:p>
      <w:pPr>
        <w:pStyle w:val="SourceNote"/>
        <w:widowControl/>
      </w:pPr>
      <w:r>
        <w:t>자료: Run1/IC-b, Oracle-α의 A0 대비 평균. 점선은 동결 C3-E의 +0.923299이다. 각 선은 서로 다른 생성·실행 조합이며 성과의 표본선택 없이 모든 다섯 정책을 표시하였다.</w:t>
      </w:r>
    </w:p>
    <w:p>
      <w:bookmarkStart w:id="144" w:name="cap_41"/>
      <w:pPr>
        <w:pStyle w:val="af"/>
        <w:widowControl/>
      </w:pPr>
      <w:r>
        <w:t>그림 6-4. Gemini 3.1 Flash-Lite BINF의 네 생성·실행 조합</w:t>
      </w:r>
      <w:bookmarkEnd w:id="144"/>
    </w:p>
    <w:p>
      <w:pPr>
        <w:keepNext/>
        <w:widowControl/>
        <w:ind w:firstLine="0"/>
        <w:jc w:val="center"/>
      </w:pPr>
      <w:r>
        <w:drawing>
          <wp:inline xmlns:a="http://schemas.openxmlformats.org/drawingml/2006/main" xmlns:pic="http://schemas.openxmlformats.org/drawingml/2006/picture">
            <wp:extent cx="5040000" cy="2940000"/>
            <wp:docPr id="6" name="Picture 6"/>
            <wp:cNvGraphicFramePr>
              <a:graphicFrameLocks noChangeAspect="1"/>
            </wp:cNvGraphicFramePr>
            <a:graphic>
              <a:graphicData uri="http://schemas.openxmlformats.org/drawingml/2006/picture">
                <pic:pic>
                  <pic:nvPicPr>
                    <pic:cNvPr id="0" name="value_google_gemini31flashlite_BINF.png"/>
                    <pic:cNvPicPr/>
                  </pic:nvPicPr>
                  <pic:blipFill>
                    <a:blip r:embed="rId38"/>
                    <a:stretch>
                      <a:fillRect/>
                    </a:stretch>
                  </pic:blipFill>
                  <pic:spPr>
                    <a:xfrm>
                      <a:off x="0" y="0"/>
                      <a:ext cx="5040000" cy="2940000"/>
                    </a:xfrm>
                    <a:prstGeom prst="rect"/>
                  </pic:spPr>
                </pic:pic>
              </a:graphicData>
            </a:graphic>
          </wp:inline>
        </w:drawing>
      </w:r>
    </w:p>
    <w:p>
      <w:pPr>
        <w:pStyle w:val="SourceNote"/>
        <w:widowControl/>
      </w:pPr>
      <w:r>
        <w:t>자료: Run1/IC-b, Oracle-α의 A0 대비 평균. 점선은 동결 C3-E의 +0.923299이다. 각 선은 서로 다른 생성·실행 조합이며 성과의 표본선택 없이 모든 다섯 정책을 표시하였다.</w:t>
      </w:r>
    </w:p>
    <w:p>
      <w:bookmarkStart w:id="145" w:name="cap_42"/>
      <w:pPr>
        <w:pStyle w:val="af"/>
        <w:widowControl/>
      </w:pPr>
      <w:r>
        <w:t>표 6-7. GPT-5.4-mini의 생성·실행 조합별 A0 대비 가치</w:t>
      </w:r>
      <w:bookmarkEnd w:id="145"/>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680"/>
        <w:gridCol w:w="1020"/>
        <w:gridCol w:w="1559"/>
        <w:gridCol w:w="1559"/>
        <w:gridCol w:w="1559"/>
        <w:gridCol w:w="1559"/>
      </w:tblGrid>
      <w:tr>
        <w:trPr>
          <w:cantSplit/>
          <w:tblHeader/>
        </w:trPr>
        <w:tc>
          <w:tcPr>
            <w:tcW w:type="dxa" w:w="680"/>
            <w:vAlign w:val="center"/>
            <w:shd w:fill="F1F1F1"/>
            <w:tcMar>
              <w:top w:w="65" w:type="dxa"/>
              <w:left w:w="65" w:type="dxa"/>
              <w:bottom w:w="65" w:type="dxa"/>
              <w:right w:w="65" w:type="dxa"/>
            </w:tcMar>
          </w:tcPr>
          <w:p>
            <w:pPr>
              <w:pStyle w:val="TableText"/>
              <w:keepNext/>
              <w:widowControl/>
              <w:jc w:val="center"/>
            </w:pPr>
            <w:r>
              <w:rPr>
                <w:b/>
                <w:sz w:val="17"/>
              </w:rPr>
              <w:t>예산</w:t>
            </w:r>
          </w:p>
        </w:tc>
        <w:tc>
          <w:tcPr>
            <w:tcW w:type="dxa" w:w="1020"/>
            <w:vAlign w:val="center"/>
            <w:shd w:fill="F1F1F1"/>
            <w:tcMar>
              <w:top w:w="65" w:type="dxa"/>
              <w:left w:w="65" w:type="dxa"/>
              <w:bottom w:w="65" w:type="dxa"/>
              <w:right w:w="65" w:type="dxa"/>
            </w:tcMar>
          </w:tcPr>
          <w:p>
            <w:pPr>
              <w:pStyle w:val="TableText"/>
              <w:keepNext/>
              <w:widowControl/>
              <w:jc w:val="center"/>
            </w:pPr>
            <w:r>
              <w:rPr>
                <w:b/>
                <w:sz w:val="17"/>
              </w:rPr>
              <w:t>정책</w:t>
            </w:r>
          </w:p>
        </w:tc>
        <w:tc>
          <w:tcPr>
            <w:tcW w:type="dxa" w:w="1559"/>
            <w:vAlign w:val="center"/>
            <w:shd w:fill="F1F1F1"/>
            <w:tcMar>
              <w:top w:w="65" w:type="dxa"/>
              <w:left w:w="65" w:type="dxa"/>
              <w:bottom w:w="65" w:type="dxa"/>
              <w:right w:w="65" w:type="dxa"/>
            </w:tcMar>
          </w:tcPr>
          <w:p>
            <w:pPr>
              <w:pStyle w:val="TableText"/>
              <w:keepNext/>
              <w:widowControl/>
              <w:jc w:val="center"/>
            </w:pPr>
            <w:r>
              <w:rPr>
                <w:b/>
                <w:sz w:val="17"/>
              </w:rPr>
              <w:t>Base Strict</w:t>
            </w:r>
          </w:p>
        </w:tc>
        <w:tc>
          <w:tcPr>
            <w:tcW w:type="dxa" w:w="1559"/>
            <w:vAlign w:val="center"/>
            <w:shd w:fill="F1F1F1"/>
            <w:tcMar>
              <w:top w:w="65" w:type="dxa"/>
              <w:left w:w="65" w:type="dxa"/>
              <w:bottom w:w="65" w:type="dxa"/>
              <w:right w:w="65" w:type="dxa"/>
            </w:tcMar>
          </w:tcPr>
          <w:p>
            <w:pPr>
              <w:pStyle w:val="TableText"/>
              <w:keepNext/>
              <w:widowControl/>
              <w:jc w:val="center"/>
            </w:pPr>
            <w:r>
              <w:rPr>
                <w:b/>
                <w:sz w:val="17"/>
              </w:rPr>
              <w:t>Base Repair</w:t>
            </w:r>
          </w:p>
        </w:tc>
        <w:tc>
          <w:tcPr>
            <w:tcW w:type="dxa" w:w="1559"/>
            <w:vAlign w:val="center"/>
            <w:shd w:fill="F1F1F1"/>
            <w:tcMar>
              <w:top w:w="65" w:type="dxa"/>
              <w:left w:w="65" w:type="dxa"/>
              <w:bottom w:w="65" w:type="dxa"/>
              <w:right w:w="65" w:type="dxa"/>
            </w:tcMar>
          </w:tcPr>
          <w:p>
            <w:pPr>
              <w:pStyle w:val="TableText"/>
              <w:keepNext/>
              <w:widowControl/>
              <w:jc w:val="center"/>
            </w:pPr>
            <w:r>
              <w:rPr>
                <w:b/>
                <w:sz w:val="17"/>
              </w:rPr>
              <w:t>High Strict</w:t>
            </w:r>
          </w:p>
        </w:tc>
        <w:tc>
          <w:tcPr>
            <w:tcW w:type="dxa" w:w="1559"/>
            <w:vAlign w:val="center"/>
            <w:shd w:fill="F1F1F1"/>
            <w:tcMar>
              <w:top w:w="65" w:type="dxa"/>
              <w:left w:w="65" w:type="dxa"/>
              <w:bottom w:w="65" w:type="dxa"/>
              <w:right w:w="65" w:type="dxa"/>
            </w:tcMar>
          </w:tcPr>
          <w:p>
            <w:pPr>
              <w:pStyle w:val="TableText"/>
              <w:keepNext/>
              <w:widowControl/>
              <w:jc w:val="center"/>
            </w:pPr>
            <w:r>
              <w:rPr>
                <w:b/>
                <w:sz w:val="17"/>
              </w:rPr>
              <w:t>High Repair</w:t>
            </w:r>
          </w:p>
        </w:tc>
      </w:tr>
      <w:tr>
        <w:trPr>
          <w:cantSplit/>
        </w:trPr>
        <w:tc>
          <w:tcPr>
            <w:tcW w:type="dxa" w:w="680"/>
            <w:vAlign w:val="center"/>
            <w:tcMar>
              <w:top w:w="65" w:type="dxa"/>
              <w:left w:w="65" w:type="dxa"/>
              <w:bottom w:w="65" w:type="dxa"/>
              <w:right w:w="65" w:type="dxa"/>
            </w:tcMar>
          </w:tcPr>
          <w:p>
            <w:pPr>
              <w:pStyle w:val="TableText"/>
              <w:keepNext/>
              <w:widowControl/>
              <w:jc w:val="left"/>
            </w:pPr>
            <w:r>
              <w:rPr>
                <w:b w:val="0"/>
                <w:sz w:val="17"/>
              </w:rPr>
              <w:t>B1</w:t>
            </w:r>
          </w:p>
        </w:tc>
        <w:tc>
          <w:tcPr>
            <w:tcW w:type="dxa" w:w="1020"/>
            <w:vAlign w:val="center"/>
            <w:tcMar>
              <w:top w:w="65" w:type="dxa"/>
              <w:left w:w="65" w:type="dxa"/>
              <w:bottom w:w="65" w:type="dxa"/>
              <w:right w:w="65" w:type="dxa"/>
            </w:tcMar>
          </w:tcPr>
          <w:p>
            <w:pPr>
              <w:pStyle w:val="TableText"/>
              <w:keepNext/>
              <w:widowControl/>
              <w:jc w:val="left"/>
            </w:pPr>
            <w:r>
              <w:rPr>
                <w:b w:val="0"/>
                <w:sz w:val="17"/>
              </w:rPr>
              <w:t>C4</w:t>
            </w:r>
          </w:p>
        </w:tc>
        <w:tc>
          <w:tcPr>
            <w:tcW w:type="dxa" w:w="1559"/>
            <w:vAlign w:val="center"/>
            <w:tcMar>
              <w:top w:w="65" w:type="dxa"/>
              <w:left w:w="65" w:type="dxa"/>
              <w:bottom w:w="65" w:type="dxa"/>
              <w:right w:w="65" w:type="dxa"/>
            </w:tcMar>
          </w:tcPr>
          <w:p>
            <w:pPr>
              <w:pStyle w:val="TableText"/>
              <w:keepNext/>
              <w:widowControl/>
              <w:jc w:val="left"/>
            </w:pPr>
            <w:r>
              <w:rPr>
                <w:b w:val="0"/>
                <w:sz w:val="17"/>
              </w:rPr>
              <w:t>+0.2647</w:t>
            </w:r>
          </w:p>
        </w:tc>
        <w:tc>
          <w:tcPr>
            <w:tcW w:type="dxa" w:w="1559"/>
            <w:vAlign w:val="center"/>
            <w:tcMar>
              <w:top w:w="65" w:type="dxa"/>
              <w:left w:w="65" w:type="dxa"/>
              <w:bottom w:w="65" w:type="dxa"/>
              <w:right w:w="65" w:type="dxa"/>
            </w:tcMar>
          </w:tcPr>
          <w:p>
            <w:pPr>
              <w:pStyle w:val="TableText"/>
              <w:keepNext/>
              <w:widowControl/>
              <w:jc w:val="left"/>
            </w:pPr>
            <w:r>
              <w:rPr>
                <w:b w:val="0"/>
                <w:sz w:val="17"/>
              </w:rPr>
              <w:t>+0.6143</w:t>
            </w:r>
          </w:p>
        </w:tc>
        <w:tc>
          <w:tcPr>
            <w:tcW w:type="dxa" w:w="1559"/>
            <w:vAlign w:val="center"/>
            <w:tcMar>
              <w:top w:w="65" w:type="dxa"/>
              <w:left w:w="65" w:type="dxa"/>
              <w:bottom w:w="65" w:type="dxa"/>
              <w:right w:w="65" w:type="dxa"/>
            </w:tcMar>
          </w:tcPr>
          <w:p>
            <w:pPr>
              <w:pStyle w:val="TableText"/>
              <w:keepNext/>
              <w:widowControl/>
              <w:jc w:val="left"/>
            </w:pPr>
            <w:r>
              <w:rPr>
                <w:b w:val="0"/>
                <w:sz w:val="17"/>
              </w:rPr>
              <w:t>+0.7852</w:t>
            </w:r>
          </w:p>
        </w:tc>
        <w:tc>
          <w:tcPr>
            <w:tcW w:type="dxa" w:w="1559"/>
            <w:vAlign w:val="center"/>
            <w:tcMar>
              <w:top w:w="65" w:type="dxa"/>
              <w:left w:w="65" w:type="dxa"/>
              <w:bottom w:w="65" w:type="dxa"/>
              <w:right w:w="65" w:type="dxa"/>
            </w:tcMar>
          </w:tcPr>
          <w:p>
            <w:pPr>
              <w:pStyle w:val="TableText"/>
              <w:keepNext/>
              <w:widowControl/>
              <w:jc w:val="left"/>
            </w:pPr>
            <w:r>
              <w:rPr>
                <w:b w:val="0"/>
                <w:sz w:val="17"/>
              </w:rPr>
              <w:t>+0.8092</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7"/>
              </w:rPr>
              <w:t>B1</w:t>
            </w:r>
          </w:p>
        </w:tc>
        <w:tc>
          <w:tcPr>
            <w:tcW w:type="dxa" w:w="1020"/>
            <w:vAlign w:val="center"/>
            <w:tcMar>
              <w:top w:w="65" w:type="dxa"/>
              <w:left w:w="65" w:type="dxa"/>
              <w:bottom w:w="65" w:type="dxa"/>
              <w:right w:w="65" w:type="dxa"/>
            </w:tcMar>
          </w:tcPr>
          <w:p>
            <w:pPr>
              <w:pStyle w:val="TableText"/>
              <w:keepNext w:val="0"/>
              <w:widowControl/>
              <w:jc w:val="left"/>
            </w:pPr>
            <w:r>
              <w:rPr>
                <w:b w:val="0"/>
                <w:sz w:val="17"/>
              </w:rPr>
              <w:t>C4R</w:t>
            </w:r>
          </w:p>
        </w:tc>
        <w:tc>
          <w:tcPr>
            <w:tcW w:type="dxa" w:w="1559"/>
            <w:vAlign w:val="center"/>
            <w:tcMar>
              <w:top w:w="65" w:type="dxa"/>
              <w:left w:w="65" w:type="dxa"/>
              <w:bottom w:w="65" w:type="dxa"/>
              <w:right w:w="65" w:type="dxa"/>
            </w:tcMar>
          </w:tcPr>
          <w:p>
            <w:pPr>
              <w:pStyle w:val="TableText"/>
              <w:keepNext w:val="0"/>
              <w:widowControl/>
              <w:jc w:val="left"/>
            </w:pPr>
            <w:r>
              <w:rPr>
                <w:b w:val="0"/>
                <w:sz w:val="17"/>
              </w:rPr>
              <w:t>+0.4339</w:t>
            </w:r>
          </w:p>
        </w:tc>
        <w:tc>
          <w:tcPr>
            <w:tcW w:type="dxa" w:w="1559"/>
            <w:vAlign w:val="center"/>
            <w:tcMar>
              <w:top w:w="65" w:type="dxa"/>
              <w:left w:w="65" w:type="dxa"/>
              <w:bottom w:w="65" w:type="dxa"/>
              <w:right w:w="65" w:type="dxa"/>
            </w:tcMar>
          </w:tcPr>
          <w:p>
            <w:pPr>
              <w:pStyle w:val="TableText"/>
              <w:keepNext w:val="0"/>
              <w:widowControl/>
              <w:jc w:val="left"/>
            </w:pPr>
            <w:r>
              <w:rPr>
                <w:b w:val="0"/>
                <w:sz w:val="17"/>
              </w:rPr>
              <w:t>+0.6191</w:t>
            </w:r>
          </w:p>
        </w:tc>
        <w:tc>
          <w:tcPr>
            <w:tcW w:type="dxa" w:w="1559"/>
            <w:vAlign w:val="center"/>
            <w:tcMar>
              <w:top w:w="65" w:type="dxa"/>
              <w:left w:w="65" w:type="dxa"/>
              <w:bottom w:w="65" w:type="dxa"/>
              <w:right w:w="65" w:type="dxa"/>
            </w:tcMar>
          </w:tcPr>
          <w:p>
            <w:pPr>
              <w:pStyle w:val="TableText"/>
              <w:keepNext w:val="0"/>
              <w:widowControl/>
              <w:jc w:val="left"/>
            </w:pPr>
            <w:r>
              <w:rPr>
                <w:b w:val="0"/>
                <w:sz w:val="17"/>
              </w:rPr>
              <w:t>+0.8116</w:t>
            </w:r>
          </w:p>
        </w:tc>
        <w:tc>
          <w:tcPr>
            <w:tcW w:type="dxa" w:w="1559"/>
            <w:vAlign w:val="center"/>
            <w:tcMar>
              <w:top w:w="65" w:type="dxa"/>
              <w:left w:w="65" w:type="dxa"/>
              <w:bottom w:w="65" w:type="dxa"/>
              <w:right w:w="65" w:type="dxa"/>
            </w:tcMar>
          </w:tcPr>
          <w:p>
            <w:pPr>
              <w:pStyle w:val="TableText"/>
              <w:keepNext w:val="0"/>
              <w:widowControl/>
              <w:jc w:val="left"/>
            </w:pPr>
            <w:r>
              <w:rPr>
                <w:b w:val="0"/>
                <w:sz w:val="17"/>
              </w:rPr>
              <w:t>+0.8197</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7"/>
              </w:rPr>
              <w:t>B1</w:t>
            </w:r>
          </w:p>
        </w:tc>
        <w:tc>
          <w:tcPr>
            <w:tcW w:type="dxa" w:w="1020"/>
            <w:vAlign w:val="center"/>
            <w:tcMar>
              <w:top w:w="65" w:type="dxa"/>
              <w:left w:w="65" w:type="dxa"/>
              <w:bottom w:w="65" w:type="dxa"/>
              <w:right w:w="65" w:type="dxa"/>
            </w:tcMar>
          </w:tcPr>
          <w:p>
            <w:pPr>
              <w:pStyle w:val="TableText"/>
              <w:keepNext w:val="0"/>
              <w:widowControl/>
              <w:jc w:val="left"/>
            </w:pPr>
            <w:r>
              <w:rPr>
                <w:b w:val="0"/>
                <w:sz w:val="17"/>
              </w:rPr>
              <w:t>C5</w:t>
            </w:r>
          </w:p>
        </w:tc>
        <w:tc>
          <w:tcPr>
            <w:tcW w:type="dxa" w:w="1559"/>
            <w:vAlign w:val="center"/>
            <w:tcMar>
              <w:top w:w="65" w:type="dxa"/>
              <w:left w:w="65" w:type="dxa"/>
              <w:bottom w:w="65" w:type="dxa"/>
              <w:right w:w="65" w:type="dxa"/>
            </w:tcMar>
          </w:tcPr>
          <w:p>
            <w:pPr>
              <w:pStyle w:val="TableText"/>
              <w:keepNext w:val="0"/>
              <w:widowControl/>
              <w:jc w:val="left"/>
            </w:pPr>
            <w:r>
              <w:rPr>
                <w:b w:val="0"/>
                <w:sz w:val="17"/>
              </w:rPr>
              <w:t>+0.4606</w:t>
            </w:r>
          </w:p>
        </w:tc>
        <w:tc>
          <w:tcPr>
            <w:tcW w:type="dxa" w:w="1559"/>
            <w:vAlign w:val="center"/>
            <w:tcMar>
              <w:top w:w="65" w:type="dxa"/>
              <w:left w:w="65" w:type="dxa"/>
              <w:bottom w:w="65" w:type="dxa"/>
              <w:right w:w="65" w:type="dxa"/>
            </w:tcMar>
          </w:tcPr>
          <w:p>
            <w:pPr>
              <w:pStyle w:val="TableText"/>
              <w:keepNext w:val="0"/>
              <w:widowControl/>
              <w:jc w:val="left"/>
            </w:pPr>
            <w:r>
              <w:rPr>
                <w:b w:val="0"/>
                <w:sz w:val="17"/>
              </w:rPr>
              <w:t>+0.6930</w:t>
            </w:r>
          </w:p>
        </w:tc>
        <w:tc>
          <w:tcPr>
            <w:tcW w:type="dxa" w:w="1559"/>
            <w:vAlign w:val="center"/>
            <w:tcMar>
              <w:top w:w="65" w:type="dxa"/>
              <w:left w:w="65" w:type="dxa"/>
              <w:bottom w:w="65" w:type="dxa"/>
              <w:right w:w="65" w:type="dxa"/>
            </w:tcMar>
          </w:tcPr>
          <w:p>
            <w:pPr>
              <w:pStyle w:val="TableText"/>
              <w:keepNext w:val="0"/>
              <w:widowControl/>
              <w:jc w:val="left"/>
            </w:pPr>
            <w:r>
              <w:rPr>
                <w:b w:val="0"/>
                <w:sz w:val="17"/>
              </w:rPr>
              <w:t>+0.7981</w:t>
            </w:r>
          </w:p>
        </w:tc>
        <w:tc>
          <w:tcPr>
            <w:tcW w:type="dxa" w:w="1559"/>
            <w:vAlign w:val="center"/>
            <w:tcMar>
              <w:top w:w="65" w:type="dxa"/>
              <w:left w:w="65" w:type="dxa"/>
              <w:bottom w:w="65" w:type="dxa"/>
              <w:right w:w="65" w:type="dxa"/>
            </w:tcMar>
          </w:tcPr>
          <w:p>
            <w:pPr>
              <w:pStyle w:val="TableText"/>
              <w:keepNext w:val="0"/>
              <w:widowControl/>
              <w:jc w:val="left"/>
            </w:pPr>
            <w:r>
              <w:rPr>
                <w:b w:val="0"/>
                <w:sz w:val="17"/>
              </w:rPr>
              <w:t>+0.8033</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7"/>
              </w:rPr>
              <w:t>B1</w:t>
            </w:r>
          </w:p>
        </w:tc>
        <w:tc>
          <w:tcPr>
            <w:tcW w:type="dxa" w:w="1020"/>
            <w:vAlign w:val="center"/>
            <w:tcMar>
              <w:top w:w="65" w:type="dxa"/>
              <w:left w:w="65" w:type="dxa"/>
              <w:bottom w:w="65" w:type="dxa"/>
              <w:right w:w="65" w:type="dxa"/>
            </w:tcMar>
          </w:tcPr>
          <w:p>
            <w:pPr>
              <w:pStyle w:val="TableText"/>
              <w:keepNext w:val="0"/>
              <w:widowControl/>
              <w:jc w:val="left"/>
            </w:pPr>
            <w:r>
              <w:rPr>
                <w:b w:val="0"/>
                <w:sz w:val="17"/>
              </w:rPr>
              <w:t>C6-E</w:t>
            </w:r>
          </w:p>
        </w:tc>
        <w:tc>
          <w:tcPr>
            <w:tcW w:type="dxa" w:w="1559"/>
            <w:vAlign w:val="center"/>
            <w:tcMar>
              <w:top w:w="65" w:type="dxa"/>
              <w:left w:w="65" w:type="dxa"/>
              <w:bottom w:w="65" w:type="dxa"/>
              <w:right w:w="65" w:type="dxa"/>
            </w:tcMar>
          </w:tcPr>
          <w:p>
            <w:pPr>
              <w:pStyle w:val="TableText"/>
              <w:keepNext w:val="0"/>
              <w:widowControl/>
              <w:jc w:val="left"/>
            </w:pPr>
            <w:r>
              <w:rPr>
                <w:b w:val="0"/>
                <w:sz w:val="17"/>
              </w:rPr>
              <w:t>+0.4714</w:t>
            </w:r>
          </w:p>
        </w:tc>
        <w:tc>
          <w:tcPr>
            <w:tcW w:type="dxa" w:w="1559"/>
            <w:vAlign w:val="center"/>
            <w:tcMar>
              <w:top w:w="65" w:type="dxa"/>
              <w:left w:w="65" w:type="dxa"/>
              <w:bottom w:w="65" w:type="dxa"/>
              <w:right w:w="65" w:type="dxa"/>
            </w:tcMar>
          </w:tcPr>
          <w:p>
            <w:pPr>
              <w:pStyle w:val="TableText"/>
              <w:keepNext w:val="0"/>
              <w:widowControl/>
              <w:jc w:val="left"/>
            </w:pPr>
            <w:r>
              <w:rPr>
                <w:b w:val="0"/>
                <w:sz w:val="17"/>
              </w:rPr>
              <w:t>+0.8126</w:t>
            </w:r>
          </w:p>
        </w:tc>
        <w:tc>
          <w:tcPr>
            <w:tcW w:type="dxa" w:w="1559"/>
            <w:vAlign w:val="center"/>
            <w:tcMar>
              <w:top w:w="65" w:type="dxa"/>
              <w:left w:w="65" w:type="dxa"/>
              <w:bottom w:w="65" w:type="dxa"/>
              <w:right w:w="65" w:type="dxa"/>
            </w:tcMar>
          </w:tcPr>
          <w:p>
            <w:pPr>
              <w:pStyle w:val="TableText"/>
              <w:keepNext w:val="0"/>
              <w:widowControl/>
              <w:jc w:val="left"/>
            </w:pPr>
            <w:r>
              <w:rPr>
                <w:b w:val="0"/>
                <w:sz w:val="17"/>
              </w:rPr>
              <w:t>+0.9119</w:t>
            </w:r>
          </w:p>
        </w:tc>
        <w:tc>
          <w:tcPr>
            <w:tcW w:type="dxa" w:w="1559"/>
            <w:vAlign w:val="center"/>
            <w:tcMar>
              <w:top w:w="65" w:type="dxa"/>
              <w:left w:w="65" w:type="dxa"/>
              <w:bottom w:w="65" w:type="dxa"/>
              <w:right w:w="65" w:type="dxa"/>
            </w:tcMar>
          </w:tcPr>
          <w:p>
            <w:pPr>
              <w:pStyle w:val="TableText"/>
              <w:keepNext w:val="0"/>
              <w:widowControl/>
              <w:jc w:val="left"/>
            </w:pPr>
            <w:r>
              <w:rPr>
                <w:b w:val="0"/>
                <w:sz w:val="17"/>
              </w:rPr>
              <w:t>+0.9387</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7"/>
              </w:rPr>
              <w:t>B1</w:t>
            </w:r>
          </w:p>
        </w:tc>
        <w:tc>
          <w:tcPr>
            <w:tcW w:type="dxa" w:w="1020"/>
            <w:vAlign w:val="center"/>
            <w:tcMar>
              <w:top w:w="65" w:type="dxa"/>
              <w:left w:w="65" w:type="dxa"/>
              <w:bottom w:w="65" w:type="dxa"/>
              <w:right w:w="65" w:type="dxa"/>
            </w:tcMar>
          </w:tcPr>
          <w:p>
            <w:pPr>
              <w:pStyle w:val="TableText"/>
              <w:keepNext w:val="0"/>
              <w:widowControl/>
              <w:jc w:val="left"/>
            </w:pPr>
            <w:r>
              <w:rPr>
                <w:b w:val="0"/>
                <w:sz w:val="17"/>
              </w:rPr>
              <w:t>C6-EX</w:t>
            </w:r>
          </w:p>
        </w:tc>
        <w:tc>
          <w:tcPr>
            <w:tcW w:type="dxa" w:w="1559"/>
            <w:vAlign w:val="center"/>
            <w:tcMar>
              <w:top w:w="65" w:type="dxa"/>
              <w:left w:w="65" w:type="dxa"/>
              <w:bottom w:w="65" w:type="dxa"/>
              <w:right w:w="65" w:type="dxa"/>
            </w:tcMar>
          </w:tcPr>
          <w:p>
            <w:pPr>
              <w:pStyle w:val="TableText"/>
              <w:keepNext w:val="0"/>
              <w:widowControl/>
              <w:jc w:val="left"/>
            </w:pPr>
            <w:r>
              <w:rPr>
                <w:b w:val="0"/>
                <w:sz w:val="17"/>
              </w:rPr>
              <w:t>+0.2973</w:t>
            </w:r>
          </w:p>
        </w:tc>
        <w:tc>
          <w:tcPr>
            <w:tcW w:type="dxa" w:w="1559"/>
            <w:vAlign w:val="center"/>
            <w:tcMar>
              <w:top w:w="65" w:type="dxa"/>
              <w:left w:w="65" w:type="dxa"/>
              <w:bottom w:w="65" w:type="dxa"/>
              <w:right w:w="65" w:type="dxa"/>
            </w:tcMar>
          </w:tcPr>
          <w:p>
            <w:pPr>
              <w:pStyle w:val="TableText"/>
              <w:keepNext w:val="0"/>
              <w:widowControl/>
              <w:jc w:val="left"/>
            </w:pPr>
            <w:r>
              <w:rPr>
                <w:b w:val="0"/>
                <w:sz w:val="17"/>
              </w:rPr>
              <w:t>+0.6099</w:t>
            </w:r>
          </w:p>
        </w:tc>
        <w:tc>
          <w:tcPr>
            <w:tcW w:type="dxa" w:w="1559"/>
            <w:vAlign w:val="center"/>
            <w:tcMar>
              <w:top w:w="65" w:type="dxa"/>
              <w:left w:w="65" w:type="dxa"/>
              <w:bottom w:w="65" w:type="dxa"/>
              <w:right w:w="65" w:type="dxa"/>
            </w:tcMar>
          </w:tcPr>
          <w:p>
            <w:pPr>
              <w:pStyle w:val="TableText"/>
              <w:keepNext w:val="0"/>
              <w:widowControl/>
              <w:jc w:val="left"/>
            </w:pPr>
            <w:r>
              <w:rPr>
                <w:b w:val="0"/>
                <w:sz w:val="17"/>
              </w:rPr>
              <w:t>+0.7973</w:t>
            </w:r>
          </w:p>
        </w:tc>
        <w:tc>
          <w:tcPr>
            <w:tcW w:type="dxa" w:w="1559"/>
            <w:vAlign w:val="center"/>
            <w:tcMar>
              <w:top w:w="65" w:type="dxa"/>
              <w:left w:w="65" w:type="dxa"/>
              <w:bottom w:w="65" w:type="dxa"/>
              <w:right w:w="65" w:type="dxa"/>
            </w:tcMar>
          </w:tcPr>
          <w:p>
            <w:pPr>
              <w:pStyle w:val="TableText"/>
              <w:keepNext w:val="0"/>
              <w:widowControl/>
              <w:jc w:val="left"/>
            </w:pPr>
            <w:r>
              <w:rPr>
                <w:b w:val="0"/>
                <w:sz w:val="17"/>
              </w:rPr>
              <w:t>+0.8157</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7"/>
              </w:rPr>
              <w:t>BINF</w:t>
            </w:r>
          </w:p>
        </w:tc>
        <w:tc>
          <w:tcPr>
            <w:tcW w:type="dxa" w:w="1020"/>
            <w:vAlign w:val="center"/>
            <w:tcMar>
              <w:top w:w="65" w:type="dxa"/>
              <w:left w:w="65" w:type="dxa"/>
              <w:bottom w:w="65" w:type="dxa"/>
              <w:right w:w="65" w:type="dxa"/>
            </w:tcMar>
          </w:tcPr>
          <w:p>
            <w:pPr>
              <w:pStyle w:val="TableText"/>
              <w:keepNext w:val="0"/>
              <w:widowControl/>
              <w:jc w:val="left"/>
            </w:pPr>
            <w:r>
              <w:rPr>
                <w:b w:val="0"/>
                <w:sz w:val="17"/>
              </w:rPr>
              <w:t>C4</w:t>
            </w:r>
          </w:p>
        </w:tc>
        <w:tc>
          <w:tcPr>
            <w:tcW w:type="dxa" w:w="1559"/>
            <w:vAlign w:val="center"/>
            <w:tcMar>
              <w:top w:w="65" w:type="dxa"/>
              <w:left w:w="65" w:type="dxa"/>
              <w:bottom w:w="65" w:type="dxa"/>
              <w:right w:w="65" w:type="dxa"/>
            </w:tcMar>
          </w:tcPr>
          <w:p>
            <w:pPr>
              <w:pStyle w:val="TableText"/>
              <w:keepNext w:val="0"/>
              <w:widowControl/>
              <w:jc w:val="left"/>
            </w:pPr>
            <w:r>
              <w:rPr>
                <w:b w:val="0"/>
                <w:sz w:val="17"/>
              </w:rPr>
              <w:t>+0.5946</w:t>
            </w:r>
          </w:p>
        </w:tc>
        <w:tc>
          <w:tcPr>
            <w:tcW w:type="dxa" w:w="1559"/>
            <w:vAlign w:val="center"/>
            <w:tcMar>
              <w:top w:w="65" w:type="dxa"/>
              <w:left w:w="65" w:type="dxa"/>
              <w:bottom w:w="65" w:type="dxa"/>
              <w:right w:w="65" w:type="dxa"/>
            </w:tcMar>
          </w:tcPr>
          <w:p>
            <w:pPr>
              <w:pStyle w:val="TableText"/>
              <w:keepNext w:val="0"/>
              <w:widowControl/>
              <w:jc w:val="left"/>
            </w:pPr>
            <w:r>
              <w:rPr>
                <w:b w:val="0"/>
                <w:sz w:val="17"/>
              </w:rPr>
              <w:t>+0.7330</w:t>
            </w:r>
          </w:p>
        </w:tc>
        <w:tc>
          <w:tcPr>
            <w:tcW w:type="dxa" w:w="1559"/>
            <w:vAlign w:val="center"/>
            <w:tcMar>
              <w:top w:w="65" w:type="dxa"/>
              <w:left w:w="65" w:type="dxa"/>
              <w:bottom w:w="65" w:type="dxa"/>
              <w:right w:w="65" w:type="dxa"/>
            </w:tcMar>
          </w:tcPr>
          <w:p>
            <w:pPr>
              <w:pStyle w:val="TableText"/>
              <w:keepNext w:val="0"/>
              <w:widowControl/>
              <w:jc w:val="left"/>
            </w:pPr>
            <w:r>
              <w:rPr>
                <w:b w:val="0"/>
                <w:sz w:val="17"/>
              </w:rPr>
              <w:t>+0.8875</w:t>
            </w:r>
          </w:p>
        </w:tc>
        <w:tc>
          <w:tcPr>
            <w:tcW w:type="dxa" w:w="1559"/>
            <w:vAlign w:val="center"/>
            <w:tcMar>
              <w:top w:w="65" w:type="dxa"/>
              <w:left w:w="65" w:type="dxa"/>
              <w:bottom w:w="65" w:type="dxa"/>
              <w:right w:w="65" w:type="dxa"/>
            </w:tcMar>
          </w:tcPr>
          <w:p>
            <w:pPr>
              <w:pStyle w:val="TableText"/>
              <w:keepNext w:val="0"/>
              <w:widowControl/>
              <w:jc w:val="left"/>
            </w:pPr>
            <w:r>
              <w:rPr>
                <w:b w:val="0"/>
                <w:sz w:val="17"/>
              </w:rPr>
              <w:t>+0.9069</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7"/>
              </w:rPr>
              <w:t>BINF</w:t>
            </w:r>
          </w:p>
        </w:tc>
        <w:tc>
          <w:tcPr>
            <w:tcW w:type="dxa" w:w="1020"/>
            <w:vAlign w:val="center"/>
            <w:tcMar>
              <w:top w:w="65" w:type="dxa"/>
              <w:left w:w="65" w:type="dxa"/>
              <w:bottom w:w="65" w:type="dxa"/>
              <w:right w:w="65" w:type="dxa"/>
            </w:tcMar>
          </w:tcPr>
          <w:p>
            <w:pPr>
              <w:pStyle w:val="TableText"/>
              <w:keepNext w:val="0"/>
              <w:widowControl/>
              <w:jc w:val="left"/>
            </w:pPr>
            <w:r>
              <w:rPr>
                <w:b w:val="0"/>
                <w:sz w:val="17"/>
              </w:rPr>
              <w:t>C4R</w:t>
            </w:r>
          </w:p>
        </w:tc>
        <w:tc>
          <w:tcPr>
            <w:tcW w:type="dxa" w:w="1559"/>
            <w:vAlign w:val="center"/>
            <w:tcMar>
              <w:top w:w="65" w:type="dxa"/>
              <w:left w:w="65" w:type="dxa"/>
              <w:bottom w:w="65" w:type="dxa"/>
              <w:right w:w="65" w:type="dxa"/>
            </w:tcMar>
          </w:tcPr>
          <w:p>
            <w:pPr>
              <w:pStyle w:val="TableText"/>
              <w:keepNext w:val="0"/>
              <w:widowControl/>
              <w:jc w:val="left"/>
            </w:pPr>
            <w:r>
              <w:rPr>
                <w:b w:val="0"/>
                <w:sz w:val="17"/>
              </w:rPr>
              <w:t>+0.7313</w:t>
            </w:r>
          </w:p>
        </w:tc>
        <w:tc>
          <w:tcPr>
            <w:tcW w:type="dxa" w:w="1559"/>
            <w:vAlign w:val="center"/>
            <w:tcMar>
              <w:top w:w="65" w:type="dxa"/>
              <w:left w:w="65" w:type="dxa"/>
              <w:bottom w:w="65" w:type="dxa"/>
              <w:right w:w="65" w:type="dxa"/>
            </w:tcMar>
          </w:tcPr>
          <w:p>
            <w:pPr>
              <w:pStyle w:val="TableText"/>
              <w:keepNext w:val="0"/>
              <w:widowControl/>
              <w:jc w:val="left"/>
            </w:pPr>
            <w:r>
              <w:rPr>
                <w:b w:val="0"/>
                <w:sz w:val="17"/>
              </w:rPr>
              <w:t>+0.7625</w:t>
            </w:r>
          </w:p>
        </w:tc>
        <w:tc>
          <w:tcPr>
            <w:tcW w:type="dxa" w:w="1559"/>
            <w:vAlign w:val="center"/>
            <w:tcMar>
              <w:top w:w="65" w:type="dxa"/>
              <w:left w:w="65" w:type="dxa"/>
              <w:bottom w:w="65" w:type="dxa"/>
              <w:right w:w="65" w:type="dxa"/>
            </w:tcMar>
          </w:tcPr>
          <w:p>
            <w:pPr>
              <w:pStyle w:val="TableText"/>
              <w:keepNext w:val="0"/>
              <w:widowControl/>
              <w:jc w:val="left"/>
            </w:pPr>
            <w:r>
              <w:rPr>
                <w:b w:val="0"/>
                <w:sz w:val="17"/>
              </w:rPr>
              <w:t>+0.9598</w:t>
            </w:r>
          </w:p>
        </w:tc>
        <w:tc>
          <w:tcPr>
            <w:tcW w:type="dxa" w:w="1559"/>
            <w:vAlign w:val="center"/>
            <w:tcMar>
              <w:top w:w="65" w:type="dxa"/>
              <w:left w:w="65" w:type="dxa"/>
              <w:bottom w:w="65" w:type="dxa"/>
              <w:right w:w="65" w:type="dxa"/>
            </w:tcMar>
          </w:tcPr>
          <w:p>
            <w:pPr>
              <w:pStyle w:val="TableText"/>
              <w:keepNext w:val="0"/>
              <w:widowControl/>
              <w:jc w:val="left"/>
            </w:pPr>
            <w:r>
              <w:rPr>
                <w:b w:val="0"/>
                <w:sz w:val="17"/>
              </w:rPr>
              <w:t>+0.9655</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7"/>
              </w:rPr>
              <w:t>BINF</w:t>
            </w:r>
          </w:p>
        </w:tc>
        <w:tc>
          <w:tcPr>
            <w:tcW w:type="dxa" w:w="1020"/>
            <w:vAlign w:val="center"/>
            <w:tcMar>
              <w:top w:w="65" w:type="dxa"/>
              <w:left w:w="65" w:type="dxa"/>
              <w:bottom w:w="65" w:type="dxa"/>
              <w:right w:w="65" w:type="dxa"/>
            </w:tcMar>
          </w:tcPr>
          <w:p>
            <w:pPr>
              <w:pStyle w:val="TableText"/>
              <w:keepNext w:val="0"/>
              <w:widowControl/>
              <w:jc w:val="left"/>
            </w:pPr>
            <w:r>
              <w:rPr>
                <w:b w:val="0"/>
                <w:sz w:val="17"/>
              </w:rPr>
              <w:t>C5</w:t>
            </w:r>
          </w:p>
        </w:tc>
        <w:tc>
          <w:tcPr>
            <w:tcW w:type="dxa" w:w="1559"/>
            <w:vAlign w:val="center"/>
            <w:tcMar>
              <w:top w:w="65" w:type="dxa"/>
              <w:left w:w="65" w:type="dxa"/>
              <w:bottom w:w="65" w:type="dxa"/>
              <w:right w:w="65" w:type="dxa"/>
            </w:tcMar>
          </w:tcPr>
          <w:p>
            <w:pPr>
              <w:pStyle w:val="TableText"/>
              <w:keepNext w:val="0"/>
              <w:widowControl/>
              <w:jc w:val="left"/>
            </w:pPr>
            <w:r>
              <w:rPr>
                <w:b w:val="0"/>
                <w:sz w:val="17"/>
              </w:rPr>
              <w:t>+0.6957</w:t>
            </w:r>
          </w:p>
        </w:tc>
        <w:tc>
          <w:tcPr>
            <w:tcW w:type="dxa" w:w="1559"/>
            <w:vAlign w:val="center"/>
            <w:tcMar>
              <w:top w:w="65" w:type="dxa"/>
              <w:left w:w="65" w:type="dxa"/>
              <w:bottom w:w="65" w:type="dxa"/>
              <w:right w:w="65" w:type="dxa"/>
            </w:tcMar>
          </w:tcPr>
          <w:p>
            <w:pPr>
              <w:pStyle w:val="TableText"/>
              <w:keepNext w:val="0"/>
              <w:widowControl/>
              <w:jc w:val="left"/>
            </w:pPr>
            <w:r>
              <w:rPr>
                <w:b w:val="0"/>
                <w:sz w:val="17"/>
              </w:rPr>
              <w:t>+0.7743</w:t>
            </w:r>
          </w:p>
        </w:tc>
        <w:tc>
          <w:tcPr>
            <w:tcW w:type="dxa" w:w="1559"/>
            <w:vAlign w:val="center"/>
            <w:tcMar>
              <w:top w:w="65" w:type="dxa"/>
              <w:left w:w="65" w:type="dxa"/>
              <w:bottom w:w="65" w:type="dxa"/>
              <w:right w:w="65" w:type="dxa"/>
            </w:tcMar>
          </w:tcPr>
          <w:p>
            <w:pPr>
              <w:pStyle w:val="TableText"/>
              <w:keepNext w:val="0"/>
              <w:widowControl/>
              <w:jc w:val="left"/>
            </w:pPr>
            <w:r>
              <w:rPr>
                <w:b w:val="0"/>
                <w:sz w:val="17"/>
              </w:rPr>
              <w:t>+0.8195</w:t>
            </w:r>
          </w:p>
        </w:tc>
        <w:tc>
          <w:tcPr>
            <w:tcW w:type="dxa" w:w="1559"/>
            <w:vAlign w:val="center"/>
            <w:tcMar>
              <w:top w:w="65" w:type="dxa"/>
              <w:left w:w="65" w:type="dxa"/>
              <w:bottom w:w="65" w:type="dxa"/>
              <w:right w:w="65" w:type="dxa"/>
            </w:tcMar>
          </w:tcPr>
          <w:p>
            <w:pPr>
              <w:pStyle w:val="TableText"/>
              <w:keepNext w:val="0"/>
              <w:widowControl/>
              <w:jc w:val="left"/>
            </w:pPr>
            <w:r>
              <w:rPr>
                <w:b w:val="0"/>
                <w:sz w:val="17"/>
              </w:rPr>
              <w:t>+0.8243</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7"/>
              </w:rPr>
              <w:t>BINF</w:t>
            </w:r>
          </w:p>
        </w:tc>
        <w:tc>
          <w:tcPr>
            <w:tcW w:type="dxa" w:w="1020"/>
            <w:vAlign w:val="center"/>
            <w:tcMar>
              <w:top w:w="65" w:type="dxa"/>
              <w:left w:w="65" w:type="dxa"/>
              <w:bottom w:w="65" w:type="dxa"/>
              <w:right w:w="65" w:type="dxa"/>
            </w:tcMar>
          </w:tcPr>
          <w:p>
            <w:pPr>
              <w:pStyle w:val="TableText"/>
              <w:keepNext w:val="0"/>
              <w:widowControl/>
              <w:jc w:val="left"/>
            </w:pPr>
            <w:r>
              <w:rPr>
                <w:b w:val="0"/>
                <w:sz w:val="17"/>
              </w:rPr>
              <w:t>C6-E</w:t>
            </w:r>
          </w:p>
        </w:tc>
        <w:tc>
          <w:tcPr>
            <w:tcW w:type="dxa" w:w="1559"/>
            <w:vAlign w:val="center"/>
            <w:tcMar>
              <w:top w:w="65" w:type="dxa"/>
              <w:left w:w="65" w:type="dxa"/>
              <w:bottom w:w="65" w:type="dxa"/>
              <w:right w:w="65" w:type="dxa"/>
            </w:tcMar>
          </w:tcPr>
          <w:p>
            <w:pPr>
              <w:pStyle w:val="TableText"/>
              <w:keepNext w:val="0"/>
              <w:widowControl/>
              <w:jc w:val="left"/>
            </w:pPr>
            <w:r>
              <w:rPr>
                <w:b w:val="0"/>
                <w:sz w:val="17"/>
              </w:rPr>
              <w:t>+0.8785</w:t>
            </w:r>
          </w:p>
        </w:tc>
        <w:tc>
          <w:tcPr>
            <w:tcW w:type="dxa" w:w="1559"/>
            <w:vAlign w:val="center"/>
            <w:tcMar>
              <w:top w:w="65" w:type="dxa"/>
              <w:left w:w="65" w:type="dxa"/>
              <w:bottom w:w="65" w:type="dxa"/>
              <w:right w:w="65" w:type="dxa"/>
            </w:tcMar>
          </w:tcPr>
          <w:p>
            <w:pPr>
              <w:pStyle w:val="TableText"/>
              <w:keepNext w:val="0"/>
              <w:widowControl/>
              <w:jc w:val="left"/>
            </w:pPr>
            <w:r>
              <w:rPr>
                <w:b w:val="0"/>
                <w:sz w:val="17"/>
              </w:rPr>
              <w:t>+0.9694</w:t>
            </w:r>
          </w:p>
        </w:tc>
        <w:tc>
          <w:tcPr>
            <w:tcW w:type="dxa" w:w="1559"/>
            <w:vAlign w:val="center"/>
            <w:tcMar>
              <w:top w:w="65" w:type="dxa"/>
              <w:left w:w="65" w:type="dxa"/>
              <w:bottom w:w="65" w:type="dxa"/>
              <w:right w:w="65" w:type="dxa"/>
            </w:tcMar>
          </w:tcPr>
          <w:p>
            <w:pPr>
              <w:pStyle w:val="TableText"/>
              <w:keepNext w:val="0"/>
              <w:widowControl/>
              <w:jc w:val="left"/>
            </w:pPr>
            <w:r>
              <w:rPr>
                <w:b w:val="0"/>
                <w:sz w:val="17"/>
              </w:rPr>
              <w:t>+1.1740</w:t>
            </w:r>
          </w:p>
        </w:tc>
        <w:tc>
          <w:tcPr>
            <w:tcW w:type="dxa" w:w="1559"/>
            <w:vAlign w:val="center"/>
            <w:tcMar>
              <w:top w:w="65" w:type="dxa"/>
              <w:left w:w="65" w:type="dxa"/>
              <w:bottom w:w="65" w:type="dxa"/>
              <w:right w:w="65" w:type="dxa"/>
            </w:tcMar>
          </w:tcPr>
          <w:p>
            <w:pPr>
              <w:pStyle w:val="TableText"/>
              <w:keepNext w:val="0"/>
              <w:widowControl/>
              <w:jc w:val="left"/>
            </w:pPr>
            <w:r>
              <w:rPr>
                <w:b w:val="0"/>
                <w:sz w:val="17"/>
              </w:rPr>
              <w:t>+1.1867</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7"/>
              </w:rPr>
              <w:t>BINF</w:t>
            </w:r>
          </w:p>
        </w:tc>
        <w:tc>
          <w:tcPr>
            <w:tcW w:type="dxa" w:w="1020"/>
            <w:vAlign w:val="center"/>
            <w:tcMar>
              <w:top w:w="65" w:type="dxa"/>
              <w:left w:w="65" w:type="dxa"/>
              <w:bottom w:w="65" w:type="dxa"/>
              <w:right w:w="65" w:type="dxa"/>
            </w:tcMar>
          </w:tcPr>
          <w:p>
            <w:pPr>
              <w:pStyle w:val="TableText"/>
              <w:keepNext w:val="0"/>
              <w:widowControl/>
              <w:jc w:val="left"/>
            </w:pPr>
            <w:r>
              <w:rPr>
                <w:b w:val="0"/>
                <w:sz w:val="17"/>
              </w:rPr>
              <w:t>C6-EX</w:t>
            </w:r>
          </w:p>
        </w:tc>
        <w:tc>
          <w:tcPr>
            <w:tcW w:type="dxa" w:w="1559"/>
            <w:vAlign w:val="center"/>
            <w:tcMar>
              <w:top w:w="65" w:type="dxa"/>
              <w:left w:w="65" w:type="dxa"/>
              <w:bottom w:w="65" w:type="dxa"/>
              <w:right w:w="65" w:type="dxa"/>
            </w:tcMar>
          </w:tcPr>
          <w:p>
            <w:pPr>
              <w:pStyle w:val="TableText"/>
              <w:keepNext w:val="0"/>
              <w:widowControl/>
              <w:jc w:val="left"/>
            </w:pPr>
            <w:r>
              <w:rPr>
                <w:b w:val="0"/>
                <w:sz w:val="17"/>
              </w:rPr>
              <w:t>+0.7515</w:t>
            </w:r>
          </w:p>
        </w:tc>
        <w:tc>
          <w:tcPr>
            <w:tcW w:type="dxa" w:w="1559"/>
            <w:vAlign w:val="center"/>
            <w:tcMar>
              <w:top w:w="65" w:type="dxa"/>
              <w:left w:w="65" w:type="dxa"/>
              <w:bottom w:w="65" w:type="dxa"/>
              <w:right w:w="65" w:type="dxa"/>
            </w:tcMar>
          </w:tcPr>
          <w:p>
            <w:pPr>
              <w:pStyle w:val="TableText"/>
              <w:keepNext w:val="0"/>
              <w:widowControl/>
              <w:jc w:val="left"/>
            </w:pPr>
            <w:r>
              <w:rPr>
                <w:b w:val="0"/>
                <w:sz w:val="17"/>
              </w:rPr>
              <w:t>+0.8122</w:t>
            </w:r>
          </w:p>
        </w:tc>
        <w:tc>
          <w:tcPr>
            <w:tcW w:type="dxa" w:w="1559"/>
            <w:vAlign w:val="center"/>
            <w:tcMar>
              <w:top w:w="65" w:type="dxa"/>
              <w:left w:w="65" w:type="dxa"/>
              <w:bottom w:w="65" w:type="dxa"/>
              <w:right w:w="65" w:type="dxa"/>
            </w:tcMar>
          </w:tcPr>
          <w:p>
            <w:pPr>
              <w:pStyle w:val="TableText"/>
              <w:keepNext w:val="0"/>
              <w:widowControl/>
              <w:jc w:val="left"/>
            </w:pPr>
            <w:r>
              <w:rPr>
                <w:b w:val="0"/>
                <w:sz w:val="17"/>
              </w:rPr>
              <w:t>+1.0974</w:t>
            </w:r>
          </w:p>
        </w:tc>
        <w:tc>
          <w:tcPr>
            <w:tcW w:type="dxa" w:w="1559"/>
            <w:vAlign w:val="center"/>
            <w:tcMar>
              <w:top w:w="65" w:type="dxa"/>
              <w:left w:w="65" w:type="dxa"/>
              <w:bottom w:w="65" w:type="dxa"/>
              <w:right w:w="65" w:type="dxa"/>
            </w:tcMar>
          </w:tcPr>
          <w:p>
            <w:pPr>
              <w:pStyle w:val="TableText"/>
              <w:keepNext w:val="0"/>
              <w:widowControl/>
              <w:jc w:val="left"/>
            </w:pPr>
            <w:r>
              <w:rPr>
                <w:b w:val="0"/>
                <w:sz w:val="17"/>
              </w:rPr>
              <w:t>+1.0974</w:t>
            </w:r>
          </w:p>
        </w:tc>
      </w:tr>
    </w:tbl>
    <w:p>
      <w:pPr>
        <w:pStyle w:val="SourceNote"/>
        <w:widowControl/>
      </w:pPr>
      <w:r>
        <w:t>자료: V4.3 최종 평가 패키지의 기업별 Stage9 ITT 기록을 재집계. Main Run1, IC-b, 기업 575개. 모든 열은 N=575의 ITT이다. Repair는 추가 생성이 아니라 동일 원응답의 실행규칙 변경이다.</w:t>
      </w:r>
    </w:p>
    <w:p>
      <w:bookmarkStart w:id="146" w:name="cap_43"/>
      <w:pPr>
        <w:pStyle w:val="af"/>
        <w:widowControl/>
      </w:pPr>
      <w:r>
        <w:t>그림 6-5. GPT-5.4-mini B1의 네 생성·실행 조합</w:t>
      </w:r>
      <w:bookmarkEnd w:id="146"/>
    </w:p>
    <w:p>
      <w:pPr>
        <w:keepNext/>
        <w:widowControl/>
        <w:ind w:firstLine="0"/>
        <w:jc w:val="center"/>
      </w:pPr>
      <w:r>
        <w:drawing>
          <wp:inline xmlns:a="http://schemas.openxmlformats.org/drawingml/2006/main" xmlns:pic="http://schemas.openxmlformats.org/drawingml/2006/picture">
            <wp:extent cx="5040000" cy="2940000"/>
            <wp:docPr id="7" name="Picture 7"/>
            <wp:cNvGraphicFramePr>
              <a:graphicFrameLocks noChangeAspect="1"/>
            </wp:cNvGraphicFramePr>
            <a:graphic>
              <a:graphicData uri="http://schemas.openxmlformats.org/drawingml/2006/picture">
                <pic:pic>
                  <pic:nvPicPr>
                    <pic:cNvPr id="0" name="value_openai_gpt54mini_B1.png"/>
                    <pic:cNvPicPr/>
                  </pic:nvPicPr>
                  <pic:blipFill>
                    <a:blip r:embed="rId39"/>
                    <a:stretch>
                      <a:fillRect/>
                    </a:stretch>
                  </pic:blipFill>
                  <pic:spPr>
                    <a:xfrm>
                      <a:off x="0" y="0"/>
                      <a:ext cx="5040000" cy="2940000"/>
                    </a:xfrm>
                    <a:prstGeom prst="rect"/>
                  </pic:spPr>
                </pic:pic>
              </a:graphicData>
            </a:graphic>
          </wp:inline>
        </w:drawing>
      </w:r>
    </w:p>
    <w:p>
      <w:pPr>
        <w:pStyle w:val="SourceNote"/>
        <w:widowControl/>
      </w:pPr>
      <w:r>
        <w:t>자료: Run1/IC-b, Oracle-α의 A0 대비 평균. 점선은 동결 C3-E의 +0.923299이다. 각 선은 서로 다른 생성·실행 조합이며 성과의 표본선택 없이 모든 다섯 정책을 표시하였다.</w:t>
      </w:r>
    </w:p>
    <w:p>
      <w:bookmarkStart w:id="147" w:name="cap_44"/>
      <w:pPr>
        <w:pStyle w:val="af"/>
        <w:widowControl/>
      </w:pPr>
      <w:r>
        <w:t>그림 6-6. GPT-5.4-mini BINF의 네 생성·실행 조합</w:t>
      </w:r>
      <w:bookmarkEnd w:id="147"/>
    </w:p>
    <w:p>
      <w:pPr>
        <w:keepNext/>
        <w:widowControl/>
        <w:ind w:firstLine="0"/>
        <w:jc w:val="center"/>
      </w:pPr>
      <w:r>
        <w:drawing>
          <wp:inline xmlns:a="http://schemas.openxmlformats.org/drawingml/2006/main" xmlns:pic="http://schemas.openxmlformats.org/drawingml/2006/picture">
            <wp:extent cx="5040000" cy="2940000"/>
            <wp:docPr id="8" name="Picture 8"/>
            <wp:cNvGraphicFramePr>
              <a:graphicFrameLocks noChangeAspect="1"/>
            </wp:cNvGraphicFramePr>
            <a:graphic>
              <a:graphicData uri="http://schemas.openxmlformats.org/drawingml/2006/picture">
                <pic:pic>
                  <pic:nvPicPr>
                    <pic:cNvPr id="0" name="value_openai_gpt54mini_BINF.png"/>
                    <pic:cNvPicPr/>
                  </pic:nvPicPr>
                  <pic:blipFill>
                    <a:blip r:embed="rId40"/>
                    <a:stretch>
                      <a:fillRect/>
                    </a:stretch>
                  </pic:blipFill>
                  <pic:spPr>
                    <a:xfrm>
                      <a:off x="0" y="0"/>
                      <a:ext cx="5040000" cy="2940000"/>
                    </a:xfrm>
                    <a:prstGeom prst="rect"/>
                  </pic:spPr>
                </pic:pic>
              </a:graphicData>
            </a:graphic>
          </wp:inline>
        </w:drawing>
      </w:r>
    </w:p>
    <w:p>
      <w:pPr>
        <w:pStyle w:val="SourceNote"/>
        <w:widowControl/>
      </w:pPr>
      <w:r>
        <w:t>자료: Run1/IC-b, Oracle-α의 A0 대비 평균. 점선은 동결 C3-E의 +0.923299이다. 각 선은 서로 다른 생성·실행 조합이며 성과의 표본선택 없이 모든 다섯 정책을 표시하였다.</w:t>
      </w:r>
    </w:p>
    <w:p>
      <w:pPr>
        <w:widowControl/>
      </w:pPr>
      <w:r>
        <w:t>특히 GPT Baseline B1에서 자기 재검토의 Strict 차이는 +0.010520이지만 Repaired 차이는 +0.004748이다. 직접생성 C4의 많은 불용 응답을 결정론적으로 사용할 수 있게 바꾸면, 자기 재검토를 한 번 더 수행하여 관측되던 평균상의 이득이 크게 작아진다. 따라서 C4R의 관측효과를 단순히 ‘생각을 한 번 더 했기 때문에 경제적 판단이 개선되었다’로 귀속하기 어렵다.</w:t>
      </w:r>
    </w:p>
    <w:p>
      <w:pPr>
        <w:widowControl/>
      </w:pPr>
      <w:r>
        <w:t>이것은 자기 재검토가 무조건 쓸모없다는 결론이 아니다. 실행규칙이 다르면 직접생성과 수정조건의 상대적 출발점도 달라진다는 뜻이다. 또한 Repair가 행동량을 바꾸므로 Strict와 Repaired의 차이를 인과적 mediation 또는 판단능력의 완전한 분해로 부르지 않는다. 수리되지 않은 원응답과 수리된 행동을 함께 보존한 민감도 분석으로 해석한다.</w:t>
      </w:r>
    </w:p>
    <w:p>
      <w:bookmarkStart w:id="148" w:name="head_104"/>
      <w:pPr>
        <w:pStyle w:val="2"/>
        <w:widowControl/>
      </w:pPr>
      <w:r>
        <w:t>6.4 High의 수정효과와 Baseline 대비 변화</w:t>
      </w:r>
      <w:bookmarkEnd w:id="148"/>
    </w:p>
    <w:p>
      <w:bookmarkStart w:id="149" w:name="head_105"/>
      <w:pPr>
        <w:pStyle w:val="3"/>
        <w:widowControl/>
      </w:pPr>
      <w:r>
        <w:t>6.4.1 High regime 안의 네 중심 대비</w:t>
      </w:r>
      <w:bookmarkEnd w:id="149"/>
    </w:p>
    <w:p>
      <w:bookmarkStart w:id="150" w:name="cap_45"/>
      <w:pPr>
        <w:pStyle w:val="af"/>
        <w:widowControl/>
      </w:pPr>
      <w:r>
        <w:t>표 6-8. Gemini 3.1 Flash-Lite High Strict ITT의 네 대비</w:t>
      </w:r>
      <w:bookmarkEnd w:id="150"/>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680"/>
        <w:gridCol w:w="1757"/>
        <w:gridCol w:w="1417"/>
        <w:gridCol w:w="2665"/>
        <w:gridCol w:w="1417"/>
      </w:tblGrid>
      <w:tr>
        <w:trPr>
          <w:cantSplit/>
          <w:tblHeader/>
        </w:trPr>
        <w:tc>
          <w:tcPr>
            <w:tcW w:type="dxa" w:w="680"/>
            <w:vAlign w:val="center"/>
            <w:shd w:fill="F1F1F1"/>
            <w:tcMar>
              <w:top w:w="65" w:type="dxa"/>
              <w:left w:w="65" w:type="dxa"/>
              <w:bottom w:w="65" w:type="dxa"/>
              <w:right w:w="65" w:type="dxa"/>
            </w:tcMar>
          </w:tcPr>
          <w:p>
            <w:pPr>
              <w:pStyle w:val="TableText"/>
              <w:keepNext/>
              <w:widowControl/>
              <w:jc w:val="center"/>
            </w:pPr>
            <w:r>
              <w:rPr>
                <w:b/>
                <w:sz w:val="18"/>
              </w:rPr>
              <w:t>예산</w:t>
            </w:r>
          </w:p>
        </w:tc>
        <w:tc>
          <w:tcPr>
            <w:tcW w:type="dxa" w:w="1757"/>
            <w:vAlign w:val="center"/>
            <w:shd w:fill="F1F1F1"/>
            <w:tcMar>
              <w:top w:w="65" w:type="dxa"/>
              <w:left w:w="65" w:type="dxa"/>
              <w:bottom w:w="65" w:type="dxa"/>
              <w:right w:w="65" w:type="dxa"/>
            </w:tcMar>
          </w:tcPr>
          <w:p>
            <w:pPr>
              <w:pStyle w:val="TableText"/>
              <w:keepNext/>
              <w:widowControl/>
              <w:jc w:val="center"/>
            </w:pPr>
            <w:r>
              <w:rPr>
                <w:b/>
                <w:sz w:val="18"/>
              </w:rPr>
              <w:t>대비</w:t>
            </w:r>
          </w:p>
        </w:tc>
        <w:tc>
          <w:tcPr>
            <w:tcW w:type="dxa" w:w="1417"/>
            <w:vAlign w:val="center"/>
            <w:shd w:fill="F1F1F1"/>
            <w:tcMar>
              <w:top w:w="65" w:type="dxa"/>
              <w:left w:w="65" w:type="dxa"/>
              <w:bottom w:w="65" w:type="dxa"/>
              <w:right w:w="65" w:type="dxa"/>
            </w:tcMar>
          </w:tcPr>
          <w:p>
            <w:pPr>
              <w:pStyle w:val="TableText"/>
              <w:keepNext/>
              <w:widowControl/>
              <w:jc w:val="center"/>
            </w:pPr>
            <w:r>
              <w:rPr>
                <w:b/>
                <w:sz w:val="18"/>
              </w:rPr>
              <w:t>평균 Δα</w:t>
            </w:r>
          </w:p>
        </w:tc>
        <w:tc>
          <w:tcPr>
            <w:tcW w:type="dxa" w:w="2665"/>
            <w:vAlign w:val="center"/>
            <w:shd w:fill="F1F1F1"/>
            <w:tcMar>
              <w:top w:w="65" w:type="dxa"/>
              <w:left w:w="65" w:type="dxa"/>
              <w:bottom w:w="65" w:type="dxa"/>
              <w:right w:w="65" w:type="dxa"/>
            </w:tcMar>
          </w:tcPr>
          <w:p>
            <w:pPr>
              <w:pStyle w:val="TableText"/>
              <w:keepNext/>
              <w:widowControl/>
              <w:jc w:val="center"/>
            </w:pPr>
            <w:r>
              <w:rPr>
                <w:b/>
                <w:sz w:val="18"/>
              </w:rPr>
              <w:t>95% 구간</w:t>
            </w:r>
          </w:p>
        </w:tc>
        <w:tc>
          <w:tcPr>
            <w:tcW w:type="dxa" w:w="1417"/>
            <w:vAlign w:val="center"/>
            <w:shd w:fill="F1F1F1"/>
            <w:tcMar>
              <w:top w:w="65" w:type="dxa"/>
              <w:left w:w="65" w:type="dxa"/>
              <w:bottom w:w="65" w:type="dxa"/>
              <w:right w:w="65" w:type="dxa"/>
            </w:tcMar>
          </w:tcPr>
          <w:p>
            <w:pPr>
              <w:pStyle w:val="TableText"/>
              <w:keepNext/>
              <w:widowControl/>
              <w:jc w:val="center"/>
            </w:pPr>
            <w:r>
              <w:rPr>
                <w:b/>
                <w:sz w:val="18"/>
              </w:rPr>
              <w:t>Holm p</w:t>
            </w:r>
          </w:p>
        </w:tc>
      </w:tr>
      <w:tr>
        <w:trPr>
          <w:cantSplit/>
        </w:trPr>
        <w:tc>
          <w:tcPr>
            <w:tcW w:type="dxa" w:w="680"/>
            <w:vAlign w:val="center"/>
            <w:tcMar>
              <w:top w:w="65" w:type="dxa"/>
              <w:left w:w="65" w:type="dxa"/>
              <w:bottom w:w="65" w:type="dxa"/>
              <w:right w:w="65" w:type="dxa"/>
            </w:tcMar>
          </w:tcPr>
          <w:p>
            <w:pPr>
              <w:pStyle w:val="TableText"/>
              <w:keepNext/>
              <w:widowControl/>
              <w:jc w:val="left"/>
            </w:pPr>
            <w:r>
              <w:rPr>
                <w:b w:val="0"/>
                <w:sz w:val="18"/>
              </w:rPr>
              <w:t>B1</w:t>
            </w:r>
          </w:p>
        </w:tc>
        <w:tc>
          <w:tcPr>
            <w:tcW w:type="dxa" w:w="1757"/>
            <w:vAlign w:val="center"/>
            <w:tcMar>
              <w:top w:w="65" w:type="dxa"/>
              <w:left w:w="65" w:type="dxa"/>
              <w:bottom w:w="65" w:type="dxa"/>
              <w:right w:w="65" w:type="dxa"/>
            </w:tcMar>
          </w:tcPr>
          <w:p>
            <w:pPr>
              <w:pStyle w:val="TableText"/>
              <w:keepNext/>
              <w:widowControl/>
              <w:jc w:val="left"/>
            </w:pPr>
            <w:r>
              <w:rPr>
                <w:b w:val="0"/>
                <w:sz w:val="18"/>
              </w:rPr>
              <w:t>C4R−C4</w:t>
            </w:r>
          </w:p>
        </w:tc>
        <w:tc>
          <w:tcPr>
            <w:tcW w:type="dxa" w:w="1417"/>
            <w:vAlign w:val="center"/>
            <w:tcMar>
              <w:top w:w="65" w:type="dxa"/>
              <w:left w:w="65" w:type="dxa"/>
              <w:bottom w:w="65" w:type="dxa"/>
              <w:right w:w="65" w:type="dxa"/>
            </w:tcMar>
          </w:tcPr>
          <w:p>
            <w:pPr>
              <w:pStyle w:val="TableText"/>
              <w:keepNext/>
              <w:widowControl/>
              <w:jc w:val="left"/>
            </w:pPr>
            <w:r>
              <w:rPr>
                <w:b w:val="0"/>
                <w:sz w:val="18"/>
              </w:rPr>
              <w:t>-0.0102</w:t>
            </w:r>
          </w:p>
        </w:tc>
        <w:tc>
          <w:tcPr>
            <w:tcW w:type="dxa" w:w="2665"/>
            <w:vAlign w:val="center"/>
            <w:tcMar>
              <w:top w:w="65" w:type="dxa"/>
              <w:left w:w="65" w:type="dxa"/>
              <w:bottom w:w="65" w:type="dxa"/>
              <w:right w:w="65" w:type="dxa"/>
            </w:tcMar>
          </w:tcPr>
          <w:p>
            <w:pPr>
              <w:pStyle w:val="TableText"/>
              <w:keepNext/>
              <w:widowControl/>
              <w:jc w:val="left"/>
            </w:pPr>
            <w:r>
              <w:rPr>
                <w:b w:val="0"/>
                <w:sz w:val="18"/>
              </w:rPr>
              <w:t>[-0.0429, +0.0209]</w:t>
            </w:r>
          </w:p>
        </w:tc>
        <w:tc>
          <w:tcPr>
            <w:tcW w:type="dxa" w:w="1417"/>
            <w:vAlign w:val="center"/>
            <w:tcMar>
              <w:top w:w="65" w:type="dxa"/>
              <w:left w:w="65" w:type="dxa"/>
              <w:bottom w:w="65" w:type="dxa"/>
              <w:right w:w="65" w:type="dxa"/>
            </w:tcMar>
          </w:tcPr>
          <w:p>
            <w:pPr>
              <w:pStyle w:val="TableText"/>
              <w:keepNext/>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757"/>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+0.0649</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[+0.0051, +0.1250]</w:t>
            </w:r>
          </w:p>
        </w:tc>
        <w:tc>
          <w:tcPr>
            <w:tcW w:type="dxa" w:w="1417"/>
            <w:vAlign w:val="center"/>
            <w:tcMar>
              <w:top w:w="65" w:type="dxa"/>
              <w:left w:w="65" w:type="dxa"/>
              <w:bottom w:w="65" w:type="dxa"/>
              <w:right w:w="65" w:type="dxa"/>
            </w:tcMar>
          </w:tcPr>
          <w:p>
            <w:pPr>
              <w:pStyle w:val="TableText"/>
              <w:keepNext w:val="0"/>
              <w:widowControl/>
              <w:jc w:val="left"/>
            </w:pPr>
            <w:r>
              <w:rPr>
                <w:b w:val="0"/>
                <w:sz w:val="18"/>
              </w:rPr>
              <w:t>0.1848</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757"/>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+0.0897</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[+0.0408, +0.1405]</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0.0028</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757"/>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+0.0412</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[-0.0134, +0.0986]</w:t>
            </w:r>
          </w:p>
        </w:tc>
        <w:tc>
          <w:tcPr>
            <w:tcW w:type="dxa" w:w="1417"/>
            <w:vAlign w:val="center"/>
            <w:tcMar>
              <w:top w:w="65" w:type="dxa"/>
              <w:left w:w="65" w:type="dxa"/>
              <w:bottom w:w="65" w:type="dxa"/>
              <w:right w:w="65" w:type="dxa"/>
            </w:tcMar>
          </w:tcPr>
          <w:p>
            <w:pPr>
              <w:pStyle w:val="TableText"/>
              <w:keepNext w:val="0"/>
              <w:widowControl/>
              <w:jc w:val="left"/>
            </w:pPr>
            <w:r>
              <w:rPr>
                <w:b w:val="0"/>
                <w:sz w:val="18"/>
              </w:rPr>
              <w:t>0.6899</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757"/>
            <w:vAlign w:val="center"/>
            <w:tcMar>
              <w:top w:w="65" w:type="dxa"/>
              <w:left w:w="65" w:type="dxa"/>
              <w:bottom w:w="65" w:type="dxa"/>
              <w:right w:w="65" w:type="dxa"/>
            </w:tcMar>
          </w:tcPr>
          <w:p>
            <w:pPr>
              <w:pStyle w:val="TableText"/>
              <w:keepNext w:val="0"/>
              <w:widowControl/>
              <w:jc w:val="left"/>
            </w:pPr>
            <w:r>
              <w:rPr>
                <w:b w:val="0"/>
                <w:sz w:val="18"/>
              </w:rPr>
              <w:t>C4R−C4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+0.1449</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[+0.0914, +0.2009]</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0.0016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757"/>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-0.0652</w:t>
            </w:r>
          </w:p>
        </w:tc>
        <w:tc>
          <w:tcPr>
            <w:tcW w:type="dxa" w:w="2665"/>
            <w:vAlign w:val="center"/>
            <w:tcMar>
              <w:top w:w="65" w:type="dxa"/>
              <w:left w:w="65" w:type="dxa"/>
              <w:bottom w:w="65" w:type="dxa"/>
              <w:right w:w="65" w:type="dxa"/>
            </w:tcMar>
          </w:tcPr>
          <w:p>
            <w:pPr>
              <w:pStyle w:val="TableText"/>
              <w:keepNext w:val="0"/>
              <w:widowControl/>
              <w:jc w:val="left"/>
            </w:pPr>
            <w:r>
              <w:rPr>
                <w:b w:val="0"/>
                <w:sz w:val="18"/>
              </w:rPr>
              <w:t>[-0.1514, +0.0199]</w:t>
            </w:r>
          </w:p>
        </w:tc>
        <w:tc>
          <w:tcPr>
            <w:tcW w:type="dxa" w:w="1417"/>
            <w:vAlign w:val="center"/>
            <w:tcMar>
              <w:top w:w="65" w:type="dxa"/>
              <w:left w:w="65" w:type="dxa"/>
              <w:bottom w:w="65" w:type="dxa"/>
              <w:right w:w="65" w:type="dxa"/>
            </w:tcMar>
          </w:tcPr>
          <w:p>
            <w:pPr>
              <w:pStyle w:val="TableText"/>
              <w:keepNext w:val="0"/>
              <w:widowControl/>
              <w:jc w:val="left"/>
            </w:pPr>
            <w:r>
              <w:rPr>
                <w:b w:val="0"/>
                <w:sz w:val="18"/>
              </w:rPr>
              <w:t>0.6899</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757"/>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+0.0431</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[-0.0188, +0.1053]</w:t>
            </w:r>
          </w:p>
        </w:tc>
        <w:tc>
          <w:tcPr>
            <w:tcW w:type="dxa" w:w="1417"/>
            <w:vAlign w:val="center"/>
            <w:tcMar>
              <w:top w:w="65" w:type="dxa"/>
              <w:left w:w="65" w:type="dxa"/>
              <w:bottom w:w="65" w:type="dxa"/>
              <w:right w:w="65" w:type="dxa"/>
            </w:tcMar>
          </w:tcPr>
          <w:p>
            <w:pPr>
              <w:pStyle w:val="TableText"/>
              <w:keepNext w:val="0"/>
              <w:widowControl/>
              <w:jc w:val="left"/>
            </w:pPr>
            <w:r>
              <w:rPr>
                <w:b w:val="0"/>
                <w:sz w:val="18"/>
              </w:rPr>
              <w:t>0.6899</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757"/>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+0.0153</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[-0.0405, +0.0724]</w:t>
            </w:r>
          </w:p>
        </w:tc>
        <w:tc>
          <w:tcPr>
            <w:tcW w:type="dxa" w:w="1417"/>
            <w:vAlign w:val="center"/>
            <w:tcMar>
              <w:top w:w="65" w:type="dxa"/>
              <w:left w:w="65" w:type="dxa"/>
              <w:bottom w:w="65" w:type="dxa"/>
              <w:right w:w="65" w:type="dxa"/>
            </w:tcMar>
          </w:tcPr>
          <w:p>
            <w:pPr>
              <w:pStyle w:val="TableText"/>
              <w:keepNext w:val="0"/>
              <w:widowControl/>
              <w:jc w:val="left"/>
            </w:pPr>
            <w:r>
              <w:rPr>
                <w:b w:val="0"/>
                <w:sz w:val="18"/>
              </w:rPr>
              <w:t>1.0000</w:t>
            </w:r>
          </w:p>
        </w:tc>
      </w:tr>
    </w:tbl>
    <w:p>
      <w:pPr>
        <w:pStyle w:val="SourceNote"/>
        <w:widowControl/>
      </w:pPr>
      <w:r>
        <w:t>자료: 추가 High 실행의 Main Run1/free8/IC-b. N=575, p는 8개 family의 bootstrap sign-tail Holm 조정값이다. 본실험 primary로 소급 취급하지 않는다.</w:t>
      </w:r>
    </w:p>
    <w:p>
      <w:bookmarkStart w:id="151" w:name="cap_46"/>
      <w:pPr>
        <w:pStyle w:val="af"/>
        <w:widowControl/>
      </w:pPr>
      <w:r>
        <w:t>표 6-9. GPT-5.4-mini High Strict ITT의 네 대비</w:t>
      </w:r>
      <w:bookmarkEnd w:id="151"/>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680"/>
        <w:gridCol w:w="1757"/>
        <w:gridCol w:w="1417"/>
        <w:gridCol w:w="2665"/>
        <w:gridCol w:w="1417"/>
      </w:tblGrid>
      <w:tr>
        <w:trPr>
          <w:cantSplit/>
          <w:tblHeader/>
        </w:trPr>
        <w:tc>
          <w:tcPr>
            <w:tcW w:type="dxa" w:w="680"/>
            <w:vAlign w:val="center"/>
            <w:shd w:fill="F1F1F1"/>
            <w:tcMar>
              <w:top w:w="65" w:type="dxa"/>
              <w:left w:w="65" w:type="dxa"/>
              <w:bottom w:w="65" w:type="dxa"/>
              <w:right w:w="65" w:type="dxa"/>
            </w:tcMar>
          </w:tcPr>
          <w:p>
            <w:pPr>
              <w:pStyle w:val="TableText"/>
              <w:keepNext/>
              <w:widowControl/>
              <w:jc w:val="center"/>
            </w:pPr>
            <w:r>
              <w:rPr>
                <w:b/>
                <w:sz w:val="18"/>
              </w:rPr>
              <w:t>예산</w:t>
            </w:r>
          </w:p>
        </w:tc>
        <w:tc>
          <w:tcPr>
            <w:tcW w:type="dxa" w:w="1757"/>
            <w:vAlign w:val="center"/>
            <w:shd w:fill="F1F1F1"/>
            <w:tcMar>
              <w:top w:w="65" w:type="dxa"/>
              <w:left w:w="65" w:type="dxa"/>
              <w:bottom w:w="65" w:type="dxa"/>
              <w:right w:w="65" w:type="dxa"/>
            </w:tcMar>
          </w:tcPr>
          <w:p>
            <w:pPr>
              <w:pStyle w:val="TableText"/>
              <w:keepNext/>
              <w:widowControl/>
              <w:jc w:val="center"/>
            </w:pPr>
            <w:r>
              <w:rPr>
                <w:b/>
                <w:sz w:val="18"/>
              </w:rPr>
              <w:t>대비</w:t>
            </w:r>
          </w:p>
        </w:tc>
        <w:tc>
          <w:tcPr>
            <w:tcW w:type="dxa" w:w="1417"/>
            <w:vAlign w:val="center"/>
            <w:shd w:fill="F1F1F1"/>
            <w:tcMar>
              <w:top w:w="65" w:type="dxa"/>
              <w:left w:w="65" w:type="dxa"/>
              <w:bottom w:w="65" w:type="dxa"/>
              <w:right w:w="65" w:type="dxa"/>
            </w:tcMar>
          </w:tcPr>
          <w:p>
            <w:pPr>
              <w:pStyle w:val="TableText"/>
              <w:keepNext/>
              <w:widowControl/>
              <w:jc w:val="center"/>
            </w:pPr>
            <w:r>
              <w:rPr>
                <w:b/>
                <w:sz w:val="18"/>
              </w:rPr>
              <w:t>평균 Δα</w:t>
            </w:r>
          </w:p>
        </w:tc>
        <w:tc>
          <w:tcPr>
            <w:tcW w:type="dxa" w:w="2665"/>
            <w:vAlign w:val="center"/>
            <w:shd w:fill="F1F1F1"/>
            <w:tcMar>
              <w:top w:w="65" w:type="dxa"/>
              <w:left w:w="65" w:type="dxa"/>
              <w:bottom w:w="65" w:type="dxa"/>
              <w:right w:w="65" w:type="dxa"/>
            </w:tcMar>
          </w:tcPr>
          <w:p>
            <w:pPr>
              <w:pStyle w:val="TableText"/>
              <w:keepNext/>
              <w:widowControl/>
              <w:jc w:val="center"/>
            </w:pPr>
            <w:r>
              <w:rPr>
                <w:b/>
                <w:sz w:val="18"/>
              </w:rPr>
              <w:t>95% 구간</w:t>
            </w:r>
          </w:p>
        </w:tc>
        <w:tc>
          <w:tcPr>
            <w:tcW w:type="dxa" w:w="1417"/>
            <w:vAlign w:val="center"/>
            <w:shd w:fill="F1F1F1"/>
            <w:tcMar>
              <w:top w:w="65" w:type="dxa"/>
              <w:left w:w="65" w:type="dxa"/>
              <w:bottom w:w="65" w:type="dxa"/>
              <w:right w:w="65" w:type="dxa"/>
            </w:tcMar>
          </w:tcPr>
          <w:p>
            <w:pPr>
              <w:pStyle w:val="TableText"/>
              <w:keepNext/>
              <w:widowControl/>
              <w:jc w:val="center"/>
            </w:pPr>
            <w:r>
              <w:rPr>
                <w:b/>
                <w:sz w:val="18"/>
              </w:rPr>
              <w:t>Holm p</w:t>
            </w:r>
          </w:p>
        </w:tc>
      </w:tr>
      <w:tr>
        <w:trPr>
          <w:cantSplit/>
        </w:trPr>
        <w:tc>
          <w:tcPr>
            <w:tcW w:type="dxa" w:w="680"/>
            <w:vAlign w:val="center"/>
            <w:tcMar>
              <w:top w:w="65" w:type="dxa"/>
              <w:left w:w="65" w:type="dxa"/>
              <w:bottom w:w="65" w:type="dxa"/>
              <w:right w:w="65" w:type="dxa"/>
            </w:tcMar>
          </w:tcPr>
          <w:p>
            <w:pPr>
              <w:pStyle w:val="TableText"/>
              <w:keepNext/>
              <w:widowControl/>
              <w:jc w:val="left"/>
            </w:pPr>
            <w:r>
              <w:rPr>
                <w:b w:val="0"/>
                <w:sz w:val="18"/>
              </w:rPr>
              <w:t>B1</w:t>
            </w:r>
          </w:p>
        </w:tc>
        <w:tc>
          <w:tcPr>
            <w:tcW w:type="dxa" w:w="1757"/>
            <w:vAlign w:val="center"/>
            <w:tcMar>
              <w:top w:w="65" w:type="dxa"/>
              <w:left w:w="65" w:type="dxa"/>
              <w:bottom w:w="65" w:type="dxa"/>
              <w:right w:w="65" w:type="dxa"/>
            </w:tcMar>
          </w:tcPr>
          <w:p>
            <w:pPr>
              <w:pStyle w:val="TableText"/>
              <w:keepNext/>
              <w:widowControl/>
              <w:jc w:val="left"/>
            </w:pPr>
            <w:r>
              <w:rPr>
                <w:b w:val="0"/>
                <w:sz w:val="18"/>
              </w:rPr>
              <w:t>C4R−C4</w:t>
            </w:r>
          </w:p>
        </w:tc>
        <w:tc>
          <w:tcPr>
            <w:tcW w:type="dxa" w:w="1417"/>
            <w:vAlign w:val="center"/>
            <w:tcMar>
              <w:top w:w="65" w:type="dxa"/>
              <w:left w:w="65" w:type="dxa"/>
              <w:bottom w:w="65" w:type="dxa"/>
              <w:right w:w="65" w:type="dxa"/>
            </w:tcMar>
          </w:tcPr>
          <w:p>
            <w:pPr>
              <w:pStyle w:val="TableText"/>
              <w:keepNext/>
              <w:widowControl/>
              <w:jc w:val="left"/>
            </w:pPr>
            <w:r>
              <w:rPr>
                <w:b w:val="0"/>
                <w:sz w:val="18"/>
              </w:rPr>
              <w:t>+0.0264</w:t>
            </w:r>
          </w:p>
        </w:tc>
        <w:tc>
          <w:tcPr>
            <w:tcW w:type="dxa" w:w="2665"/>
            <w:vAlign w:val="center"/>
            <w:tcMar>
              <w:top w:w="65" w:type="dxa"/>
              <w:left w:w="65" w:type="dxa"/>
              <w:bottom w:w="65" w:type="dxa"/>
              <w:right w:w="65" w:type="dxa"/>
            </w:tcMar>
          </w:tcPr>
          <w:p>
            <w:pPr>
              <w:pStyle w:val="TableText"/>
              <w:keepNext/>
              <w:widowControl/>
              <w:jc w:val="left"/>
            </w:pPr>
            <w:r>
              <w:rPr>
                <w:b w:val="0"/>
                <w:sz w:val="18"/>
              </w:rPr>
              <w:t>[-0.0000, +0.0553]</w:t>
            </w:r>
          </w:p>
        </w:tc>
        <w:tc>
          <w:tcPr>
            <w:tcW w:type="dxa" w:w="1417"/>
            <w:vAlign w:val="center"/>
            <w:tcMar>
              <w:top w:w="65" w:type="dxa"/>
              <w:left w:w="65" w:type="dxa"/>
              <w:bottom w:w="65" w:type="dxa"/>
              <w:right w:w="65" w:type="dxa"/>
            </w:tcMar>
          </w:tcPr>
          <w:p>
            <w:pPr>
              <w:pStyle w:val="TableText"/>
              <w:keepNext/>
              <w:widowControl/>
              <w:jc w:val="left"/>
            </w:pPr>
            <w:r>
              <w:rPr>
                <w:b w:val="0"/>
                <w:sz w:val="18"/>
              </w:rPr>
              <w:t>0.1936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757"/>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+0.0129</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[-0.0464, +0.0725]</w:t>
            </w:r>
          </w:p>
        </w:tc>
        <w:tc>
          <w:tcPr>
            <w:tcW w:type="dxa" w:w="1417"/>
            <w:vAlign w:val="center"/>
            <w:tcMar>
              <w:top w:w="65" w:type="dxa"/>
              <w:left w:w="65" w:type="dxa"/>
              <w:bottom w:w="65" w:type="dxa"/>
              <w:right w:w="65" w:type="dxa"/>
            </w:tcMar>
          </w:tcPr>
          <w:p>
            <w:pPr>
              <w:pStyle w:val="TableText"/>
              <w:keepNext w:val="0"/>
              <w:widowControl/>
              <w:jc w:val="left"/>
            </w:pPr>
            <w:r>
              <w:rPr>
                <w:b w:val="0"/>
                <w:sz w:val="18"/>
              </w:rPr>
              <w:t>0.6679</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757"/>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+0.1003</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[+0.0368, +0.1631]</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0.0120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757"/>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+0.1146</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[+0.0443, +0.1864]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0.0084</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757"/>
            <w:vAlign w:val="center"/>
            <w:tcMar>
              <w:top w:w="65" w:type="dxa"/>
              <w:left w:w="65" w:type="dxa"/>
              <w:bottom w:w="65" w:type="dxa"/>
              <w:right w:w="65" w:type="dxa"/>
            </w:tcMar>
          </w:tcPr>
          <w:p>
            <w:pPr>
              <w:pStyle w:val="TableText"/>
              <w:keepNext w:val="0"/>
              <w:widowControl/>
              <w:jc w:val="left"/>
            </w:pPr>
            <w:r>
              <w:rPr>
                <w:b w:val="0"/>
                <w:sz w:val="18"/>
              </w:rPr>
              <w:t>C4R−C4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+0.0724</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[+0.0290, +0.1189]</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0.0016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757"/>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-0.0680</w:t>
            </w:r>
          </w:p>
        </w:tc>
        <w:tc>
          <w:tcPr>
            <w:tcW w:type="dxa" w:w="2665"/>
            <w:vAlign w:val="center"/>
            <w:tcMar>
              <w:top w:w="65" w:type="dxa"/>
              <w:left w:w="65" w:type="dxa"/>
              <w:bottom w:w="65" w:type="dxa"/>
              <w:right w:w="65" w:type="dxa"/>
            </w:tcMar>
          </w:tcPr>
          <w:p>
            <w:pPr>
              <w:pStyle w:val="TableText"/>
              <w:keepNext w:val="0"/>
              <w:widowControl/>
              <w:jc w:val="left"/>
            </w:pPr>
            <w:r>
              <w:rPr>
                <w:b w:val="0"/>
                <w:sz w:val="18"/>
              </w:rPr>
              <w:t>[-0.1378, +0.0011]</w:t>
            </w:r>
          </w:p>
        </w:tc>
        <w:tc>
          <w:tcPr>
            <w:tcW w:type="dxa" w:w="1417"/>
            <w:vAlign w:val="center"/>
            <w:tcMar>
              <w:top w:w="65" w:type="dxa"/>
              <w:left w:w="65" w:type="dxa"/>
              <w:bottom w:w="65" w:type="dxa"/>
              <w:right w:w="65" w:type="dxa"/>
            </w:tcMar>
          </w:tcPr>
          <w:p>
            <w:pPr>
              <w:pStyle w:val="TableText"/>
              <w:keepNext w:val="0"/>
              <w:widowControl/>
              <w:jc w:val="left"/>
            </w:pPr>
            <w:r>
              <w:rPr>
                <w:b w:val="0"/>
                <w:sz w:val="18"/>
              </w:rPr>
              <w:t>0.1936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757"/>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+0.2142</w:t>
            </w:r>
          </w:p>
        </w:tc>
        <w:tc>
          <w:tcPr>
            <w:tcW w:type="dxa" w:w="2665"/>
            <w:vAlign w:val="center"/>
            <w:tcMar>
              <w:top w:w="65" w:type="dxa"/>
              <w:left w:w="65" w:type="dxa"/>
              <w:bottom w:w="65" w:type="dxa"/>
              <w:right w:w="65" w:type="dxa"/>
            </w:tcMar>
          </w:tcPr>
          <w:p>
            <w:pPr>
              <w:pStyle w:val="TableText"/>
              <w:keepNext w:val="0"/>
              <w:widowControl/>
              <w:jc w:val="left"/>
            </w:pPr>
            <w:r>
              <w:rPr>
                <w:b w:val="0"/>
                <w:sz w:val="18"/>
              </w:rPr>
              <w:t>[+0.1415, +0.2918]</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0.0016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757"/>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+0.0767</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[+0.0007, +0.1544]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0.1936</w:t>
            </w:r>
          </w:p>
        </w:tc>
      </w:tr>
    </w:tbl>
    <w:p>
      <w:pPr>
        <w:pStyle w:val="SourceNote"/>
        <w:widowControl/>
      </w:pPr>
      <w:r>
        <w:t>자료: 추가 High 실행의 Main Run1/free8/IC-b. N=575, p는 8개 family의 bootstrap sign-tail Holm 조정값이다. 본실험 primary로 소급 취급하지 않는다.</w:t>
      </w:r>
    </w:p>
    <w:p>
      <w:pPr>
        <w:widowControl/>
      </w:pPr>
      <w:r>
        <w:t>High B1에서 학습참조를 포함한 C6-E와 자기 재검토 C4R의 차이는 Gemini +0.089722, GPT +0.100324이다. 각각의 95% 구간은 [+0.040757,+0.140516], [+0.036820,+0.163054]이며, 이번 재현 방식의 8개 family 조정값도 0.05보다 작다. 따라서 높은 수용률의 B1 생성조건에서도 외부 학습참조를 포함한 수정의 양의 증분가치가 관찰된다.</w:t>
      </w:r>
    </w:p>
    <w:p>
      <w:pPr>
        <w:widowControl/>
      </w:pPr>
      <w:r>
        <w:t>High B1의 C6-E−C6-EX는 GPT에서 +0.114629로 구간 및 조정값이 양의 차이를 뒷받침하지만, Gemini +0.041223은 구간이 0을 포함한다. ‘한 모델만 기업별 정보를 활용한다’는 기제적 결론 대신, 현재 고정 배정과 표본에서 GPT의 기업–참조 연결 차이가 더 뚜렷하게 관찰되었다고 기술한다. 모델 간 차이 자체의 검정 없이 두 모델의 효과가 통계적으로 다르다고 쓰지 않는다.</w:t>
      </w:r>
    </w:p>
    <w:p>
      <w:pPr>
        <w:widowControl/>
      </w:pPr>
      <w:r>
        <w:t>자기 재검토의 B1 차이는 Gemini −0.010172, GPT +0.026394로 작다. 반면 BINF에서는 Gemini +0.144888, GPT +0.072365로 양의 차이가 남는다. 따라서 ‘High에서는 자기 재검토가 필요 없다’는 결론도 행동예산을 넘어 일반화할 수 없다. C5 지시는 High B1에서 두 모델 모두 양의 점추정이지만 다중비교 후 명확한 추가가치로 확정되지 않는다.</w:t>
      </w:r>
    </w:p>
    <w:p>
      <w:bookmarkStart w:id="152" w:name="head_106"/>
      <w:pPr>
        <w:pStyle w:val="3"/>
        <w:widowControl/>
      </w:pPr>
      <w:r>
        <w:t>6.4.2 효과의 크기가 정말 달라졌는가</w:t>
      </w:r>
      <w:bookmarkEnd w:id="152"/>
    </w:p>
    <w:p>
      <w:bookmarkStart w:id="153" w:name="cap_47"/>
      <w:pPr>
        <w:pStyle w:val="af"/>
        <w:widowControl/>
      </w:pPr>
      <w:r>
        <w:t>표 6-10. B1에서 대비효과의 High−Baseline 차이</w:t>
      </w:r>
      <w:bookmarkEnd w:id="153"/>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737"/>
        <w:gridCol w:w="1871"/>
        <w:gridCol w:w="1417"/>
        <w:gridCol w:w="2551"/>
        <w:gridCol w:w="1361"/>
      </w:tblGrid>
      <w:tr>
        <w:trPr>
          <w:cantSplit/>
          <w:tblHeader/>
        </w:trPr>
        <w:tc>
          <w:tcPr>
            <w:tcW w:type="dxa" w:w="737"/>
            <w:vAlign w:val="center"/>
            <w:shd w:fill="F1F1F1"/>
            <w:tcMar>
              <w:top w:w="65" w:type="dxa"/>
              <w:left w:w="65" w:type="dxa"/>
              <w:bottom w:w="65" w:type="dxa"/>
              <w:right w:w="65" w:type="dxa"/>
            </w:tcMar>
          </w:tcPr>
          <w:p>
            <w:pPr>
              <w:pStyle w:val="TableText"/>
              <w:keepNext/>
              <w:widowControl/>
              <w:jc w:val="center"/>
            </w:pPr>
            <w:r>
              <w:rPr>
                <w:b/>
                <w:sz w:val="18"/>
              </w:rPr>
              <w:t>모델</w:t>
            </w:r>
          </w:p>
        </w:tc>
        <w:tc>
          <w:tcPr>
            <w:tcW w:type="dxa" w:w="1871"/>
            <w:vAlign w:val="center"/>
            <w:shd w:fill="F1F1F1"/>
            <w:tcMar>
              <w:top w:w="65" w:type="dxa"/>
              <w:left w:w="65" w:type="dxa"/>
              <w:bottom w:w="65" w:type="dxa"/>
              <w:right w:w="65" w:type="dxa"/>
            </w:tcMar>
          </w:tcPr>
          <w:p>
            <w:pPr>
              <w:pStyle w:val="TableText"/>
              <w:keepNext/>
              <w:widowControl/>
              <w:jc w:val="center"/>
            </w:pPr>
            <w:r>
              <w:rPr>
                <w:b/>
                <w:sz w:val="18"/>
              </w:rPr>
              <w:t>대비</w:t>
            </w:r>
          </w:p>
        </w:tc>
        <w:tc>
          <w:tcPr>
            <w:tcW w:type="dxa" w:w="1417"/>
            <w:vAlign w:val="center"/>
            <w:shd w:fill="F1F1F1"/>
            <w:tcMar>
              <w:top w:w="65" w:type="dxa"/>
              <w:left w:w="65" w:type="dxa"/>
              <w:bottom w:w="65" w:type="dxa"/>
              <w:right w:w="65" w:type="dxa"/>
            </w:tcMar>
          </w:tcPr>
          <w:p>
            <w:pPr>
              <w:pStyle w:val="TableText"/>
              <w:keepNext/>
              <w:widowControl/>
              <w:jc w:val="center"/>
            </w:pPr>
            <w:r>
              <w:rPr>
                <w:b/>
                <w:sz w:val="18"/>
              </w:rPr>
              <w:t>차이의 차이</w:t>
            </w:r>
          </w:p>
        </w:tc>
        <w:tc>
          <w:tcPr>
            <w:tcW w:type="dxa" w:w="2551"/>
            <w:vAlign w:val="center"/>
            <w:shd w:fill="F1F1F1"/>
            <w:tcMar>
              <w:top w:w="65" w:type="dxa"/>
              <w:left w:w="65" w:type="dxa"/>
              <w:bottom w:w="65" w:type="dxa"/>
              <w:right w:w="65" w:type="dxa"/>
            </w:tcMar>
          </w:tcPr>
          <w:p>
            <w:pPr>
              <w:pStyle w:val="TableText"/>
              <w:keepNext/>
              <w:widowControl/>
              <w:jc w:val="center"/>
            </w:pPr>
            <w:r>
              <w:rPr>
                <w:b/>
                <w:sz w:val="18"/>
              </w:rPr>
              <w:t>95% 구간</w:t>
            </w:r>
          </w:p>
        </w:tc>
        <w:tc>
          <w:tcPr>
            <w:tcW w:type="dxa" w:w="1361"/>
            <w:vAlign w:val="center"/>
            <w:shd w:fill="F1F1F1"/>
            <w:tcMar>
              <w:top w:w="65" w:type="dxa"/>
              <w:left w:w="65" w:type="dxa"/>
              <w:bottom w:w="65" w:type="dxa"/>
              <w:right w:w="65" w:type="dxa"/>
            </w:tcMar>
          </w:tcPr>
          <w:p>
            <w:pPr>
              <w:pStyle w:val="TableText"/>
              <w:keepNext/>
              <w:widowControl/>
              <w:jc w:val="center"/>
            </w:pPr>
            <w:r>
              <w:rPr>
                <w:b/>
                <w:sz w:val="18"/>
              </w:rPr>
              <w:t>Holm p</w:t>
            </w:r>
          </w:p>
        </w:tc>
      </w:tr>
      <w:tr>
        <w:trPr>
          <w:cantSplit/>
        </w:trPr>
        <w:tc>
          <w:tcPr>
            <w:tcW w:type="dxa" w:w="737"/>
            <w:vAlign w:val="center"/>
            <w:tcMar>
              <w:top w:w="65" w:type="dxa"/>
              <w:left w:w="65" w:type="dxa"/>
              <w:bottom w:w="65" w:type="dxa"/>
              <w:right w:w="65" w:type="dxa"/>
            </w:tcMar>
          </w:tcPr>
          <w:p>
            <w:pPr>
              <w:pStyle w:val="TableText"/>
              <w:keepNext/>
              <w:widowControl/>
              <w:jc w:val="left"/>
            </w:pPr>
            <w:r>
              <w:rPr>
                <w:b w:val="0"/>
                <w:sz w:val="18"/>
              </w:rPr>
              <w:t>Gemini</w:t>
            </w:r>
          </w:p>
        </w:tc>
        <w:tc>
          <w:tcPr>
            <w:tcW w:type="dxa" w:w="1871"/>
            <w:vAlign w:val="center"/>
            <w:tcMar>
              <w:top w:w="65" w:type="dxa"/>
              <w:left w:w="65" w:type="dxa"/>
              <w:bottom w:w="65" w:type="dxa"/>
              <w:right w:w="65" w:type="dxa"/>
            </w:tcMar>
          </w:tcPr>
          <w:p>
            <w:pPr>
              <w:pStyle w:val="TableText"/>
              <w:keepNext/>
              <w:widowControl/>
              <w:jc w:val="left"/>
            </w:pPr>
            <w:r>
              <w:rPr>
                <w:b w:val="0"/>
                <w:sz w:val="18"/>
              </w:rPr>
              <w:t>C4R−C4</w:t>
            </w:r>
          </w:p>
        </w:tc>
        <w:tc>
          <w:tcPr>
            <w:tcW w:type="dxa" w:w="1417"/>
            <w:vAlign w:val="center"/>
            <w:tcMar>
              <w:top w:w="65" w:type="dxa"/>
              <w:left w:w="65" w:type="dxa"/>
              <w:bottom w:w="65" w:type="dxa"/>
              <w:right w:w="65" w:type="dxa"/>
            </w:tcMar>
          </w:tcPr>
          <w:p>
            <w:pPr>
              <w:pStyle w:val="TableText"/>
              <w:keepNext/>
              <w:widowControl/>
              <w:jc w:val="left"/>
            </w:pPr>
            <w:r>
              <w:rPr>
                <w:b w:val="0"/>
                <w:sz w:val="18"/>
              </w:rPr>
              <w:t>-0.0079</w:t>
            </w:r>
          </w:p>
        </w:tc>
        <w:tc>
          <w:tcPr>
            <w:tcW w:type="dxa" w:w="2551"/>
            <w:vAlign w:val="center"/>
            <w:tcMar>
              <w:top w:w="65" w:type="dxa"/>
              <w:left w:w="65" w:type="dxa"/>
              <w:bottom w:w="65" w:type="dxa"/>
              <w:right w:w="65" w:type="dxa"/>
            </w:tcMar>
          </w:tcPr>
          <w:p>
            <w:pPr>
              <w:pStyle w:val="TableText"/>
              <w:keepNext/>
              <w:widowControl/>
              <w:jc w:val="left"/>
            </w:pPr>
            <w:r>
              <w:rPr>
                <w:b w:val="0"/>
                <w:sz w:val="18"/>
              </w:rPr>
              <w:t>[-0.0652, +0.0529]</w:t>
            </w:r>
          </w:p>
        </w:tc>
        <w:tc>
          <w:tcPr>
            <w:tcW w:type="dxa" w:w="1361"/>
            <w:vAlign w:val="center"/>
            <w:tcMar>
              <w:top w:w="65" w:type="dxa"/>
              <w:left w:w="65" w:type="dxa"/>
              <w:bottom w:w="65" w:type="dxa"/>
              <w:right w:w="65" w:type="dxa"/>
            </w:tcMar>
          </w:tcPr>
          <w:p>
            <w:pPr>
              <w:pStyle w:val="TableText"/>
              <w:keepNext/>
              <w:widowControl/>
              <w:jc w:val="left"/>
            </w:pPr>
            <w:r>
              <w:rPr>
                <w:b w:val="0"/>
                <w:sz w:val="18"/>
              </w:rPr>
              <w:t>1.0000</w:t>
            </w:r>
          </w:p>
        </w:tc>
      </w:tr>
      <w:tr>
        <w:trPr>
          <w:cantSplit/>
        </w:trPr>
        <w:tc>
          <w:tcPr>
            <w:tcW w:type="dxa" w:w="737"/>
            <w:vAlign w:val="center"/>
            <w:tcMar>
              <w:top w:w="65" w:type="dxa"/>
              <w:left w:w="65" w:type="dxa"/>
              <w:bottom w:w="65" w:type="dxa"/>
              <w:right w:w="65" w:type="dxa"/>
            </w:tcMar>
          </w:tcPr>
          <w:p>
            <w:pPr>
              <w:pStyle w:val="TableText"/>
              <w:keepNext w:val="0"/>
              <w:widowControl/>
              <w:jc w:val="left"/>
            </w:pPr>
            <w:r>
              <w:rPr>
                <w:b w:val="0"/>
                <w:sz w:val="18"/>
              </w:rPr>
              <w:t>Gemini</w:t>
            </w:r>
          </w:p>
        </w:tc>
        <w:tc>
          <w:tcPr>
            <w:tcW w:type="dxa" w:w="1871"/>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-0.0504</w:t>
            </w:r>
          </w:p>
        </w:tc>
        <w:tc>
          <w:tcPr>
            <w:tcW w:type="dxa" w:w="2551"/>
            <w:vAlign w:val="center"/>
            <w:tcMar>
              <w:top w:w="65" w:type="dxa"/>
              <w:left w:w="65" w:type="dxa"/>
              <w:bottom w:w="65" w:type="dxa"/>
              <w:right w:w="65" w:type="dxa"/>
            </w:tcMar>
          </w:tcPr>
          <w:p>
            <w:pPr>
              <w:pStyle w:val="TableText"/>
              <w:keepNext w:val="0"/>
              <w:widowControl/>
              <w:jc w:val="left"/>
            </w:pPr>
            <w:r>
              <w:rPr>
                <w:b w:val="0"/>
                <w:sz w:val="18"/>
              </w:rPr>
              <w:t>[-0.1387, +0.0376]</w:t>
            </w:r>
          </w:p>
        </w:tc>
        <w:tc>
          <w:tcPr>
            <w:tcW w:type="dxa" w:w="1361"/>
            <w:vAlign w:val="center"/>
            <w:tcMar>
              <w:top w:w="65" w:type="dxa"/>
              <w:left w:w="65" w:type="dxa"/>
              <w:bottom w:w="65" w:type="dxa"/>
              <w:right w:w="65" w:type="dxa"/>
            </w:tcMar>
          </w:tcPr>
          <w:p>
            <w:pPr>
              <w:pStyle w:val="TableText"/>
              <w:keepNext w:val="0"/>
              <w:widowControl/>
              <w:jc w:val="left"/>
            </w:pPr>
            <w:r>
              <w:rPr>
                <w:b w:val="0"/>
                <w:sz w:val="18"/>
              </w:rPr>
              <w:t>1.0000</w:t>
            </w:r>
          </w:p>
        </w:tc>
      </w:tr>
      <w:tr>
        <w:trPr>
          <w:cantSplit/>
        </w:trPr>
        <w:tc>
          <w:tcPr>
            <w:tcW w:type="dxa" w:w="737"/>
            <w:vAlign w:val="center"/>
            <w:tcMar>
              <w:top w:w="65" w:type="dxa"/>
              <w:left w:w="65" w:type="dxa"/>
              <w:bottom w:w="65" w:type="dxa"/>
              <w:right w:w="65" w:type="dxa"/>
            </w:tcMar>
          </w:tcPr>
          <w:p>
            <w:pPr>
              <w:pStyle w:val="TableText"/>
              <w:keepNext w:val="0"/>
              <w:widowControl/>
              <w:jc w:val="left"/>
            </w:pPr>
            <w:r>
              <w:rPr>
                <w:b w:val="0"/>
                <w:sz w:val="18"/>
              </w:rPr>
              <w:t>Gemini</w:t>
            </w:r>
          </w:p>
        </w:tc>
        <w:tc>
          <w:tcPr>
            <w:tcW w:type="dxa" w:w="1871"/>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+0.0677</w:t>
            </w:r>
          </w:p>
        </w:tc>
        <w:tc>
          <w:tcPr>
            <w:tcW w:type="dxa" w:w="2551"/>
            <w:vAlign w:val="center"/>
            <w:tcMar>
              <w:top w:w="65" w:type="dxa"/>
              <w:left w:w="65" w:type="dxa"/>
              <w:bottom w:w="65" w:type="dxa"/>
              <w:right w:w="65" w:type="dxa"/>
            </w:tcMar>
          </w:tcPr>
          <w:p>
            <w:pPr>
              <w:pStyle w:val="TableText"/>
              <w:keepNext w:val="0"/>
              <w:widowControl/>
              <w:jc w:val="left"/>
            </w:pPr>
            <w:r>
              <w:rPr>
                <w:b w:val="0"/>
                <w:sz w:val="18"/>
              </w:rPr>
              <w:t>[+0.0028, +0.1344]</w:t>
            </w:r>
          </w:p>
        </w:tc>
        <w:tc>
          <w:tcPr>
            <w:tcW w:type="dxa" w:w="1361"/>
            <w:vAlign w:val="center"/>
            <w:tcMar>
              <w:top w:w="65" w:type="dxa"/>
              <w:left w:w="65" w:type="dxa"/>
              <w:bottom w:w="65" w:type="dxa"/>
              <w:right w:w="65" w:type="dxa"/>
            </w:tcMar>
          </w:tcPr>
          <w:p>
            <w:pPr>
              <w:pStyle w:val="TableText"/>
              <w:keepNext w:val="0"/>
              <w:widowControl/>
              <w:jc w:val="left"/>
            </w:pPr>
            <w:r>
              <w:rPr>
                <w:b w:val="0"/>
                <w:sz w:val="18"/>
              </w:rPr>
              <w:t>0.3232</w:t>
            </w:r>
          </w:p>
        </w:tc>
      </w:tr>
      <w:tr>
        <w:trPr>
          <w:cantSplit/>
        </w:trPr>
        <w:tc>
          <w:tcPr>
            <w:tcW w:type="dxa" w:w="737"/>
            <w:vAlign w:val="center"/>
            <w:tcMar>
              <w:top w:w="65" w:type="dxa"/>
              <w:left w:w="65" w:type="dxa"/>
              <w:bottom w:w="65" w:type="dxa"/>
              <w:right w:w="65" w:type="dxa"/>
            </w:tcMar>
          </w:tcPr>
          <w:p>
            <w:pPr>
              <w:pStyle w:val="TableText"/>
              <w:keepNext w:val="0"/>
              <w:widowControl/>
              <w:jc w:val="left"/>
            </w:pPr>
            <w:r>
              <w:rPr>
                <w:b w:val="0"/>
                <w:sz w:val="18"/>
              </w:rPr>
              <w:t>Gemini</w:t>
            </w:r>
          </w:p>
        </w:tc>
        <w:tc>
          <w:tcPr>
            <w:tcW w:type="dxa" w:w="1871"/>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-0.0040</w:t>
            </w:r>
          </w:p>
        </w:tc>
        <w:tc>
          <w:tcPr>
            <w:tcW w:type="dxa" w:w="2551"/>
            <w:vAlign w:val="center"/>
            <w:tcMar>
              <w:top w:w="65" w:type="dxa"/>
              <w:left w:w="65" w:type="dxa"/>
              <w:bottom w:w="65" w:type="dxa"/>
              <w:right w:w="65" w:type="dxa"/>
            </w:tcMar>
          </w:tcPr>
          <w:p>
            <w:pPr>
              <w:pStyle w:val="TableText"/>
              <w:keepNext w:val="0"/>
              <w:widowControl/>
              <w:jc w:val="left"/>
            </w:pPr>
            <w:r>
              <w:rPr>
                <w:b w:val="0"/>
                <w:sz w:val="18"/>
              </w:rPr>
              <w:t>[-0.0827, +0.0772]</w:t>
            </w:r>
          </w:p>
        </w:tc>
        <w:tc>
          <w:tcPr>
            <w:tcW w:type="dxa" w:w="1361"/>
            <w:vAlign w:val="center"/>
            <w:tcMar>
              <w:top w:w="65" w:type="dxa"/>
              <w:left w:w="65" w:type="dxa"/>
              <w:bottom w:w="65" w:type="dxa"/>
              <w:right w:w="65" w:type="dxa"/>
            </w:tcMar>
          </w:tcPr>
          <w:p>
            <w:pPr>
              <w:pStyle w:val="TableText"/>
              <w:keepNext w:val="0"/>
              <w:widowControl/>
              <w:jc w:val="left"/>
            </w:pPr>
            <w:r>
              <w:rPr>
                <w:b w:val="0"/>
                <w:sz w:val="18"/>
              </w:rPr>
              <w:t>1.0000</w:t>
            </w:r>
          </w:p>
        </w:tc>
      </w:tr>
      <w:tr>
        <w:trPr>
          <w:cantSplit/>
        </w:trPr>
        <w:tc>
          <w:tcPr>
            <w:tcW w:type="dxa" w:w="737"/>
            <w:vAlign w:val="center"/>
            <w:tcMar>
              <w:top w:w="65" w:type="dxa"/>
              <w:left w:w="65" w:type="dxa"/>
              <w:bottom w:w="65" w:type="dxa"/>
              <w:right w:w="65" w:type="dxa"/>
            </w:tcMar>
          </w:tcPr>
          <w:p>
            <w:pPr>
              <w:pStyle w:val="TableText"/>
              <w:keepNext w:val="0"/>
              <w:widowControl/>
              <w:jc w:val="left"/>
            </w:pPr>
            <w:r>
              <w:rPr>
                <w:b w:val="0"/>
                <w:sz w:val="18"/>
              </w:rPr>
              <w:t>GPT</w:t>
            </w:r>
          </w:p>
        </w:tc>
        <w:tc>
          <w:tcPr>
            <w:tcW w:type="dxa" w:w="1871"/>
            <w:vAlign w:val="center"/>
            <w:tcMar>
              <w:top w:w="65" w:type="dxa"/>
              <w:left w:w="65" w:type="dxa"/>
              <w:bottom w:w="65" w:type="dxa"/>
              <w:right w:w="65" w:type="dxa"/>
            </w:tcMar>
          </w:tcPr>
          <w:p>
            <w:pPr>
              <w:pStyle w:val="TableText"/>
              <w:keepNext w:val="0"/>
              <w:widowControl/>
              <w:jc w:val="left"/>
            </w:pPr>
            <w:r>
              <w:rPr>
                <w:b w:val="0"/>
                <w:sz w:val="18"/>
              </w:rPr>
              <w:t>C4R−C4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-0.1429</w:t>
            </w:r>
          </w:p>
        </w:tc>
        <w:tc>
          <w:tcPr>
            <w:tcW w:type="dxa" w:w="2551"/>
            <w:vAlign w:val="center"/>
            <w:tcMar>
              <w:top w:w="65" w:type="dxa"/>
              <w:left w:w="65" w:type="dxa"/>
              <w:bottom w:w="65" w:type="dxa"/>
              <w:right w:w="65" w:type="dxa"/>
            </w:tcMar>
          </w:tcPr>
          <w:p>
            <w:pPr>
              <w:pStyle w:val="TableText"/>
              <w:keepNext w:val="0"/>
              <w:widowControl/>
              <w:jc w:val="left"/>
            </w:pPr>
            <w:r>
              <w:rPr>
                <w:b w:val="0"/>
                <w:sz w:val="18"/>
              </w:rPr>
              <w:t>[-0.2052, -0.0842]</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0.0016</w:t>
            </w:r>
          </w:p>
        </w:tc>
      </w:tr>
      <w:tr>
        <w:trPr>
          <w:cantSplit/>
        </w:trPr>
        <w:tc>
          <w:tcPr>
            <w:tcW w:type="dxa" w:w="737"/>
            <w:vAlign w:val="center"/>
            <w:tcMar>
              <w:top w:w="65" w:type="dxa"/>
              <w:left w:w="65" w:type="dxa"/>
              <w:bottom w:w="65" w:type="dxa"/>
              <w:right w:w="65" w:type="dxa"/>
            </w:tcMar>
          </w:tcPr>
          <w:p>
            <w:pPr>
              <w:pStyle w:val="TableText"/>
              <w:keepNext w:val="0"/>
              <w:widowControl/>
              <w:jc w:val="left"/>
            </w:pPr>
            <w:r>
              <w:rPr>
                <w:b w:val="0"/>
                <w:sz w:val="18"/>
              </w:rPr>
              <w:t>GPT</w:t>
            </w:r>
          </w:p>
        </w:tc>
        <w:tc>
          <w:tcPr>
            <w:tcW w:type="dxa" w:w="1871"/>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-0.1831</w:t>
            </w:r>
          </w:p>
        </w:tc>
        <w:tc>
          <w:tcPr>
            <w:tcW w:type="dxa" w:w="2551"/>
            <w:vAlign w:val="center"/>
            <w:tcMar>
              <w:top w:w="65" w:type="dxa"/>
              <w:left w:w="65" w:type="dxa"/>
              <w:bottom w:w="65" w:type="dxa"/>
              <w:right w:w="65" w:type="dxa"/>
            </w:tcMar>
          </w:tcPr>
          <w:p>
            <w:pPr>
              <w:pStyle w:val="TableText"/>
              <w:keepNext w:val="0"/>
              <w:widowControl/>
              <w:jc w:val="left"/>
            </w:pPr>
            <w:r>
              <w:rPr>
                <w:b w:val="0"/>
                <w:sz w:val="18"/>
              </w:rPr>
              <w:t>[-0.2900, -0.0770]</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0.0042</w:t>
            </w:r>
          </w:p>
        </w:tc>
      </w:tr>
      <w:tr>
        <w:trPr>
          <w:cantSplit/>
        </w:trPr>
        <w:tc>
          <w:tcPr>
            <w:tcW w:type="dxa" w:w="737"/>
            <w:vAlign w:val="center"/>
            <w:tcMar>
              <w:top w:w="65" w:type="dxa"/>
              <w:left w:w="65" w:type="dxa"/>
              <w:bottom w:w="65" w:type="dxa"/>
              <w:right w:w="65" w:type="dxa"/>
            </w:tcMar>
          </w:tcPr>
          <w:p>
            <w:pPr>
              <w:pStyle w:val="TableText"/>
              <w:keepNext w:val="0"/>
              <w:widowControl/>
              <w:jc w:val="left"/>
            </w:pPr>
            <w:r>
              <w:rPr>
                <w:b w:val="0"/>
                <w:sz w:val="18"/>
              </w:rPr>
              <w:t>GPT</w:t>
            </w:r>
          </w:p>
        </w:tc>
        <w:tc>
          <w:tcPr>
            <w:tcW w:type="dxa" w:w="1871"/>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+0.0628</w:t>
            </w:r>
          </w:p>
        </w:tc>
        <w:tc>
          <w:tcPr>
            <w:tcW w:type="dxa" w:w="2551"/>
            <w:vAlign w:val="center"/>
            <w:tcMar>
              <w:top w:w="65" w:type="dxa"/>
              <w:left w:w="65" w:type="dxa"/>
              <w:bottom w:w="65" w:type="dxa"/>
              <w:right w:w="65" w:type="dxa"/>
            </w:tcMar>
          </w:tcPr>
          <w:p>
            <w:pPr>
              <w:pStyle w:val="TableText"/>
              <w:keepNext w:val="0"/>
              <w:widowControl/>
              <w:jc w:val="left"/>
            </w:pPr>
            <w:r>
              <w:rPr>
                <w:b w:val="0"/>
                <w:sz w:val="18"/>
              </w:rPr>
              <w:t>[-0.0490, +0.1743]</w:t>
            </w:r>
          </w:p>
        </w:tc>
        <w:tc>
          <w:tcPr>
            <w:tcW w:type="dxa" w:w="1361"/>
            <w:vAlign w:val="center"/>
            <w:tcMar>
              <w:top w:w="65" w:type="dxa"/>
              <w:left w:w="65" w:type="dxa"/>
              <w:bottom w:w="65" w:type="dxa"/>
              <w:right w:w="65" w:type="dxa"/>
            </w:tcMar>
          </w:tcPr>
          <w:p>
            <w:pPr>
              <w:pStyle w:val="TableText"/>
              <w:keepNext w:val="0"/>
              <w:widowControl/>
              <w:jc w:val="left"/>
            </w:pPr>
            <w:r>
              <w:rPr>
                <w:b w:val="0"/>
                <w:sz w:val="18"/>
              </w:rPr>
              <w:t>0.9807</w:t>
            </w:r>
          </w:p>
        </w:tc>
      </w:tr>
      <w:tr>
        <w:trPr>
          <w:cantSplit/>
        </w:trPr>
        <w:tc>
          <w:tcPr>
            <w:tcW w:type="dxa" w:w="737"/>
            <w:vAlign w:val="center"/>
            <w:tcMar>
              <w:top w:w="65" w:type="dxa"/>
              <w:left w:w="65" w:type="dxa"/>
              <w:bottom w:w="65" w:type="dxa"/>
              <w:right w:w="65" w:type="dxa"/>
            </w:tcMar>
          </w:tcPr>
          <w:p>
            <w:pPr>
              <w:pStyle w:val="TableText"/>
              <w:keepNext w:val="0"/>
              <w:widowControl/>
              <w:jc w:val="left"/>
            </w:pPr>
            <w:r>
              <w:rPr>
                <w:b w:val="0"/>
                <w:sz w:val="18"/>
              </w:rPr>
              <w:t>GPT</w:t>
            </w:r>
          </w:p>
        </w:tc>
        <w:tc>
          <w:tcPr>
            <w:tcW w:type="dxa" w:w="1871"/>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-0.0596</w:t>
            </w:r>
          </w:p>
        </w:tc>
        <w:tc>
          <w:tcPr>
            <w:tcW w:type="dxa" w:w="2551"/>
            <w:vAlign w:val="center"/>
            <w:tcMar>
              <w:top w:w="65" w:type="dxa"/>
              <w:left w:w="65" w:type="dxa"/>
              <w:bottom w:w="65" w:type="dxa"/>
              <w:right w:w="65" w:type="dxa"/>
            </w:tcMar>
          </w:tcPr>
          <w:p>
            <w:pPr>
              <w:pStyle w:val="TableText"/>
              <w:keepNext w:val="0"/>
              <w:widowControl/>
              <w:jc w:val="left"/>
            </w:pPr>
            <w:r>
              <w:rPr>
                <w:b w:val="0"/>
                <w:sz w:val="18"/>
              </w:rPr>
              <w:t>[-0.1722, +0.0501]</w:t>
            </w:r>
          </w:p>
        </w:tc>
        <w:tc>
          <w:tcPr>
            <w:tcW w:type="dxa" w:w="1361"/>
            <w:vAlign w:val="center"/>
            <w:tcMar>
              <w:top w:w="65" w:type="dxa"/>
              <w:left w:w="65" w:type="dxa"/>
              <w:bottom w:w="65" w:type="dxa"/>
              <w:right w:w="65" w:type="dxa"/>
            </w:tcMar>
          </w:tcPr>
          <w:p>
            <w:pPr>
              <w:pStyle w:val="TableText"/>
              <w:keepNext w:val="0"/>
              <w:widowControl/>
              <w:jc w:val="left"/>
            </w:pPr>
            <w:r>
              <w:rPr>
                <w:b w:val="0"/>
                <w:sz w:val="18"/>
              </w:rPr>
              <w:t>0.9807</w:t>
            </w:r>
          </w:p>
        </w:tc>
      </w:tr>
    </w:tbl>
    <w:p>
      <w:pPr>
        <w:pStyle w:val="SourceNote"/>
        <w:widowControl/>
      </w:pPr>
      <w:r>
        <w:t>자료: 같은 기업의 네 관련 셀로 계산한 직접 상호작용. 각 모델·Oracle 안에서 네 대비×두 예산의 8개 추가 비교를 조정하였다. High에서 유의하다는 사실과 High−Baseline이 유의하다는 사실은 다르다.</w:t>
      </w:r>
    </w:p>
    <w:p>
      <w:pPr>
        <w:widowControl/>
      </w:pPr>
      <w:r>
        <w:t>GPT B1에서 High−Baseline의 자기 재검토 대비 차이는 −0.142868이고 C5−C4의 차이는 −0.183082이다. 두 값의 구간은 음의 범위이며 조정 후에도 차이가 남는다. High에서 첫 생성의 수용성과 가치가 높아진 상태에서는 추가 프롬프트 또는 재검토가 제공하던 이득이 작아진 패턴이다. 그러나 이 패턴을 내부 추론의 중복이라는 직접 증거로 단정하지 않는다.</w:t>
      </w:r>
    </w:p>
    <w:p>
      <w:pPr>
        <w:widowControl/>
      </w:pPr>
      <w:r>
        <w:t>학습참조의 대비는 High B1에서 양의 차이가 관찰되지만, 그 효과가 Baseline보다 커졌다는 차이의 차이는 Gemini +0.067707, GPT +0.062797이고 다중비교 후 확정되지 않는다. 특히 Gemini의 미조정 구간이 양수라도 8개 family의 조정 p는 0.05를 넘는다. 따라서 ‘High가 외부참조의 효과를 통계적으로 강화했다’와 ‘High에서도 참조가 양의 증분가치를 보였다’를 구분한다.</w:t>
      </w:r>
    </w:p>
    <w:p>
      <w:pPr>
        <w:widowControl/>
      </w:pPr>
      <w:r>
        <w:t>Regime 비교는 현재 실험의 범위에서만 유효하다. 최대 출력 토큰, 부모 초안의 내용, 생성시점이 함께 바뀌었다는 사실을 감안하면, high라는 이름 하나를 완전한 처치변수로 볼 수는 없다. 본 연구의 기여는 이 변화를 숨기지 않고 전체 하네스의 조건으로 보고하는 데 있다.</w:t>
      </w:r>
    </w:p>
    <w:p>
      <w:bookmarkStart w:id="154" w:name="head_107"/>
      <w:pPr>
        <w:pStyle w:val="2"/>
        <w:widowControl/>
      </w:pPr>
      <w:r>
        <w:t>6.5 행동예산, 행동공간과 평가모형</w:t>
      </w:r>
      <w:bookmarkEnd w:id="154"/>
    </w:p>
    <w:p>
      <w:bookmarkStart w:id="155" w:name="head_108"/>
      <w:pPr>
        <w:pStyle w:val="3"/>
        <w:widowControl/>
      </w:pPr>
      <w:r>
        <w:t>6.5.1 BINF에서의 비단조성</w:t>
      </w:r>
      <w:bookmarkEnd w:id="155"/>
    </w:p>
    <w:p>
      <w:bookmarkStart w:id="156" w:name="cap_48"/>
      <w:pPr>
        <w:pStyle w:val="af"/>
        <w:widowControl/>
      </w:pPr>
      <w:r>
        <w:t>표 6-11. 정책별 High−Baseline 변화: Strict ITT</w:t>
      </w:r>
      <w:bookmarkEnd w:id="156"/>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737"/>
        <w:gridCol w:w="624"/>
        <w:gridCol w:w="907"/>
        <w:gridCol w:w="1417"/>
        <w:gridCol w:w="2778"/>
        <w:gridCol w:w="1474"/>
      </w:tblGrid>
      <w:tr>
        <w:trPr>
          <w:cantSplit/>
          <w:tblHeader/>
        </w:trPr>
        <w:tc>
          <w:tcPr>
            <w:tcW w:type="dxa" w:w="737"/>
            <w:vAlign w:val="center"/>
            <w:shd w:fill="F1F1F1"/>
            <w:tcMar>
              <w:top w:w="65" w:type="dxa"/>
              <w:left w:w="65" w:type="dxa"/>
              <w:bottom w:w="65" w:type="dxa"/>
              <w:right w:w="65" w:type="dxa"/>
            </w:tcMar>
          </w:tcPr>
          <w:p>
            <w:pPr>
              <w:pStyle w:val="TableText"/>
              <w:keepNext/>
              <w:widowControl/>
              <w:jc w:val="center"/>
            </w:pPr>
            <w:r>
              <w:rPr>
                <w:b/>
                <w:sz w:val="17"/>
              </w:rPr>
              <w:t>모델</w:t>
            </w:r>
          </w:p>
        </w:tc>
        <w:tc>
          <w:tcPr>
            <w:tcW w:type="dxa" w:w="624"/>
            <w:vAlign w:val="center"/>
            <w:shd w:fill="F1F1F1"/>
            <w:tcMar>
              <w:top w:w="65" w:type="dxa"/>
              <w:left w:w="65" w:type="dxa"/>
              <w:bottom w:w="65" w:type="dxa"/>
              <w:right w:w="65" w:type="dxa"/>
            </w:tcMar>
          </w:tcPr>
          <w:p>
            <w:pPr>
              <w:pStyle w:val="TableText"/>
              <w:keepNext/>
              <w:widowControl/>
              <w:jc w:val="center"/>
            </w:pPr>
            <w:r>
              <w:rPr>
                <w:b/>
                <w:sz w:val="17"/>
              </w:rPr>
              <w:t>예산</w:t>
            </w:r>
          </w:p>
        </w:tc>
        <w:tc>
          <w:tcPr>
            <w:tcW w:type="dxa" w:w="907"/>
            <w:vAlign w:val="center"/>
            <w:shd w:fill="F1F1F1"/>
            <w:tcMar>
              <w:top w:w="65" w:type="dxa"/>
              <w:left w:w="65" w:type="dxa"/>
              <w:bottom w:w="65" w:type="dxa"/>
              <w:right w:w="65" w:type="dxa"/>
            </w:tcMar>
          </w:tcPr>
          <w:p>
            <w:pPr>
              <w:pStyle w:val="TableText"/>
              <w:keepNext/>
              <w:widowControl/>
              <w:jc w:val="center"/>
            </w:pPr>
            <w:r>
              <w:rPr>
                <w:b/>
                <w:sz w:val="17"/>
              </w:rPr>
              <w:t>정책</w:t>
            </w:r>
          </w:p>
        </w:tc>
        <w:tc>
          <w:tcPr>
            <w:tcW w:type="dxa" w:w="1417"/>
            <w:vAlign w:val="center"/>
            <w:shd w:fill="F1F1F1"/>
            <w:tcMar>
              <w:top w:w="65" w:type="dxa"/>
              <w:left w:w="65" w:type="dxa"/>
              <w:bottom w:w="65" w:type="dxa"/>
              <w:right w:w="65" w:type="dxa"/>
            </w:tcMar>
          </w:tcPr>
          <w:p>
            <w:pPr>
              <w:pStyle w:val="TableText"/>
              <w:keepNext/>
              <w:widowControl/>
              <w:jc w:val="center"/>
            </w:pPr>
            <w:r>
              <w:rPr>
                <w:b/>
                <w:sz w:val="17"/>
              </w:rPr>
              <w:t>평균 Δα</w:t>
            </w:r>
          </w:p>
        </w:tc>
        <w:tc>
          <w:tcPr>
            <w:tcW w:type="dxa" w:w="2778"/>
            <w:vAlign w:val="center"/>
            <w:shd w:fill="F1F1F1"/>
            <w:tcMar>
              <w:top w:w="65" w:type="dxa"/>
              <w:left w:w="65" w:type="dxa"/>
              <w:bottom w:w="65" w:type="dxa"/>
              <w:right w:w="65" w:type="dxa"/>
            </w:tcMar>
          </w:tcPr>
          <w:p>
            <w:pPr>
              <w:pStyle w:val="TableText"/>
              <w:keepNext/>
              <w:widowControl/>
              <w:jc w:val="center"/>
            </w:pPr>
            <w:r>
              <w:rPr>
                <w:b/>
                <w:sz w:val="17"/>
              </w:rPr>
              <w:t>95% 구간</w:t>
            </w:r>
          </w:p>
        </w:tc>
        <w:tc>
          <w:tcPr>
            <w:tcW w:type="dxa" w:w="1474"/>
            <w:vAlign w:val="center"/>
            <w:shd w:fill="F1F1F1"/>
            <w:tcMar>
              <w:top w:w="65" w:type="dxa"/>
              <w:left w:w="65" w:type="dxa"/>
              <w:bottom w:w="65" w:type="dxa"/>
              <w:right w:w="65" w:type="dxa"/>
            </w:tcMar>
          </w:tcPr>
          <w:p>
            <w:pPr>
              <w:pStyle w:val="TableText"/>
              <w:keepNext/>
              <w:widowControl/>
              <w:jc w:val="center"/>
            </w:pPr>
            <w:r>
              <w:rPr>
                <w:b/>
                <w:sz w:val="17"/>
              </w:rPr>
              <w:t>조정 p</w:t>
            </w:r>
          </w:p>
        </w:tc>
      </w:tr>
      <w:tr>
        <w:trPr>
          <w:cantSplit/>
        </w:trPr>
        <w:tc>
          <w:tcPr>
            <w:tcW w:type="dxa" w:w="737"/>
            <w:vAlign w:val="center"/>
            <w:tcMar>
              <w:top w:w="65" w:type="dxa"/>
              <w:left w:w="65" w:type="dxa"/>
              <w:bottom w:w="65" w:type="dxa"/>
              <w:right w:w="65" w:type="dxa"/>
            </w:tcMar>
          </w:tcPr>
          <w:p>
            <w:pPr>
              <w:pStyle w:val="TableText"/>
              <w:keepNext/>
              <w:widowControl/>
              <w:jc w:val="left"/>
            </w:pPr>
            <w:r>
              <w:rPr>
                <w:b w:val="0"/>
                <w:sz w:val="17"/>
              </w:rPr>
              <w:t>Gemini</w:t>
            </w:r>
          </w:p>
        </w:tc>
        <w:tc>
          <w:tcPr>
            <w:tcW w:type="dxa" w:w="624"/>
            <w:vAlign w:val="center"/>
            <w:tcMar>
              <w:top w:w="65" w:type="dxa"/>
              <w:left w:w="65" w:type="dxa"/>
              <w:bottom w:w="65" w:type="dxa"/>
              <w:right w:w="65" w:type="dxa"/>
            </w:tcMar>
          </w:tcPr>
          <w:p>
            <w:pPr>
              <w:pStyle w:val="TableText"/>
              <w:keepNext/>
              <w:widowControl/>
              <w:jc w:val="left"/>
            </w:pPr>
            <w:r>
              <w:rPr>
                <w:b w:val="0"/>
                <w:sz w:val="17"/>
              </w:rPr>
              <w:t>B1</w:t>
            </w:r>
          </w:p>
        </w:tc>
        <w:tc>
          <w:tcPr>
            <w:tcW w:type="dxa" w:w="907"/>
            <w:vAlign w:val="center"/>
            <w:tcMar>
              <w:top w:w="65" w:type="dxa"/>
              <w:left w:w="65" w:type="dxa"/>
              <w:bottom w:w="65" w:type="dxa"/>
              <w:right w:w="65" w:type="dxa"/>
            </w:tcMar>
          </w:tcPr>
          <w:p>
            <w:pPr>
              <w:pStyle w:val="TableText"/>
              <w:keepNext/>
              <w:widowControl/>
              <w:jc w:val="left"/>
            </w:pPr>
            <w:r>
              <w:rPr>
                <w:b w:val="0"/>
                <w:sz w:val="17"/>
              </w:rPr>
              <w:t>C4</w:t>
            </w:r>
          </w:p>
        </w:tc>
        <w:tc>
          <w:tcPr>
            <w:tcW w:type="dxa" w:w="1417"/>
            <w:vAlign w:val="center"/>
            <w:tcMar>
              <w:top w:w="65" w:type="dxa"/>
              <w:left w:w="65" w:type="dxa"/>
              <w:bottom w:w="65" w:type="dxa"/>
              <w:right w:w="65" w:type="dxa"/>
            </w:tcMar>
          </w:tcPr>
          <w:p>
            <w:pPr>
              <w:pStyle w:val="TableText"/>
              <w:keepNext/>
              <w:widowControl/>
              <w:jc w:val="left"/>
            </w:pPr>
            <w:r>
              <w:rPr>
                <w:b w:val="0"/>
                <w:sz w:val="17"/>
              </w:rPr>
              <w:t>+0.6582</w:t>
            </w:r>
          </w:p>
        </w:tc>
        <w:tc>
          <w:tcPr>
            <w:tcW w:type="dxa" w:w="2778"/>
            <w:vAlign w:val="center"/>
            <w:tcMar>
              <w:top w:w="65" w:type="dxa"/>
              <w:left w:w="65" w:type="dxa"/>
              <w:bottom w:w="65" w:type="dxa"/>
              <w:right w:w="65" w:type="dxa"/>
            </w:tcMar>
          </w:tcPr>
          <w:p>
            <w:pPr>
              <w:pStyle w:val="TableText"/>
              <w:keepNext/>
              <w:widowControl/>
              <w:jc w:val="left"/>
            </w:pPr>
            <w:r>
              <w:rPr>
                <w:b w:val="0"/>
                <w:sz w:val="17"/>
              </w:rPr>
              <w:t>[+0.5524, +0.7695]</w:t>
            </w:r>
          </w:p>
        </w:tc>
        <w:tc>
          <w:tcPr>
            <w:tcW w:type="dxa" w:w="1474"/>
            <w:vAlign w:val="center"/>
            <w:tcMar>
              <w:top w:w="65" w:type="dxa"/>
              <w:left w:w="65" w:type="dxa"/>
              <w:bottom w:w="65" w:type="dxa"/>
              <w:right w:w="65" w:type="dxa"/>
            </w:tcMar>
          </w:tcPr>
          <w:p>
            <w:pPr>
              <w:pStyle w:val="TableText"/>
              <w:keepNext/>
              <w:widowControl/>
              <w:jc w:val="left"/>
            </w:pPr>
            <w:r>
              <w:rPr>
                <w:b w:val="0"/>
                <w:sz w:val="17"/>
              </w:rPr>
              <w:t>0.0020</w:t>
            </w:r>
          </w:p>
        </w:tc>
      </w:tr>
      <w:tr>
        <w:trPr>
          <w:cantSplit/>
        </w:trPr>
        <w:tc>
          <w:tcPr>
            <w:tcW w:type="dxa" w:w="737"/>
            <w:vAlign w:val="center"/>
            <w:tcMar>
              <w:top w:w="65" w:type="dxa"/>
              <w:left w:w="65" w:type="dxa"/>
              <w:bottom w:w="65" w:type="dxa"/>
              <w:right w:w="65" w:type="dxa"/>
            </w:tcMar>
          </w:tcPr>
          <w:p>
            <w:pPr>
              <w:pStyle w:val="TableText"/>
              <w:keepNext w:val="0"/>
              <w:widowControl/>
              <w:jc w:val="left"/>
            </w:pPr>
            <w:r>
              <w:rPr>
                <w:b w:val="0"/>
                <w:sz w:val="17"/>
              </w:rPr>
              <w:t>Gemini</w:t>
            </w:r>
          </w:p>
        </w:tc>
        <w:tc>
          <w:tcPr>
            <w:tcW w:type="dxa" w:w="624"/>
            <w:vAlign w:val="center"/>
            <w:tcMar>
              <w:top w:w="65" w:type="dxa"/>
              <w:left w:w="65" w:type="dxa"/>
              <w:bottom w:w="65" w:type="dxa"/>
              <w:right w:w="65" w:type="dxa"/>
            </w:tcMar>
          </w:tcPr>
          <w:p>
            <w:pPr>
              <w:pStyle w:val="TableText"/>
              <w:keepNext w:val="0"/>
              <w:widowControl/>
              <w:jc w:val="left"/>
            </w:pPr>
            <w:r>
              <w:rPr>
                <w:b w:val="0"/>
                <w:sz w:val="17"/>
              </w:rPr>
              <w:t>B1</w:t>
            </w:r>
          </w:p>
        </w:tc>
        <w:tc>
          <w:tcPr>
            <w:tcW w:type="dxa" w:w="907"/>
            <w:vAlign w:val="center"/>
            <w:tcMar>
              <w:top w:w="65" w:type="dxa"/>
              <w:left w:w="65" w:type="dxa"/>
              <w:bottom w:w="65" w:type="dxa"/>
              <w:right w:w="65" w:type="dxa"/>
            </w:tcMar>
          </w:tcPr>
          <w:p>
            <w:pPr>
              <w:pStyle w:val="TableText"/>
              <w:keepNext w:val="0"/>
              <w:widowControl/>
              <w:jc w:val="left"/>
            </w:pPr>
            <w:r>
              <w:rPr>
                <w:b w:val="0"/>
                <w:sz w:val="17"/>
              </w:rPr>
              <w:t>C4R</w:t>
            </w:r>
          </w:p>
        </w:tc>
        <w:tc>
          <w:tcPr>
            <w:tcW w:type="dxa" w:w="1417"/>
            <w:vAlign w:val="center"/>
            <w:tcMar>
              <w:top w:w="65" w:type="dxa"/>
              <w:left w:w="65" w:type="dxa"/>
              <w:bottom w:w="65" w:type="dxa"/>
              <w:right w:w="65" w:type="dxa"/>
            </w:tcMar>
          </w:tcPr>
          <w:p>
            <w:pPr>
              <w:pStyle w:val="TableText"/>
              <w:keepNext w:val="0"/>
              <w:widowControl/>
              <w:jc w:val="left"/>
            </w:pPr>
            <w:r>
              <w:rPr>
                <w:b w:val="0"/>
                <w:sz w:val="17"/>
              </w:rPr>
              <w:t>+0.6503</w:t>
            </w:r>
          </w:p>
        </w:tc>
        <w:tc>
          <w:tcPr>
            <w:tcW w:type="dxa" w:w="2778"/>
            <w:vAlign w:val="center"/>
            <w:tcMar>
              <w:top w:w="65" w:type="dxa"/>
              <w:left w:w="65" w:type="dxa"/>
              <w:bottom w:w="65" w:type="dxa"/>
              <w:right w:w="65" w:type="dxa"/>
            </w:tcMar>
          </w:tcPr>
          <w:p>
            <w:pPr>
              <w:pStyle w:val="TableText"/>
              <w:keepNext w:val="0"/>
              <w:widowControl/>
              <w:jc w:val="left"/>
            </w:pPr>
            <w:r>
              <w:rPr>
                <w:b w:val="0"/>
                <w:sz w:val="17"/>
              </w:rPr>
              <w:t>[+0.5476, +0.7520]</w:t>
            </w:r>
          </w:p>
        </w:tc>
        <w:tc>
          <w:tcPr>
            <w:tcW w:type="dxa" w:w="1474"/>
            <w:vAlign w:val="center"/>
            <w:tcMar>
              <w:top w:w="65" w:type="dxa"/>
              <w:left w:w="65" w:type="dxa"/>
              <w:bottom w:w="65" w:type="dxa"/>
              <w:right w:w="65" w:type="dxa"/>
            </w:tcMar>
          </w:tcPr>
          <w:p>
            <w:pPr>
              <w:pStyle w:val="TableText"/>
              <w:keepNext w:val="0"/>
              <w:widowControl/>
              <w:jc w:val="left"/>
            </w:pPr>
            <w:r>
              <w:rPr>
                <w:b w:val="0"/>
                <w:sz w:val="17"/>
              </w:rPr>
              <w:t>0.0020</w:t>
            </w:r>
          </w:p>
        </w:tc>
      </w:tr>
      <w:tr>
        <w:trPr>
          <w:cantSplit/>
        </w:trPr>
        <w:tc>
          <w:tcPr>
            <w:tcW w:type="dxa" w:w="737"/>
            <w:vAlign w:val="center"/>
            <w:tcMar>
              <w:top w:w="65" w:type="dxa"/>
              <w:left w:w="65" w:type="dxa"/>
              <w:bottom w:w="65" w:type="dxa"/>
              <w:right w:w="65" w:type="dxa"/>
            </w:tcMar>
          </w:tcPr>
          <w:p>
            <w:pPr>
              <w:pStyle w:val="TableText"/>
              <w:keepNext w:val="0"/>
              <w:widowControl/>
              <w:jc w:val="left"/>
            </w:pPr>
            <w:r>
              <w:rPr>
                <w:b w:val="0"/>
                <w:sz w:val="17"/>
              </w:rPr>
              <w:t>Gemini</w:t>
            </w:r>
          </w:p>
        </w:tc>
        <w:tc>
          <w:tcPr>
            <w:tcW w:type="dxa" w:w="624"/>
            <w:vAlign w:val="center"/>
            <w:tcMar>
              <w:top w:w="65" w:type="dxa"/>
              <w:left w:w="65" w:type="dxa"/>
              <w:bottom w:w="65" w:type="dxa"/>
              <w:right w:w="65" w:type="dxa"/>
            </w:tcMar>
          </w:tcPr>
          <w:p>
            <w:pPr>
              <w:pStyle w:val="TableText"/>
              <w:keepNext w:val="0"/>
              <w:widowControl/>
              <w:jc w:val="left"/>
            </w:pPr>
            <w:r>
              <w:rPr>
                <w:b w:val="0"/>
                <w:sz w:val="17"/>
              </w:rPr>
              <w:t>B1</w:t>
            </w:r>
          </w:p>
        </w:tc>
        <w:tc>
          <w:tcPr>
            <w:tcW w:type="dxa" w:w="907"/>
            <w:vAlign w:val="center"/>
            <w:tcMar>
              <w:top w:w="65" w:type="dxa"/>
              <w:left w:w="65" w:type="dxa"/>
              <w:bottom w:w="65" w:type="dxa"/>
              <w:right w:w="65" w:type="dxa"/>
            </w:tcMar>
          </w:tcPr>
          <w:p>
            <w:pPr>
              <w:pStyle w:val="TableText"/>
              <w:keepNext w:val="0"/>
              <w:widowControl/>
              <w:jc w:val="left"/>
            </w:pPr>
            <w:r>
              <w:rPr>
                <w:b w:val="0"/>
                <w:sz w:val="17"/>
              </w:rPr>
              <w:t>C6-E</w:t>
            </w:r>
          </w:p>
        </w:tc>
        <w:tc>
          <w:tcPr>
            <w:tcW w:type="dxa" w:w="1417"/>
            <w:vAlign w:val="center"/>
            <w:tcMar>
              <w:top w:w="65" w:type="dxa"/>
              <w:left w:w="65" w:type="dxa"/>
              <w:bottom w:w="65" w:type="dxa"/>
              <w:right w:w="65" w:type="dxa"/>
            </w:tcMar>
          </w:tcPr>
          <w:p>
            <w:pPr>
              <w:pStyle w:val="TableText"/>
              <w:keepNext w:val="0"/>
              <w:widowControl/>
              <w:jc w:val="left"/>
            </w:pPr>
            <w:r>
              <w:rPr>
                <w:b w:val="0"/>
                <w:sz w:val="17"/>
              </w:rPr>
              <w:t>+0.7180</w:t>
            </w:r>
          </w:p>
        </w:tc>
        <w:tc>
          <w:tcPr>
            <w:tcW w:type="dxa" w:w="2778"/>
            <w:vAlign w:val="center"/>
            <w:tcMar>
              <w:top w:w="65" w:type="dxa"/>
              <w:left w:w="65" w:type="dxa"/>
              <w:bottom w:w="65" w:type="dxa"/>
              <w:right w:w="65" w:type="dxa"/>
            </w:tcMar>
          </w:tcPr>
          <w:p>
            <w:pPr>
              <w:pStyle w:val="TableText"/>
              <w:keepNext w:val="0"/>
              <w:widowControl/>
              <w:jc w:val="left"/>
            </w:pPr>
            <w:r>
              <w:rPr>
                <w:b w:val="0"/>
                <w:sz w:val="17"/>
              </w:rPr>
              <w:t>[+0.6074, +0.8345]</w:t>
            </w:r>
          </w:p>
        </w:tc>
        <w:tc>
          <w:tcPr>
            <w:tcW w:type="dxa" w:w="1474"/>
            <w:vAlign w:val="center"/>
            <w:tcMar>
              <w:top w:w="65" w:type="dxa"/>
              <w:left w:w="65" w:type="dxa"/>
              <w:bottom w:w="65" w:type="dxa"/>
              <w:right w:w="65" w:type="dxa"/>
            </w:tcMar>
          </w:tcPr>
          <w:p>
            <w:pPr>
              <w:pStyle w:val="TableText"/>
              <w:keepNext w:val="0"/>
              <w:widowControl/>
              <w:jc w:val="left"/>
            </w:pPr>
            <w:r>
              <w:rPr>
                <w:b w:val="0"/>
                <w:sz w:val="17"/>
              </w:rPr>
              <w:t>0.0020</w:t>
            </w:r>
          </w:p>
        </w:tc>
      </w:tr>
      <w:tr>
        <w:trPr>
          <w:cantSplit/>
        </w:trPr>
        <w:tc>
          <w:tcPr>
            <w:tcW w:type="dxa" w:w="737"/>
            <w:vAlign w:val="center"/>
            <w:tcMar>
              <w:top w:w="65" w:type="dxa"/>
              <w:left w:w="65" w:type="dxa"/>
              <w:bottom w:w="65" w:type="dxa"/>
              <w:right w:w="65" w:type="dxa"/>
            </w:tcMar>
          </w:tcPr>
          <w:p>
            <w:pPr>
              <w:pStyle w:val="TableText"/>
              <w:keepNext w:val="0"/>
              <w:widowControl/>
              <w:jc w:val="left"/>
            </w:pPr>
            <w:r>
              <w:rPr>
                <w:b w:val="0"/>
                <w:sz w:val="17"/>
              </w:rPr>
              <w:t>Gemini</w:t>
            </w:r>
          </w:p>
        </w:tc>
        <w:tc>
          <w:tcPr>
            <w:tcW w:type="dxa" w:w="624"/>
            <w:vAlign w:val="center"/>
            <w:tcMar>
              <w:top w:w="65" w:type="dxa"/>
              <w:left w:w="65" w:type="dxa"/>
              <w:bottom w:w="65" w:type="dxa"/>
              <w:right w:w="65" w:type="dxa"/>
            </w:tcMar>
          </w:tcPr>
          <w:p>
            <w:pPr>
              <w:pStyle w:val="TableText"/>
              <w:keepNext w:val="0"/>
              <w:widowControl/>
              <w:jc w:val="left"/>
            </w:pPr>
            <w:r>
              <w:rPr>
                <w:b w:val="0"/>
                <w:sz w:val="17"/>
              </w:rPr>
              <w:t>BINF</w:t>
            </w:r>
          </w:p>
        </w:tc>
        <w:tc>
          <w:tcPr>
            <w:tcW w:type="dxa" w:w="907"/>
            <w:vAlign w:val="center"/>
            <w:tcMar>
              <w:top w:w="65" w:type="dxa"/>
              <w:left w:w="65" w:type="dxa"/>
              <w:bottom w:w="65" w:type="dxa"/>
              <w:right w:w="65" w:type="dxa"/>
            </w:tcMar>
          </w:tcPr>
          <w:p>
            <w:pPr>
              <w:pStyle w:val="TableText"/>
              <w:keepNext w:val="0"/>
              <w:widowControl/>
              <w:jc w:val="left"/>
            </w:pPr>
            <w:r>
              <w:rPr>
                <w:b w:val="0"/>
                <w:sz w:val="17"/>
              </w:rPr>
              <w:t>C4</w:t>
            </w:r>
          </w:p>
        </w:tc>
        <w:tc>
          <w:tcPr>
            <w:tcW w:type="dxa" w:w="1417"/>
            <w:vAlign w:val="center"/>
            <w:tcMar>
              <w:top w:w="65" w:type="dxa"/>
              <w:left w:w="65" w:type="dxa"/>
              <w:bottom w:w="65" w:type="dxa"/>
              <w:right w:w="65" w:type="dxa"/>
            </w:tcMar>
          </w:tcPr>
          <w:p>
            <w:pPr>
              <w:pStyle w:val="TableText"/>
              <w:keepNext w:val="0"/>
              <w:widowControl/>
              <w:jc w:val="left"/>
            </w:pPr>
            <w:r>
              <w:rPr>
                <w:b w:val="0"/>
                <w:sz w:val="17"/>
              </w:rPr>
              <w:t>-0.2076</w:t>
            </w:r>
          </w:p>
        </w:tc>
        <w:tc>
          <w:tcPr>
            <w:tcW w:type="dxa" w:w="2778"/>
            <w:vAlign w:val="center"/>
            <w:tcMar>
              <w:top w:w="65" w:type="dxa"/>
              <w:left w:w="65" w:type="dxa"/>
              <w:bottom w:w="65" w:type="dxa"/>
              <w:right w:w="65" w:type="dxa"/>
            </w:tcMar>
          </w:tcPr>
          <w:p>
            <w:pPr>
              <w:pStyle w:val="TableText"/>
              <w:keepNext w:val="0"/>
              <w:widowControl/>
              <w:jc w:val="left"/>
            </w:pPr>
            <w:r>
              <w:rPr>
                <w:b w:val="0"/>
                <w:sz w:val="17"/>
              </w:rPr>
              <w:t>[-0.3074, -0.1101]</w:t>
            </w:r>
          </w:p>
        </w:tc>
        <w:tc>
          <w:tcPr>
            <w:tcW w:type="dxa" w:w="1474"/>
            <w:vAlign w:val="center"/>
            <w:tcMar>
              <w:top w:w="65" w:type="dxa"/>
              <w:left w:w="65" w:type="dxa"/>
              <w:bottom w:w="65" w:type="dxa"/>
              <w:right w:w="65" w:type="dxa"/>
            </w:tcMar>
          </w:tcPr>
          <w:p>
            <w:pPr>
              <w:pStyle w:val="TableText"/>
              <w:keepNext w:val="0"/>
              <w:widowControl/>
              <w:jc w:val="left"/>
            </w:pPr>
            <w:r>
              <w:rPr>
                <w:b w:val="0"/>
                <w:sz w:val="17"/>
              </w:rPr>
              <w:t>0.0020</w:t>
            </w:r>
          </w:p>
        </w:tc>
      </w:tr>
      <w:tr>
        <w:trPr>
          <w:cantSplit/>
        </w:trPr>
        <w:tc>
          <w:tcPr>
            <w:tcW w:type="dxa" w:w="737"/>
            <w:vAlign w:val="center"/>
            <w:tcMar>
              <w:top w:w="65" w:type="dxa"/>
              <w:left w:w="65" w:type="dxa"/>
              <w:bottom w:w="65" w:type="dxa"/>
              <w:right w:w="65" w:type="dxa"/>
            </w:tcMar>
          </w:tcPr>
          <w:p>
            <w:pPr>
              <w:pStyle w:val="TableText"/>
              <w:keepNext w:val="0"/>
              <w:widowControl/>
              <w:jc w:val="left"/>
            </w:pPr>
            <w:r>
              <w:rPr>
                <w:b w:val="0"/>
                <w:sz w:val="17"/>
              </w:rPr>
              <w:t>Gemini</w:t>
            </w:r>
          </w:p>
        </w:tc>
        <w:tc>
          <w:tcPr>
            <w:tcW w:type="dxa" w:w="624"/>
            <w:vAlign w:val="center"/>
            <w:tcMar>
              <w:top w:w="65" w:type="dxa"/>
              <w:left w:w="65" w:type="dxa"/>
              <w:bottom w:w="65" w:type="dxa"/>
              <w:right w:w="65" w:type="dxa"/>
            </w:tcMar>
          </w:tcPr>
          <w:p>
            <w:pPr>
              <w:pStyle w:val="TableText"/>
              <w:keepNext w:val="0"/>
              <w:widowControl/>
              <w:jc w:val="left"/>
            </w:pPr>
            <w:r>
              <w:rPr>
                <w:b w:val="0"/>
                <w:sz w:val="17"/>
              </w:rPr>
              <w:t>BINF</w:t>
            </w:r>
          </w:p>
        </w:tc>
        <w:tc>
          <w:tcPr>
            <w:tcW w:type="dxa" w:w="907"/>
            <w:vAlign w:val="center"/>
            <w:tcMar>
              <w:top w:w="65" w:type="dxa"/>
              <w:left w:w="65" w:type="dxa"/>
              <w:bottom w:w="65" w:type="dxa"/>
              <w:right w:w="65" w:type="dxa"/>
            </w:tcMar>
          </w:tcPr>
          <w:p>
            <w:pPr>
              <w:pStyle w:val="TableText"/>
              <w:keepNext w:val="0"/>
              <w:widowControl/>
              <w:jc w:val="left"/>
            </w:pPr>
            <w:r>
              <w:rPr>
                <w:b w:val="0"/>
                <w:sz w:val="17"/>
              </w:rPr>
              <w:t>C4R</w:t>
            </w:r>
          </w:p>
        </w:tc>
        <w:tc>
          <w:tcPr>
            <w:tcW w:type="dxa" w:w="1417"/>
            <w:vAlign w:val="center"/>
            <w:tcMar>
              <w:top w:w="65" w:type="dxa"/>
              <w:left w:w="65" w:type="dxa"/>
              <w:bottom w:w="65" w:type="dxa"/>
              <w:right w:w="65" w:type="dxa"/>
            </w:tcMar>
          </w:tcPr>
          <w:p>
            <w:pPr>
              <w:pStyle w:val="TableText"/>
              <w:keepNext w:val="0"/>
              <w:widowControl/>
              <w:jc w:val="left"/>
            </w:pPr>
            <w:r>
              <w:rPr>
                <w:b w:val="0"/>
                <w:sz w:val="17"/>
              </w:rPr>
              <w:t>-0.2054</w:t>
            </w:r>
          </w:p>
        </w:tc>
        <w:tc>
          <w:tcPr>
            <w:tcW w:type="dxa" w:w="2778"/>
            <w:vAlign w:val="center"/>
            <w:tcMar>
              <w:top w:w="65" w:type="dxa"/>
              <w:left w:w="65" w:type="dxa"/>
              <w:bottom w:w="65" w:type="dxa"/>
              <w:right w:w="65" w:type="dxa"/>
            </w:tcMar>
          </w:tcPr>
          <w:p>
            <w:pPr>
              <w:pStyle w:val="TableText"/>
              <w:keepNext w:val="0"/>
              <w:widowControl/>
              <w:jc w:val="left"/>
            </w:pPr>
            <w:r>
              <w:rPr>
                <w:b w:val="0"/>
                <w:sz w:val="17"/>
              </w:rPr>
              <w:t>[-0.3051, -0.1076]</w:t>
            </w:r>
          </w:p>
        </w:tc>
        <w:tc>
          <w:tcPr>
            <w:tcW w:type="dxa" w:w="1474"/>
            <w:vAlign w:val="center"/>
            <w:tcMar>
              <w:top w:w="65" w:type="dxa"/>
              <w:left w:w="65" w:type="dxa"/>
              <w:bottom w:w="65" w:type="dxa"/>
              <w:right w:w="65" w:type="dxa"/>
            </w:tcMar>
          </w:tcPr>
          <w:p>
            <w:pPr>
              <w:pStyle w:val="TableText"/>
              <w:keepNext w:val="0"/>
              <w:widowControl/>
              <w:jc w:val="left"/>
            </w:pPr>
            <w:r>
              <w:rPr>
                <w:b w:val="0"/>
                <w:sz w:val="17"/>
              </w:rPr>
              <w:t>0.0020</w:t>
            </w:r>
          </w:p>
        </w:tc>
      </w:tr>
      <w:tr>
        <w:trPr>
          <w:cantSplit/>
        </w:trPr>
        <w:tc>
          <w:tcPr>
            <w:tcW w:type="dxa" w:w="737"/>
            <w:vAlign w:val="center"/>
            <w:tcMar>
              <w:top w:w="65" w:type="dxa"/>
              <w:left w:w="65" w:type="dxa"/>
              <w:bottom w:w="65" w:type="dxa"/>
              <w:right w:w="65" w:type="dxa"/>
            </w:tcMar>
          </w:tcPr>
          <w:p>
            <w:pPr>
              <w:pStyle w:val="TableText"/>
              <w:keepNext w:val="0"/>
              <w:widowControl/>
              <w:jc w:val="left"/>
            </w:pPr>
            <w:r>
              <w:rPr>
                <w:b w:val="0"/>
                <w:sz w:val="17"/>
              </w:rPr>
              <w:t>Gemini</w:t>
            </w:r>
          </w:p>
        </w:tc>
        <w:tc>
          <w:tcPr>
            <w:tcW w:type="dxa" w:w="624"/>
            <w:vAlign w:val="center"/>
            <w:tcMar>
              <w:top w:w="65" w:type="dxa"/>
              <w:left w:w="65" w:type="dxa"/>
              <w:bottom w:w="65" w:type="dxa"/>
              <w:right w:w="65" w:type="dxa"/>
            </w:tcMar>
          </w:tcPr>
          <w:p>
            <w:pPr>
              <w:pStyle w:val="TableText"/>
              <w:keepNext w:val="0"/>
              <w:widowControl/>
              <w:jc w:val="left"/>
            </w:pPr>
            <w:r>
              <w:rPr>
                <w:b w:val="0"/>
                <w:sz w:val="17"/>
              </w:rPr>
              <w:t>BINF</w:t>
            </w:r>
          </w:p>
        </w:tc>
        <w:tc>
          <w:tcPr>
            <w:tcW w:type="dxa" w:w="907"/>
            <w:vAlign w:val="center"/>
            <w:tcMar>
              <w:top w:w="65" w:type="dxa"/>
              <w:left w:w="65" w:type="dxa"/>
              <w:bottom w:w="65" w:type="dxa"/>
              <w:right w:w="65" w:type="dxa"/>
            </w:tcMar>
          </w:tcPr>
          <w:p>
            <w:pPr>
              <w:pStyle w:val="TableText"/>
              <w:keepNext w:val="0"/>
              <w:widowControl/>
              <w:jc w:val="left"/>
            </w:pPr>
            <w:r>
              <w:rPr>
                <w:b w:val="0"/>
                <w:sz w:val="17"/>
              </w:rPr>
              <w:t>C6-E</w:t>
            </w:r>
          </w:p>
        </w:tc>
        <w:tc>
          <w:tcPr>
            <w:tcW w:type="dxa" w:w="1417"/>
            <w:vAlign w:val="center"/>
            <w:tcMar>
              <w:top w:w="65" w:type="dxa"/>
              <w:left w:w="65" w:type="dxa"/>
              <w:bottom w:w="65" w:type="dxa"/>
              <w:right w:w="65" w:type="dxa"/>
            </w:tcMar>
          </w:tcPr>
          <w:p>
            <w:pPr>
              <w:pStyle w:val="TableText"/>
              <w:keepNext w:val="0"/>
              <w:widowControl/>
              <w:jc w:val="left"/>
            </w:pPr>
            <w:r>
              <w:rPr>
                <w:b w:val="0"/>
                <w:sz w:val="17"/>
              </w:rPr>
              <w:t>-0.1804</w:t>
            </w:r>
          </w:p>
        </w:tc>
        <w:tc>
          <w:tcPr>
            <w:tcW w:type="dxa" w:w="2778"/>
            <w:vAlign w:val="center"/>
            <w:tcMar>
              <w:top w:w="65" w:type="dxa"/>
              <w:left w:w="65" w:type="dxa"/>
              <w:bottom w:w="65" w:type="dxa"/>
              <w:right w:w="65" w:type="dxa"/>
            </w:tcMar>
          </w:tcPr>
          <w:p>
            <w:pPr>
              <w:pStyle w:val="TableText"/>
              <w:keepNext w:val="0"/>
              <w:widowControl/>
              <w:jc w:val="left"/>
            </w:pPr>
            <w:r>
              <w:rPr>
                <w:b w:val="0"/>
                <w:sz w:val="17"/>
              </w:rPr>
              <w:t>[-0.2727, -0.0866]</w:t>
            </w:r>
          </w:p>
        </w:tc>
        <w:tc>
          <w:tcPr>
            <w:tcW w:type="dxa" w:w="1474"/>
            <w:vAlign w:val="center"/>
            <w:tcMar>
              <w:top w:w="65" w:type="dxa"/>
              <w:left w:w="65" w:type="dxa"/>
              <w:bottom w:w="65" w:type="dxa"/>
              <w:right w:w="65" w:type="dxa"/>
            </w:tcMar>
          </w:tcPr>
          <w:p>
            <w:pPr>
              <w:pStyle w:val="TableText"/>
              <w:keepNext w:val="0"/>
              <w:widowControl/>
              <w:jc w:val="left"/>
            </w:pPr>
            <w:r>
              <w:rPr>
                <w:b w:val="0"/>
                <w:sz w:val="17"/>
              </w:rPr>
              <w:t>0.0020</w:t>
            </w:r>
          </w:p>
        </w:tc>
      </w:tr>
      <w:tr>
        <w:trPr>
          <w:cantSplit/>
        </w:trPr>
        <w:tc>
          <w:tcPr>
            <w:tcW w:type="dxa" w:w="737"/>
            <w:vAlign w:val="center"/>
            <w:tcMar>
              <w:top w:w="65" w:type="dxa"/>
              <w:left w:w="65" w:type="dxa"/>
              <w:bottom w:w="65" w:type="dxa"/>
              <w:right w:w="65" w:type="dxa"/>
            </w:tcMar>
          </w:tcPr>
          <w:p>
            <w:pPr>
              <w:pStyle w:val="TableText"/>
              <w:keepNext w:val="0"/>
              <w:widowControl/>
              <w:jc w:val="left"/>
            </w:pPr>
            <w:r>
              <w:rPr>
                <w:b w:val="0"/>
                <w:sz w:val="17"/>
              </w:rPr>
              <w:t>GPT</w:t>
            </w:r>
          </w:p>
        </w:tc>
        <w:tc>
          <w:tcPr>
            <w:tcW w:type="dxa" w:w="624"/>
            <w:vAlign w:val="center"/>
            <w:tcMar>
              <w:top w:w="65" w:type="dxa"/>
              <w:left w:w="65" w:type="dxa"/>
              <w:bottom w:w="65" w:type="dxa"/>
              <w:right w:w="65" w:type="dxa"/>
            </w:tcMar>
          </w:tcPr>
          <w:p>
            <w:pPr>
              <w:pStyle w:val="TableText"/>
              <w:keepNext w:val="0"/>
              <w:widowControl/>
              <w:jc w:val="left"/>
            </w:pPr>
            <w:r>
              <w:rPr>
                <w:b w:val="0"/>
                <w:sz w:val="17"/>
              </w:rPr>
              <w:t>B1</w:t>
            </w:r>
          </w:p>
        </w:tc>
        <w:tc>
          <w:tcPr>
            <w:tcW w:type="dxa" w:w="907"/>
            <w:vAlign w:val="center"/>
            <w:tcMar>
              <w:top w:w="65" w:type="dxa"/>
              <w:left w:w="65" w:type="dxa"/>
              <w:bottom w:w="65" w:type="dxa"/>
              <w:right w:w="65" w:type="dxa"/>
            </w:tcMar>
          </w:tcPr>
          <w:p>
            <w:pPr>
              <w:pStyle w:val="TableText"/>
              <w:keepNext w:val="0"/>
              <w:widowControl/>
              <w:jc w:val="left"/>
            </w:pPr>
            <w:r>
              <w:rPr>
                <w:b w:val="0"/>
                <w:sz w:val="17"/>
              </w:rPr>
              <w:t>C4</w:t>
            </w:r>
          </w:p>
        </w:tc>
        <w:tc>
          <w:tcPr>
            <w:tcW w:type="dxa" w:w="1417"/>
            <w:vAlign w:val="center"/>
            <w:tcMar>
              <w:top w:w="65" w:type="dxa"/>
              <w:left w:w="65" w:type="dxa"/>
              <w:bottom w:w="65" w:type="dxa"/>
              <w:right w:w="65" w:type="dxa"/>
            </w:tcMar>
          </w:tcPr>
          <w:p>
            <w:pPr>
              <w:pStyle w:val="TableText"/>
              <w:keepNext w:val="0"/>
              <w:widowControl/>
              <w:jc w:val="left"/>
            </w:pPr>
            <w:r>
              <w:rPr>
                <w:b w:val="0"/>
                <w:sz w:val="17"/>
              </w:rPr>
              <w:t>+0.5205</w:t>
            </w:r>
          </w:p>
        </w:tc>
        <w:tc>
          <w:tcPr>
            <w:tcW w:type="dxa" w:w="2778"/>
            <w:vAlign w:val="center"/>
            <w:tcMar>
              <w:top w:w="65" w:type="dxa"/>
              <w:left w:w="65" w:type="dxa"/>
              <w:bottom w:w="65" w:type="dxa"/>
              <w:right w:w="65" w:type="dxa"/>
            </w:tcMar>
          </w:tcPr>
          <w:p>
            <w:pPr>
              <w:pStyle w:val="TableText"/>
              <w:keepNext w:val="0"/>
              <w:widowControl/>
              <w:jc w:val="left"/>
            </w:pPr>
            <w:r>
              <w:rPr>
                <w:b w:val="0"/>
                <w:sz w:val="17"/>
              </w:rPr>
              <w:t>[+0.4121, +0.6298]</w:t>
            </w:r>
          </w:p>
        </w:tc>
        <w:tc>
          <w:tcPr>
            <w:tcW w:type="dxa" w:w="1474"/>
            <w:vAlign w:val="center"/>
            <w:tcMar>
              <w:top w:w="65" w:type="dxa"/>
              <w:left w:w="65" w:type="dxa"/>
              <w:bottom w:w="65" w:type="dxa"/>
              <w:right w:w="65" w:type="dxa"/>
            </w:tcMar>
          </w:tcPr>
          <w:p>
            <w:pPr>
              <w:pStyle w:val="TableText"/>
              <w:keepNext w:val="0"/>
              <w:widowControl/>
              <w:jc w:val="left"/>
            </w:pPr>
            <w:r>
              <w:rPr>
                <w:b w:val="0"/>
                <w:sz w:val="17"/>
              </w:rPr>
              <w:t>0.0020</w:t>
            </w:r>
          </w:p>
        </w:tc>
      </w:tr>
      <w:tr>
        <w:trPr>
          <w:cantSplit/>
        </w:trPr>
        <w:tc>
          <w:tcPr>
            <w:tcW w:type="dxa" w:w="737"/>
            <w:vAlign w:val="center"/>
            <w:tcMar>
              <w:top w:w="65" w:type="dxa"/>
              <w:left w:w="65" w:type="dxa"/>
              <w:bottom w:w="65" w:type="dxa"/>
              <w:right w:w="65" w:type="dxa"/>
            </w:tcMar>
          </w:tcPr>
          <w:p>
            <w:pPr>
              <w:pStyle w:val="TableText"/>
              <w:keepNext w:val="0"/>
              <w:widowControl/>
              <w:jc w:val="left"/>
            </w:pPr>
            <w:r>
              <w:rPr>
                <w:b w:val="0"/>
                <w:sz w:val="17"/>
              </w:rPr>
              <w:t>GPT</w:t>
            </w:r>
          </w:p>
        </w:tc>
        <w:tc>
          <w:tcPr>
            <w:tcW w:type="dxa" w:w="624"/>
            <w:vAlign w:val="center"/>
            <w:tcMar>
              <w:top w:w="65" w:type="dxa"/>
              <w:left w:w="65" w:type="dxa"/>
              <w:bottom w:w="65" w:type="dxa"/>
              <w:right w:w="65" w:type="dxa"/>
            </w:tcMar>
          </w:tcPr>
          <w:p>
            <w:pPr>
              <w:pStyle w:val="TableText"/>
              <w:keepNext w:val="0"/>
              <w:widowControl/>
              <w:jc w:val="left"/>
            </w:pPr>
            <w:r>
              <w:rPr>
                <w:b w:val="0"/>
                <w:sz w:val="17"/>
              </w:rPr>
              <w:t>B1</w:t>
            </w:r>
          </w:p>
        </w:tc>
        <w:tc>
          <w:tcPr>
            <w:tcW w:type="dxa" w:w="907"/>
            <w:vAlign w:val="center"/>
            <w:tcMar>
              <w:top w:w="65" w:type="dxa"/>
              <w:left w:w="65" w:type="dxa"/>
              <w:bottom w:w="65" w:type="dxa"/>
              <w:right w:w="65" w:type="dxa"/>
            </w:tcMar>
          </w:tcPr>
          <w:p>
            <w:pPr>
              <w:pStyle w:val="TableText"/>
              <w:keepNext w:val="0"/>
              <w:widowControl/>
              <w:jc w:val="left"/>
            </w:pPr>
            <w:r>
              <w:rPr>
                <w:b w:val="0"/>
                <w:sz w:val="17"/>
              </w:rPr>
              <w:t>C4R</w:t>
            </w:r>
          </w:p>
        </w:tc>
        <w:tc>
          <w:tcPr>
            <w:tcW w:type="dxa" w:w="1417"/>
            <w:vAlign w:val="center"/>
            <w:tcMar>
              <w:top w:w="65" w:type="dxa"/>
              <w:left w:w="65" w:type="dxa"/>
              <w:bottom w:w="65" w:type="dxa"/>
              <w:right w:w="65" w:type="dxa"/>
            </w:tcMar>
          </w:tcPr>
          <w:p>
            <w:pPr>
              <w:pStyle w:val="TableText"/>
              <w:keepNext w:val="0"/>
              <w:widowControl/>
              <w:jc w:val="left"/>
            </w:pPr>
            <w:r>
              <w:rPr>
                <w:b w:val="0"/>
                <w:sz w:val="17"/>
              </w:rPr>
              <w:t>+0.3777</w:t>
            </w:r>
          </w:p>
        </w:tc>
        <w:tc>
          <w:tcPr>
            <w:tcW w:type="dxa" w:w="2778"/>
            <w:vAlign w:val="center"/>
            <w:tcMar>
              <w:top w:w="65" w:type="dxa"/>
              <w:left w:w="65" w:type="dxa"/>
              <w:bottom w:w="65" w:type="dxa"/>
              <w:right w:w="65" w:type="dxa"/>
            </w:tcMar>
          </w:tcPr>
          <w:p>
            <w:pPr>
              <w:pStyle w:val="TableText"/>
              <w:keepNext w:val="0"/>
              <w:widowControl/>
              <w:jc w:val="left"/>
            </w:pPr>
            <w:r>
              <w:rPr>
                <w:b w:val="0"/>
                <w:sz w:val="17"/>
              </w:rPr>
              <w:t>[+0.2758, +0.4845]</w:t>
            </w:r>
          </w:p>
        </w:tc>
        <w:tc>
          <w:tcPr>
            <w:tcW w:type="dxa" w:w="1474"/>
            <w:vAlign w:val="center"/>
            <w:tcMar>
              <w:top w:w="65" w:type="dxa"/>
              <w:left w:w="65" w:type="dxa"/>
              <w:bottom w:w="65" w:type="dxa"/>
              <w:right w:w="65" w:type="dxa"/>
            </w:tcMar>
          </w:tcPr>
          <w:p>
            <w:pPr>
              <w:pStyle w:val="TableText"/>
              <w:keepNext w:val="0"/>
              <w:widowControl/>
              <w:jc w:val="left"/>
            </w:pPr>
            <w:r>
              <w:rPr>
                <w:b w:val="0"/>
                <w:sz w:val="17"/>
              </w:rPr>
              <w:t>0.0020</w:t>
            </w:r>
          </w:p>
        </w:tc>
      </w:tr>
      <w:tr>
        <w:trPr>
          <w:cantSplit/>
        </w:trPr>
        <w:tc>
          <w:tcPr>
            <w:tcW w:type="dxa" w:w="737"/>
            <w:vAlign w:val="center"/>
            <w:tcMar>
              <w:top w:w="65" w:type="dxa"/>
              <w:left w:w="65" w:type="dxa"/>
              <w:bottom w:w="65" w:type="dxa"/>
              <w:right w:w="65" w:type="dxa"/>
            </w:tcMar>
          </w:tcPr>
          <w:p>
            <w:pPr>
              <w:pStyle w:val="TableText"/>
              <w:keepNext w:val="0"/>
              <w:widowControl/>
              <w:jc w:val="left"/>
            </w:pPr>
            <w:r>
              <w:rPr>
                <w:b w:val="0"/>
                <w:sz w:val="17"/>
              </w:rPr>
              <w:t>GPT</w:t>
            </w:r>
          </w:p>
        </w:tc>
        <w:tc>
          <w:tcPr>
            <w:tcW w:type="dxa" w:w="624"/>
            <w:vAlign w:val="center"/>
            <w:tcMar>
              <w:top w:w="65" w:type="dxa"/>
              <w:left w:w="65" w:type="dxa"/>
              <w:bottom w:w="65" w:type="dxa"/>
              <w:right w:w="65" w:type="dxa"/>
            </w:tcMar>
          </w:tcPr>
          <w:p>
            <w:pPr>
              <w:pStyle w:val="TableText"/>
              <w:keepNext w:val="0"/>
              <w:widowControl/>
              <w:jc w:val="left"/>
            </w:pPr>
            <w:r>
              <w:rPr>
                <w:b w:val="0"/>
                <w:sz w:val="17"/>
              </w:rPr>
              <w:t>B1</w:t>
            </w:r>
          </w:p>
        </w:tc>
        <w:tc>
          <w:tcPr>
            <w:tcW w:type="dxa" w:w="907"/>
            <w:vAlign w:val="center"/>
            <w:tcMar>
              <w:top w:w="65" w:type="dxa"/>
              <w:left w:w="65" w:type="dxa"/>
              <w:bottom w:w="65" w:type="dxa"/>
              <w:right w:w="65" w:type="dxa"/>
            </w:tcMar>
          </w:tcPr>
          <w:p>
            <w:pPr>
              <w:pStyle w:val="TableText"/>
              <w:keepNext w:val="0"/>
              <w:widowControl/>
              <w:jc w:val="left"/>
            </w:pPr>
            <w:r>
              <w:rPr>
                <w:b w:val="0"/>
                <w:sz w:val="17"/>
              </w:rPr>
              <w:t>C6-E</w:t>
            </w:r>
          </w:p>
        </w:tc>
        <w:tc>
          <w:tcPr>
            <w:tcW w:type="dxa" w:w="1417"/>
            <w:vAlign w:val="center"/>
            <w:tcMar>
              <w:top w:w="65" w:type="dxa"/>
              <w:left w:w="65" w:type="dxa"/>
              <w:bottom w:w="65" w:type="dxa"/>
              <w:right w:w="65" w:type="dxa"/>
            </w:tcMar>
          </w:tcPr>
          <w:p>
            <w:pPr>
              <w:pStyle w:val="TableText"/>
              <w:keepNext w:val="0"/>
              <w:widowControl/>
              <w:jc w:val="left"/>
            </w:pPr>
            <w:r>
              <w:rPr>
                <w:b w:val="0"/>
                <w:sz w:val="17"/>
              </w:rPr>
              <w:t>+0.4405</w:t>
            </w:r>
          </w:p>
        </w:tc>
        <w:tc>
          <w:tcPr>
            <w:tcW w:type="dxa" w:w="2778"/>
            <w:vAlign w:val="center"/>
            <w:tcMar>
              <w:top w:w="65" w:type="dxa"/>
              <w:left w:w="65" w:type="dxa"/>
              <w:bottom w:w="65" w:type="dxa"/>
              <w:right w:w="65" w:type="dxa"/>
            </w:tcMar>
          </w:tcPr>
          <w:p>
            <w:pPr>
              <w:pStyle w:val="TableText"/>
              <w:keepNext w:val="0"/>
              <w:widowControl/>
              <w:jc w:val="left"/>
            </w:pPr>
            <w:r>
              <w:rPr>
                <w:b w:val="0"/>
                <w:sz w:val="17"/>
              </w:rPr>
              <w:t>[+0.3444, +0.5393]</w:t>
            </w:r>
          </w:p>
        </w:tc>
        <w:tc>
          <w:tcPr>
            <w:tcW w:type="dxa" w:w="1474"/>
            <w:vAlign w:val="center"/>
            <w:tcMar>
              <w:top w:w="65" w:type="dxa"/>
              <w:left w:w="65" w:type="dxa"/>
              <w:bottom w:w="65" w:type="dxa"/>
              <w:right w:w="65" w:type="dxa"/>
            </w:tcMar>
          </w:tcPr>
          <w:p>
            <w:pPr>
              <w:pStyle w:val="TableText"/>
              <w:keepNext w:val="0"/>
              <w:widowControl/>
              <w:jc w:val="left"/>
            </w:pPr>
            <w:r>
              <w:rPr>
                <w:b w:val="0"/>
                <w:sz w:val="17"/>
              </w:rPr>
              <w:t>0.0020</w:t>
            </w:r>
          </w:p>
        </w:tc>
      </w:tr>
      <w:tr>
        <w:trPr>
          <w:cantSplit/>
        </w:trPr>
        <w:tc>
          <w:tcPr>
            <w:tcW w:type="dxa" w:w="737"/>
            <w:vAlign w:val="center"/>
            <w:tcMar>
              <w:top w:w="65" w:type="dxa"/>
              <w:left w:w="65" w:type="dxa"/>
              <w:bottom w:w="65" w:type="dxa"/>
              <w:right w:w="65" w:type="dxa"/>
            </w:tcMar>
          </w:tcPr>
          <w:p>
            <w:pPr>
              <w:pStyle w:val="TableText"/>
              <w:keepNext w:val="0"/>
              <w:widowControl/>
              <w:jc w:val="left"/>
            </w:pPr>
            <w:r>
              <w:rPr>
                <w:b w:val="0"/>
                <w:sz w:val="17"/>
              </w:rPr>
              <w:t>GPT</w:t>
            </w:r>
          </w:p>
        </w:tc>
        <w:tc>
          <w:tcPr>
            <w:tcW w:type="dxa" w:w="624"/>
            <w:vAlign w:val="center"/>
            <w:tcMar>
              <w:top w:w="65" w:type="dxa"/>
              <w:left w:w="65" w:type="dxa"/>
              <w:bottom w:w="65" w:type="dxa"/>
              <w:right w:w="65" w:type="dxa"/>
            </w:tcMar>
          </w:tcPr>
          <w:p>
            <w:pPr>
              <w:pStyle w:val="TableText"/>
              <w:keepNext w:val="0"/>
              <w:widowControl/>
              <w:jc w:val="left"/>
            </w:pPr>
            <w:r>
              <w:rPr>
                <w:b w:val="0"/>
                <w:sz w:val="17"/>
              </w:rPr>
              <w:t>BINF</w:t>
            </w:r>
          </w:p>
        </w:tc>
        <w:tc>
          <w:tcPr>
            <w:tcW w:type="dxa" w:w="907"/>
            <w:vAlign w:val="center"/>
            <w:tcMar>
              <w:top w:w="65" w:type="dxa"/>
              <w:left w:w="65" w:type="dxa"/>
              <w:bottom w:w="65" w:type="dxa"/>
              <w:right w:w="65" w:type="dxa"/>
            </w:tcMar>
          </w:tcPr>
          <w:p>
            <w:pPr>
              <w:pStyle w:val="TableText"/>
              <w:keepNext w:val="0"/>
              <w:widowControl/>
              <w:jc w:val="left"/>
            </w:pPr>
            <w:r>
              <w:rPr>
                <w:b w:val="0"/>
                <w:sz w:val="17"/>
              </w:rPr>
              <w:t>C4</w:t>
            </w:r>
          </w:p>
        </w:tc>
        <w:tc>
          <w:tcPr>
            <w:tcW w:type="dxa" w:w="1417"/>
            <w:vAlign w:val="center"/>
            <w:tcMar>
              <w:top w:w="65" w:type="dxa"/>
              <w:left w:w="65" w:type="dxa"/>
              <w:bottom w:w="65" w:type="dxa"/>
              <w:right w:w="65" w:type="dxa"/>
            </w:tcMar>
          </w:tcPr>
          <w:p>
            <w:pPr>
              <w:pStyle w:val="TableText"/>
              <w:keepNext w:val="0"/>
              <w:widowControl/>
              <w:jc w:val="left"/>
            </w:pPr>
            <w:r>
              <w:rPr>
                <w:b w:val="0"/>
                <w:sz w:val="17"/>
              </w:rPr>
              <w:t>+0.2928</w:t>
            </w:r>
          </w:p>
        </w:tc>
        <w:tc>
          <w:tcPr>
            <w:tcW w:type="dxa" w:w="2778"/>
            <w:vAlign w:val="center"/>
            <w:tcMar>
              <w:top w:w="65" w:type="dxa"/>
              <w:left w:w="65" w:type="dxa"/>
              <w:bottom w:w="65" w:type="dxa"/>
              <w:right w:w="65" w:type="dxa"/>
            </w:tcMar>
          </w:tcPr>
          <w:p>
            <w:pPr>
              <w:pStyle w:val="TableText"/>
              <w:keepNext w:val="0"/>
              <w:widowControl/>
              <w:jc w:val="left"/>
            </w:pPr>
            <w:r>
              <w:rPr>
                <w:b w:val="0"/>
                <w:sz w:val="17"/>
              </w:rPr>
              <w:t>[+0.1879, +0.3967]</w:t>
            </w:r>
          </w:p>
        </w:tc>
        <w:tc>
          <w:tcPr>
            <w:tcW w:type="dxa" w:w="1474"/>
            <w:vAlign w:val="center"/>
            <w:tcMar>
              <w:top w:w="65" w:type="dxa"/>
              <w:left w:w="65" w:type="dxa"/>
              <w:bottom w:w="65" w:type="dxa"/>
              <w:right w:w="65" w:type="dxa"/>
            </w:tcMar>
          </w:tcPr>
          <w:p>
            <w:pPr>
              <w:pStyle w:val="TableText"/>
              <w:keepNext w:val="0"/>
              <w:widowControl/>
              <w:jc w:val="left"/>
            </w:pPr>
            <w:r>
              <w:rPr>
                <w:b w:val="0"/>
                <w:sz w:val="17"/>
              </w:rPr>
              <w:t>0.0020</w:t>
            </w:r>
          </w:p>
        </w:tc>
      </w:tr>
      <w:tr>
        <w:trPr>
          <w:cantSplit/>
        </w:trPr>
        <w:tc>
          <w:tcPr>
            <w:tcW w:type="dxa" w:w="737"/>
            <w:vAlign w:val="center"/>
            <w:tcMar>
              <w:top w:w="65" w:type="dxa"/>
              <w:left w:w="65" w:type="dxa"/>
              <w:bottom w:w="65" w:type="dxa"/>
              <w:right w:w="65" w:type="dxa"/>
            </w:tcMar>
          </w:tcPr>
          <w:p>
            <w:pPr>
              <w:pStyle w:val="TableText"/>
              <w:keepNext w:val="0"/>
              <w:widowControl/>
              <w:jc w:val="left"/>
            </w:pPr>
            <w:r>
              <w:rPr>
                <w:b w:val="0"/>
                <w:sz w:val="17"/>
              </w:rPr>
              <w:t>GPT</w:t>
            </w:r>
          </w:p>
        </w:tc>
        <w:tc>
          <w:tcPr>
            <w:tcW w:type="dxa" w:w="624"/>
            <w:vAlign w:val="center"/>
            <w:tcMar>
              <w:top w:w="65" w:type="dxa"/>
              <w:left w:w="65" w:type="dxa"/>
              <w:bottom w:w="65" w:type="dxa"/>
              <w:right w:w="65" w:type="dxa"/>
            </w:tcMar>
          </w:tcPr>
          <w:p>
            <w:pPr>
              <w:pStyle w:val="TableText"/>
              <w:keepNext w:val="0"/>
              <w:widowControl/>
              <w:jc w:val="left"/>
            </w:pPr>
            <w:r>
              <w:rPr>
                <w:b w:val="0"/>
                <w:sz w:val="17"/>
              </w:rPr>
              <w:t>BINF</w:t>
            </w:r>
          </w:p>
        </w:tc>
        <w:tc>
          <w:tcPr>
            <w:tcW w:type="dxa" w:w="907"/>
            <w:vAlign w:val="center"/>
            <w:tcMar>
              <w:top w:w="65" w:type="dxa"/>
              <w:left w:w="65" w:type="dxa"/>
              <w:bottom w:w="65" w:type="dxa"/>
              <w:right w:w="65" w:type="dxa"/>
            </w:tcMar>
          </w:tcPr>
          <w:p>
            <w:pPr>
              <w:pStyle w:val="TableText"/>
              <w:keepNext w:val="0"/>
              <w:widowControl/>
              <w:jc w:val="left"/>
            </w:pPr>
            <w:r>
              <w:rPr>
                <w:b w:val="0"/>
                <w:sz w:val="17"/>
              </w:rPr>
              <w:t>C4R</w:t>
            </w:r>
          </w:p>
        </w:tc>
        <w:tc>
          <w:tcPr>
            <w:tcW w:type="dxa" w:w="1417"/>
            <w:vAlign w:val="center"/>
            <w:tcMar>
              <w:top w:w="65" w:type="dxa"/>
              <w:left w:w="65" w:type="dxa"/>
              <w:bottom w:w="65" w:type="dxa"/>
              <w:right w:w="65" w:type="dxa"/>
            </w:tcMar>
          </w:tcPr>
          <w:p>
            <w:pPr>
              <w:pStyle w:val="TableText"/>
              <w:keepNext w:val="0"/>
              <w:widowControl/>
              <w:jc w:val="left"/>
            </w:pPr>
            <w:r>
              <w:rPr>
                <w:b w:val="0"/>
                <w:sz w:val="17"/>
              </w:rPr>
              <w:t>+0.2286</w:t>
            </w:r>
          </w:p>
        </w:tc>
        <w:tc>
          <w:tcPr>
            <w:tcW w:type="dxa" w:w="2778"/>
            <w:vAlign w:val="center"/>
            <w:tcMar>
              <w:top w:w="65" w:type="dxa"/>
              <w:left w:w="65" w:type="dxa"/>
              <w:bottom w:w="65" w:type="dxa"/>
              <w:right w:w="65" w:type="dxa"/>
            </w:tcMar>
          </w:tcPr>
          <w:p>
            <w:pPr>
              <w:pStyle w:val="TableText"/>
              <w:keepNext w:val="0"/>
              <w:widowControl/>
              <w:jc w:val="left"/>
            </w:pPr>
            <w:r>
              <w:rPr>
                <w:b w:val="0"/>
                <w:sz w:val="17"/>
              </w:rPr>
              <w:t>[+0.1278, +0.3321]</w:t>
            </w:r>
          </w:p>
        </w:tc>
        <w:tc>
          <w:tcPr>
            <w:tcW w:type="dxa" w:w="1474"/>
            <w:vAlign w:val="center"/>
            <w:tcMar>
              <w:top w:w="65" w:type="dxa"/>
              <w:left w:w="65" w:type="dxa"/>
              <w:bottom w:w="65" w:type="dxa"/>
              <w:right w:w="65" w:type="dxa"/>
            </w:tcMar>
          </w:tcPr>
          <w:p>
            <w:pPr>
              <w:pStyle w:val="TableText"/>
              <w:keepNext w:val="0"/>
              <w:widowControl/>
              <w:jc w:val="left"/>
            </w:pPr>
            <w:r>
              <w:rPr>
                <w:b w:val="0"/>
                <w:sz w:val="17"/>
              </w:rPr>
              <w:t>0.0020</w:t>
            </w:r>
          </w:p>
        </w:tc>
      </w:tr>
      <w:tr>
        <w:trPr>
          <w:cantSplit/>
        </w:trPr>
        <w:tc>
          <w:tcPr>
            <w:tcW w:type="dxa" w:w="737"/>
            <w:vAlign w:val="center"/>
            <w:tcMar>
              <w:top w:w="65" w:type="dxa"/>
              <w:left w:w="65" w:type="dxa"/>
              <w:bottom w:w="65" w:type="dxa"/>
              <w:right w:w="65" w:type="dxa"/>
            </w:tcMar>
          </w:tcPr>
          <w:p>
            <w:pPr>
              <w:pStyle w:val="TableText"/>
              <w:keepNext w:val="0"/>
              <w:widowControl/>
              <w:jc w:val="left"/>
            </w:pPr>
            <w:r>
              <w:rPr>
                <w:b w:val="0"/>
                <w:sz w:val="17"/>
              </w:rPr>
              <w:t>GPT</w:t>
            </w:r>
          </w:p>
        </w:tc>
        <w:tc>
          <w:tcPr>
            <w:tcW w:type="dxa" w:w="624"/>
            <w:vAlign w:val="center"/>
            <w:tcMar>
              <w:top w:w="65" w:type="dxa"/>
              <w:left w:w="65" w:type="dxa"/>
              <w:bottom w:w="65" w:type="dxa"/>
              <w:right w:w="65" w:type="dxa"/>
            </w:tcMar>
          </w:tcPr>
          <w:p>
            <w:pPr>
              <w:pStyle w:val="TableText"/>
              <w:keepNext w:val="0"/>
              <w:widowControl/>
              <w:jc w:val="left"/>
            </w:pPr>
            <w:r>
              <w:rPr>
                <w:b w:val="0"/>
                <w:sz w:val="17"/>
              </w:rPr>
              <w:t>BINF</w:t>
            </w:r>
          </w:p>
        </w:tc>
        <w:tc>
          <w:tcPr>
            <w:tcW w:type="dxa" w:w="907"/>
            <w:vAlign w:val="center"/>
            <w:tcMar>
              <w:top w:w="65" w:type="dxa"/>
              <w:left w:w="65" w:type="dxa"/>
              <w:bottom w:w="65" w:type="dxa"/>
              <w:right w:w="65" w:type="dxa"/>
            </w:tcMar>
          </w:tcPr>
          <w:p>
            <w:pPr>
              <w:pStyle w:val="TableText"/>
              <w:keepNext w:val="0"/>
              <w:widowControl/>
              <w:jc w:val="left"/>
            </w:pPr>
            <w:r>
              <w:rPr>
                <w:b w:val="0"/>
                <w:sz w:val="17"/>
              </w:rPr>
              <w:t>C6-E</w:t>
            </w:r>
          </w:p>
        </w:tc>
        <w:tc>
          <w:tcPr>
            <w:tcW w:type="dxa" w:w="1417"/>
            <w:vAlign w:val="center"/>
            <w:tcMar>
              <w:top w:w="65" w:type="dxa"/>
              <w:left w:w="65" w:type="dxa"/>
              <w:bottom w:w="65" w:type="dxa"/>
              <w:right w:w="65" w:type="dxa"/>
            </w:tcMar>
          </w:tcPr>
          <w:p>
            <w:pPr>
              <w:pStyle w:val="TableText"/>
              <w:keepNext w:val="0"/>
              <w:widowControl/>
              <w:jc w:val="left"/>
            </w:pPr>
            <w:r>
              <w:rPr>
                <w:b w:val="0"/>
                <w:sz w:val="17"/>
              </w:rPr>
              <w:t>+0.2956</w:t>
            </w:r>
          </w:p>
        </w:tc>
        <w:tc>
          <w:tcPr>
            <w:tcW w:type="dxa" w:w="2778"/>
            <w:vAlign w:val="center"/>
            <w:tcMar>
              <w:top w:w="65" w:type="dxa"/>
              <w:left w:w="65" w:type="dxa"/>
              <w:bottom w:w="65" w:type="dxa"/>
              <w:right w:w="65" w:type="dxa"/>
            </w:tcMar>
          </w:tcPr>
          <w:p>
            <w:pPr>
              <w:pStyle w:val="TableText"/>
              <w:keepNext w:val="0"/>
              <w:widowControl/>
              <w:jc w:val="left"/>
            </w:pPr>
            <w:r>
              <w:rPr>
                <w:b w:val="0"/>
                <w:sz w:val="17"/>
              </w:rPr>
              <w:t>[+0.2003, +0.3950]</w:t>
            </w:r>
          </w:p>
        </w:tc>
        <w:tc>
          <w:tcPr>
            <w:tcW w:type="dxa" w:w="1474"/>
            <w:vAlign w:val="center"/>
            <w:tcMar>
              <w:top w:w="65" w:type="dxa"/>
              <w:left w:w="65" w:type="dxa"/>
              <w:bottom w:w="65" w:type="dxa"/>
              <w:right w:w="65" w:type="dxa"/>
            </w:tcMar>
          </w:tcPr>
          <w:p>
            <w:pPr>
              <w:pStyle w:val="TableText"/>
              <w:keepNext w:val="0"/>
              <w:widowControl/>
              <w:jc w:val="left"/>
            </w:pPr>
            <w:r>
              <w:rPr>
                <w:b w:val="0"/>
                <w:sz w:val="17"/>
              </w:rPr>
              <w:t>0.0020</w:t>
            </w:r>
          </w:p>
        </w:tc>
      </w:tr>
    </w:tbl>
    <w:p>
      <w:pPr>
        <w:pStyle w:val="SourceNote"/>
        <w:widowControl/>
      </w:pPr>
      <w:r>
        <w:t>자료: Main Run1/IC-b의 같은 기업. 이 표는 추가 regime 비교이며 C4R과 C6-E는 각 regime의 자기 C4에서 생성되었다. free8의 다섯 정책×두 예산에 대한 모델별 조정을 사용한다.</w:t>
      </w:r>
    </w:p>
    <w:p>
      <w:pPr>
        <w:widowControl/>
      </w:pPr>
      <w:r>
        <w:t>B1에서는 두 모델 모두 High의 주요 정책가치가 Baseline보다 높다. 낮은 수용률이 크게 개선된 조건에서 나타난 운영상 이득이다. 그러나 BINF에서는 같은 패턴이 항상 나타나지 않는다. Gemini는 Baseline의 수용률이 이미 높았고, High의 직접생성 및 수정결과가 모든 셀에서 더 높은 α 값을 주지는 않는다. 추론 증가가 제한된 평가모형의 점수를 언제나 단조롭게 올리는 수단은 아니다.</w:t>
      </w:r>
    </w:p>
    <w:p>
      <w:pPr>
        <w:widowControl/>
      </w:pPr>
      <w:r>
        <w:t>High의 B1−BINF 자기 재검토 차이는 Gemini에서 −0.155060이다. GPT의 학습참조 대비는 BINF에서 더 크지만 그 예산 상호작용의 조정 p는 약 0.0512로 경계에 있다. 이 결과에서 유의수준을 사후에 바꾸거나 반올림으로 0.05 미만처럼 표시하지 않는다. 행동예산의 역할은 점추정과 불확실성을 함께 보고 해석한다.</w:t>
      </w:r>
    </w:p>
    <w:p>
      <w:bookmarkStart w:id="157" w:name="head_109"/>
      <w:pPr>
        <w:pStyle w:val="3"/>
        <w:widowControl/>
      </w:pPr>
      <w:r>
        <w:t>6.5.2 후보선택과 자유작성 격차의 변화</w:t>
      </w:r>
      <w:bookmarkEnd w:id="157"/>
    </w:p>
    <w:p>
      <w:bookmarkStart w:id="158" w:name="cap_49"/>
      <w:pPr>
        <w:pStyle w:val="af"/>
        <w:widowControl/>
      </w:pPr>
      <w:r>
        <w:t>표 6-12. High B1의 자유작성−후보선택 대비</w:t>
      </w:r>
      <w:bookmarkEnd w:id="158"/>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794"/>
        <w:gridCol w:w="1191"/>
        <w:gridCol w:w="1587"/>
        <w:gridCol w:w="2835"/>
        <w:gridCol w:w="1531"/>
      </w:tblGrid>
      <w:tr>
        <w:trPr>
          <w:cantSplit/>
          <w:tblHeader/>
        </w:trPr>
        <w:tc>
          <w:tcPr>
            <w:tcW w:type="dxa" w:w="794"/>
            <w:vAlign w:val="center"/>
            <w:shd w:fill="F1F1F1"/>
            <w:tcMar>
              <w:top w:w="65" w:type="dxa"/>
              <w:left w:w="65" w:type="dxa"/>
              <w:bottom w:w="65" w:type="dxa"/>
              <w:right w:w="65" w:type="dxa"/>
            </w:tcMar>
          </w:tcPr>
          <w:p>
            <w:pPr>
              <w:pStyle w:val="TableText"/>
              <w:keepNext/>
              <w:widowControl/>
              <w:jc w:val="center"/>
            </w:pPr>
            <w:r>
              <w:rPr>
                <w:b/>
                <w:sz w:val="18"/>
              </w:rPr>
              <w:t>모델</w:t>
            </w:r>
          </w:p>
        </w:tc>
        <w:tc>
          <w:tcPr>
            <w:tcW w:type="dxa" w:w="1191"/>
            <w:vAlign w:val="center"/>
            <w:shd w:fill="F1F1F1"/>
            <w:tcMar>
              <w:top w:w="65" w:type="dxa"/>
              <w:left w:w="65" w:type="dxa"/>
              <w:bottom w:w="65" w:type="dxa"/>
              <w:right w:w="65" w:type="dxa"/>
            </w:tcMar>
          </w:tcPr>
          <w:p>
            <w:pPr>
              <w:pStyle w:val="TableText"/>
              <w:keepNext/>
              <w:widowControl/>
              <w:jc w:val="center"/>
            </w:pPr>
            <w:r>
              <w:rPr>
                <w:b/>
                <w:sz w:val="18"/>
              </w:rPr>
              <w:t>정책</w:t>
            </w:r>
          </w:p>
        </w:tc>
        <w:tc>
          <w:tcPr>
            <w:tcW w:type="dxa" w:w="1587"/>
            <w:vAlign w:val="center"/>
            <w:shd w:fill="F1F1F1"/>
            <w:tcMar>
              <w:top w:w="65" w:type="dxa"/>
              <w:left w:w="65" w:type="dxa"/>
              <w:bottom w:w="65" w:type="dxa"/>
              <w:right w:w="65" w:type="dxa"/>
            </w:tcMar>
          </w:tcPr>
          <w:p>
            <w:pPr>
              <w:pStyle w:val="TableText"/>
              <w:keepNext/>
              <w:widowControl/>
              <w:jc w:val="center"/>
            </w:pPr>
            <w:r>
              <w:rPr>
                <w:b/>
                <w:sz w:val="18"/>
              </w:rPr>
              <w:t>평균 Δα</w:t>
            </w:r>
          </w:p>
        </w:tc>
        <w:tc>
          <w:tcPr>
            <w:tcW w:type="dxa" w:w="2835"/>
            <w:vAlign w:val="center"/>
            <w:shd w:fill="F1F1F1"/>
            <w:tcMar>
              <w:top w:w="65" w:type="dxa"/>
              <w:left w:w="65" w:type="dxa"/>
              <w:bottom w:w="65" w:type="dxa"/>
              <w:right w:w="65" w:type="dxa"/>
            </w:tcMar>
          </w:tcPr>
          <w:p>
            <w:pPr>
              <w:pStyle w:val="TableText"/>
              <w:keepNext/>
              <w:widowControl/>
              <w:jc w:val="center"/>
            </w:pPr>
            <w:r>
              <w:rPr>
                <w:b/>
                <w:sz w:val="18"/>
              </w:rPr>
              <w:t>95% 구간</w:t>
            </w:r>
          </w:p>
        </w:tc>
        <w:tc>
          <w:tcPr>
            <w:tcW w:type="dxa" w:w="1531"/>
            <w:vAlign w:val="center"/>
            <w:shd w:fill="F1F1F1"/>
            <w:tcMar>
              <w:top w:w="65" w:type="dxa"/>
              <w:left w:w="65" w:type="dxa"/>
              <w:bottom w:w="65" w:type="dxa"/>
              <w:right w:w="65" w:type="dxa"/>
            </w:tcMar>
          </w:tcPr>
          <w:p>
            <w:pPr>
              <w:pStyle w:val="TableText"/>
              <w:keepNext/>
              <w:widowControl/>
              <w:jc w:val="center"/>
            </w:pPr>
            <w:r>
              <w:rPr>
                <w:b/>
                <w:sz w:val="18"/>
              </w:rPr>
              <w:t>Holm p</w:t>
            </w:r>
          </w:p>
        </w:tc>
      </w:tr>
      <w:tr>
        <w:trPr>
          <w:cantSplit/>
        </w:trPr>
        <w:tc>
          <w:tcPr>
            <w:tcW w:type="dxa" w:w="794"/>
            <w:vAlign w:val="center"/>
            <w:tcMar>
              <w:top w:w="65" w:type="dxa"/>
              <w:left w:w="65" w:type="dxa"/>
              <w:bottom w:w="65" w:type="dxa"/>
              <w:right w:w="65" w:type="dxa"/>
            </w:tcMar>
          </w:tcPr>
          <w:p>
            <w:pPr>
              <w:pStyle w:val="TableText"/>
              <w:keepNext/>
              <w:widowControl/>
              <w:jc w:val="left"/>
            </w:pPr>
            <w:r>
              <w:rPr>
                <w:b w:val="0"/>
                <w:sz w:val="18"/>
              </w:rPr>
              <w:t>Gemini</w:t>
            </w:r>
          </w:p>
        </w:tc>
        <w:tc>
          <w:tcPr>
            <w:tcW w:type="dxa" w:w="1191"/>
            <w:vAlign w:val="center"/>
            <w:tcMar>
              <w:top w:w="65" w:type="dxa"/>
              <w:left w:w="65" w:type="dxa"/>
              <w:bottom w:w="65" w:type="dxa"/>
              <w:right w:w="65" w:type="dxa"/>
            </w:tcMar>
          </w:tcPr>
          <w:p>
            <w:pPr>
              <w:pStyle w:val="TableText"/>
              <w:keepNext/>
              <w:widowControl/>
              <w:jc w:val="left"/>
            </w:pPr>
            <w:r>
              <w:rPr>
                <w:b w:val="0"/>
                <w:sz w:val="18"/>
              </w:rPr>
              <w:t>C4</w:t>
            </w:r>
          </w:p>
        </w:tc>
        <w:tc>
          <w:tcPr>
            <w:tcW w:type="dxa" w:w="1587"/>
            <w:vAlign w:val="center"/>
            <w:tcMar>
              <w:top w:w="65" w:type="dxa"/>
              <w:left w:w="65" w:type="dxa"/>
              <w:bottom w:w="65" w:type="dxa"/>
              <w:right w:w="65" w:type="dxa"/>
            </w:tcMar>
          </w:tcPr>
          <w:p>
            <w:pPr>
              <w:pStyle w:val="TableText"/>
              <w:keepNext/>
              <w:widowControl/>
              <w:jc w:val="left"/>
            </w:pPr>
            <w:r>
              <w:rPr>
                <w:b w:val="0"/>
                <w:sz w:val="18"/>
              </w:rPr>
              <w:t>+0.0111</w:t>
            </w:r>
          </w:p>
        </w:tc>
        <w:tc>
          <w:tcPr>
            <w:tcW w:type="dxa" w:w="2835"/>
            <w:vAlign w:val="center"/>
            <w:tcMar>
              <w:top w:w="65" w:type="dxa"/>
              <w:left w:w="65" w:type="dxa"/>
              <w:bottom w:w="65" w:type="dxa"/>
              <w:right w:w="65" w:type="dxa"/>
            </w:tcMar>
          </w:tcPr>
          <w:p>
            <w:pPr>
              <w:pStyle w:val="TableText"/>
              <w:keepNext/>
              <w:widowControl/>
              <w:jc w:val="left"/>
            </w:pPr>
            <w:r>
              <w:rPr>
                <w:b w:val="0"/>
                <w:sz w:val="18"/>
              </w:rPr>
              <w:t>[-0.0599, +0.0851]</w:t>
            </w:r>
          </w:p>
        </w:tc>
        <w:tc>
          <w:tcPr>
            <w:tcW w:type="dxa" w:w="1531"/>
            <w:vAlign w:val="center"/>
            <w:tcMar>
              <w:top w:w="65" w:type="dxa"/>
              <w:left w:w="65" w:type="dxa"/>
              <w:bottom w:w="65" w:type="dxa"/>
              <w:right w:w="65" w:type="dxa"/>
            </w:tcMar>
          </w:tcPr>
          <w:p>
            <w:pPr>
              <w:pStyle w:val="TableText"/>
              <w:keepNext/>
              <w:widowControl/>
              <w:jc w:val="left"/>
            </w:pPr>
            <w:r>
              <w:rPr>
                <w:b w:val="0"/>
                <w:sz w:val="18"/>
              </w:rPr>
              <w:t>1.0000</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8"/>
              </w:rPr>
              <w:t>Gemini</w:t>
            </w:r>
          </w:p>
        </w:tc>
        <w:tc>
          <w:tcPr>
            <w:tcW w:type="dxa" w:w="1191"/>
            <w:vAlign w:val="center"/>
            <w:tcMar>
              <w:top w:w="65" w:type="dxa"/>
              <w:left w:w="65" w:type="dxa"/>
              <w:bottom w:w="65" w:type="dxa"/>
              <w:right w:w="65" w:type="dxa"/>
            </w:tcMar>
          </w:tcPr>
          <w:p>
            <w:pPr>
              <w:pStyle w:val="TableText"/>
              <w:keepNext w:val="0"/>
              <w:widowControl/>
              <w:jc w:val="left"/>
            </w:pPr>
            <w:r>
              <w:rPr>
                <w:b w:val="0"/>
                <w:sz w:val="18"/>
              </w:rPr>
              <w:t>C4R</w:t>
            </w:r>
          </w:p>
        </w:tc>
        <w:tc>
          <w:tcPr>
            <w:tcW w:type="dxa" w:w="1587"/>
            <w:vAlign w:val="center"/>
            <w:tcMar>
              <w:top w:w="65" w:type="dxa"/>
              <w:left w:w="65" w:type="dxa"/>
              <w:bottom w:w="65" w:type="dxa"/>
              <w:right w:w="65" w:type="dxa"/>
            </w:tcMar>
          </w:tcPr>
          <w:p>
            <w:pPr>
              <w:pStyle w:val="TableText"/>
              <w:keepNext w:val="0"/>
              <w:widowControl/>
              <w:jc w:val="left"/>
            </w:pPr>
            <w:r>
              <w:rPr>
                <w:b w:val="0"/>
                <w:sz w:val="18"/>
              </w:rPr>
              <w:t>+0.0212</w:t>
            </w:r>
          </w:p>
        </w:tc>
        <w:tc>
          <w:tcPr>
            <w:tcW w:type="dxa" w:w="2835"/>
            <w:vAlign w:val="center"/>
            <w:tcMar>
              <w:top w:w="65" w:type="dxa"/>
              <w:left w:w="65" w:type="dxa"/>
              <w:bottom w:w="65" w:type="dxa"/>
              <w:right w:w="65" w:type="dxa"/>
            </w:tcMar>
          </w:tcPr>
          <w:p>
            <w:pPr>
              <w:pStyle w:val="TableText"/>
              <w:keepNext w:val="0"/>
              <w:widowControl/>
              <w:jc w:val="left"/>
            </w:pPr>
            <w:r>
              <w:rPr>
                <w:b w:val="0"/>
                <w:sz w:val="18"/>
              </w:rPr>
              <w:t>[-0.0525, +0.0932]</w:t>
            </w:r>
          </w:p>
        </w:tc>
        <w:tc>
          <w:tcPr>
            <w:tcW w:type="dxa" w:w="1531"/>
            <w:vAlign w:val="center"/>
            <w:tcMar>
              <w:top w:w="65" w:type="dxa"/>
              <w:left w:w="65" w:type="dxa"/>
              <w:bottom w:w="65" w:type="dxa"/>
              <w:right w:w="65" w:type="dxa"/>
            </w:tcMar>
          </w:tcPr>
          <w:p>
            <w:pPr>
              <w:pStyle w:val="TableText"/>
              <w:keepNext w:val="0"/>
              <w:widowControl/>
              <w:jc w:val="left"/>
            </w:pPr>
            <w:r>
              <w:rPr>
                <w:b w:val="0"/>
                <w:sz w:val="18"/>
              </w:rPr>
              <w:t>1.0000</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8"/>
              </w:rPr>
              <w:t>Gemini</w:t>
            </w:r>
          </w:p>
        </w:tc>
        <w:tc>
          <w:tcPr>
            <w:tcW w:type="dxa" w:w="1191"/>
            <w:vAlign w:val="center"/>
            <w:tcMar>
              <w:top w:w="65" w:type="dxa"/>
              <w:left w:w="65" w:type="dxa"/>
              <w:bottom w:w="65" w:type="dxa"/>
              <w:right w:w="65" w:type="dxa"/>
            </w:tcMar>
          </w:tcPr>
          <w:p>
            <w:pPr>
              <w:pStyle w:val="TableText"/>
              <w:keepNext w:val="0"/>
              <w:widowControl/>
              <w:jc w:val="left"/>
            </w:pPr>
            <w:r>
              <w:rPr>
                <w:b w:val="0"/>
                <w:sz w:val="18"/>
              </w:rPr>
              <w:t>C6-E</w:t>
            </w:r>
          </w:p>
        </w:tc>
        <w:tc>
          <w:tcPr>
            <w:tcW w:type="dxa" w:w="1587"/>
            <w:vAlign w:val="center"/>
            <w:tcMar>
              <w:top w:w="65" w:type="dxa"/>
              <w:left w:w="65" w:type="dxa"/>
              <w:bottom w:w="65" w:type="dxa"/>
              <w:right w:w="65" w:type="dxa"/>
            </w:tcMar>
          </w:tcPr>
          <w:p>
            <w:pPr>
              <w:pStyle w:val="TableText"/>
              <w:keepNext w:val="0"/>
              <w:widowControl/>
              <w:jc w:val="left"/>
            </w:pPr>
            <w:r>
              <w:rPr>
                <w:b w:val="0"/>
                <w:sz w:val="18"/>
              </w:rPr>
              <w:t>+0.0739</w:t>
            </w:r>
          </w:p>
        </w:tc>
        <w:tc>
          <w:tcPr>
            <w:tcW w:type="dxa" w:w="2835"/>
            <w:vAlign w:val="center"/>
            <w:tcMar>
              <w:top w:w="65" w:type="dxa"/>
              <w:left w:w="65" w:type="dxa"/>
              <w:bottom w:w="65" w:type="dxa"/>
              <w:right w:w="65" w:type="dxa"/>
            </w:tcMar>
          </w:tcPr>
          <w:p>
            <w:pPr>
              <w:pStyle w:val="TableText"/>
              <w:keepNext w:val="0"/>
              <w:widowControl/>
              <w:jc w:val="left"/>
            </w:pPr>
            <w:r>
              <w:rPr>
                <w:b w:val="0"/>
                <w:sz w:val="18"/>
              </w:rPr>
              <w:t>[-0.0001, +0.1471]</w:t>
            </w:r>
          </w:p>
        </w:tc>
        <w:tc>
          <w:tcPr>
            <w:tcW w:type="dxa" w:w="1531"/>
            <w:vAlign w:val="center"/>
            <w:tcMar>
              <w:top w:w="65" w:type="dxa"/>
              <w:left w:w="65" w:type="dxa"/>
              <w:bottom w:w="65" w:type="dxa"/>
              <w:right w:w="65" w:type="dxa"/>
            </w:tcMar>
          </w:tcPr>
          <w:p>
            <w:pPr>
              <w:pStyle w:val="TableText"/>
              <w:keepNext w:val="0"/>
              <w:widowControl/>
              <w:jc w:val="left"/>
            </w:pPr>
            <w:r>
              <w:rPr>
                <w:b w:val="0"/>
                <w:sz w:val="18"/>
              </w:rPr>
              <w:t>0.1518</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8"/>
              </w:rPr>
              <w:t>GPT</w:t>
            </w:r>
          </w:p>
        </w:tc>
        <w:tc>
          <w:tcPr>
            <w:tcW w:type="dxa" w:w="1191"/>
            <w:vAlign w:val="center"/>
            <w:tcMar>
              <w:top w:w="65" w:type="dxa"/>
              <w:left w:w="65" w:type="dxa"/>
              <w:bottom w:w="65" w:type="dxa"/>
              <w:right w:w="65" w:type="dxa"/>
            </w:tcMar>
          </w:tcPr>
          <w:p>
            <w:pPr>
              <w:pStyle w:val="TableText"/>
              <w:keepNext w:val="0"/>
              <w:widowControl/>
              <w:jc w:val="left"/>
            </w:pPr>
            <w:r>
              <w:rPr>
                <w:b w:val="0"/>
                <w:sz w:val="18"/>
              </w:rPr>
              <w:t>C4</w:t>
            </w:r>
          </w:p>
        </w:tc>
        <w:tc>
          <w:tcPr>
            <w:tcW w:type="dxa" w:w="1587"/>
            <w:vAlign w:val="center"/>
            <w:tcMar>
              <w:top w:w="65" w:type="dxa"/>
              <w:left w:w="65" w:type="dxa"/>
              <w:bottom w:w="65" w:type="dxa"/>
              <w:right w:w="65" w:type="dxa"/>
            </w:tcMar>
          </w:tcPr>
          <w:p>
            <w:pPr>
              <w:pStyle w:val="TableText"/>
              <w:keepNext w:val="0"/>
              <w:widowControl/>
              <w:jc w:val="left"/>
            </w:pPr>
            <w:r>
              <w:rPr>
                <w:b w:val="0"/>
                <w:sz w:val="18"/>
              </w:rPr>
              <w:t>+0.0185</w:t>
            </w:r>
          </w:p>
        </w:tc>
        <w:tc>
          <w:tcPr>
            <w:tcW w:type="dxa" w:w="2835"/>
            <w:vAlign w:val="center"/>
            <w:tcMar>
              <w:top w:w="65" w:type="dxa"/>
              <w:left w:w="65" w:type="dxa"/>
              <w:bottom w:w="65" w:type="dxa"/>
              <w:right w:w="65" w:type="dxa"/>
            </w:tcMar>
          </w:tcPr>
          <w:p>
            <w:pPr>
              <w:pStyle w:val="TableText"/>
              <w:keepNext w:val="0"/>
              <w:widowControl/>
              <w:jc w:val="left"/>
            </w:pPr>
            <w:r>
              <w:rPr>
                <w:b w:val="0"/>
                <w:sz w:val="18"/>
              </w:rPr>
              <w:t>[-0.0454, +0.0801]</w:t>
            </w:r>
          </w:p>
        </w:tc>
        <w:tc>
          <w:tcPr>
            <w:tcW w:type="dxa" w:w="1531"/>
            <w:vAlign w:val="center"/>
            <w:tcMar>
              <w:top w:w="65" w:type="dxa"/>
              <w:left w:w="65" w:type="dxa"/>
              <w:bottom w:w="65" w:type="dxa"/>
              <w:right w:w="65" w:type="dxa"/>
            </w:tcMar>
          </w:tcPr>
          <w:p>
            <w:pPr>
              <w:pStyle w:val="TableText"/>
              <w:keepNext w:val="0"/>
              <w:widowControl/>
              <w:jc w:val="left"/>
            </w:pPr>
            <w:r>
              <w:rPr>
                <w:b w:val="0"/>
                <w:sz w:val="18"/>
              </w:rPr>
              <w:t>1.0000</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8"/>
              </w:rPr>
              <w:t>GPT</w:t>
            </w:r>
          </w:p>
        </w:tc>
        <w:tc>
          <w:tcPr>
            <w:tcW w:type="dxa" w:w="1191"/>
            <w:vAlign w:val="center"/>
            <w:tcMar>
              <w:top w:w="65" w:type="dxa"/>
              <w:left w:w="65" w:type="dxa"/>
              <w:bottom w:w="65" w:type="dxa"/>
              <w:right w:w="65" w:type="dxa"/>
            </w:tcMar>
          </w:tcPr>
          <w:p>
            <w:pPr>
              <w:pStyle w:val="TableText"/>
              <w:keepNext w:val="0"/>
              <w:widowControl/>
              <w:jc w:val="left"/>
            </w:pPr>
            <w:r>
              <w:rPr>
                <w:b w:val="0"/>
                <w:sz w:val="18"/>
              </w:rPr>
              <w:t>C4R</w:t>
            </w:r>
          </w:p>
        </w:tc>
        <w:tc>
          <w:tcPr>
            <w:tcW w:type="dxa" w:w="1587"/>
            <w:vAlign w:val="center"/>
            <w:tcMar>
              <w:top w:w="65" w:type="dxa"/>
              <w:left w:w="65" w:type="dxa"/>
              <w:bottom w:w="65" w:type="dxa"/>
              <w:right w:w="65" w:type="dxa"/>
            </w:tcMar>
          </w:tcPr>
          <w:p>
            <w:pPr>
              <w:pStyle w:val="TableText"/>
              <w:keepNext w:val="0"/>
              <w:widowControl/>
              <w:jc w:val="left"/>
            </w:pPr>
            <w:r>
              <w:rPr>
                <w:b w:val="0"/>
                <w:sz w:val="18"/>
              </w:rPr>
              <w:t>+0.0053</w:t>
            </w:r>
          </w:p>
        </w:tc>
        <w:tc>
          <w:tcPr>
            <w:tcW w:type="dxa" w:w="2835"/>
            <w:vAlign w:val="center"/>
            <w:tcMar>
              <w:top w:w="65" w:type="dxa"/>
              <w:left w:w="65" w:type="dxa"/>
              <w:bottom w:w="65" w:type="dxa"/>
              <w:right w:w="65" w:type="dxa"/>
            </w:tcMar>
          </w:tcPr>
          <w:p>
            <w:pPr>
              <w:pStyle w:val="TableText"/>
              <w:keepNext w:val="0"/>
              <w:widowControl/>
              <w:jc w:val="left"/>
            </w:pPr>
            <w:r>
              <w:rPr>
                <w:b w:val="0"/>
                <w:sz w:val="18"/>
              </w:rPr>
              <w:t>[-0.0506, +0.0608]</w:t>
            </w:r>
          </w:p>
        </w:tc>
        <w:tc>
          <w:tcPr>
            <w:tcW w:type="dxa" w:w="1531"/>
            <w:vAlign w:val="center"/>
            <w:tcMar>
              <w:top w:w="65" w:type="dxa"/>
              <w:left w:w="65" w:type="dxa"/>
              <w:bottom w:w="65" w:type="dxa"/>
              <w:right w:w="65" w:type="dxa"/>
            </w:tcMar>
          </w:tcPr>
          <w:p>
            <w:pPr>
              <w:pStyle w:val="TableText"/>
              <w:keepNext w:val="0"/>
              <w:widowControl/>
              <w:jc w:val="left"/>
            </w:pPr>
            <w:r>
              <w:rPr>
                <w:b w:val="0"/>
                <w:sz w:val="18"/>
              </w:rPr>
              <w:t>1.0000</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8"/>
              </w:rPr>
              <w:t>GPT</w:t>
            </w:r>
          </w:p>
        </w:tc>
        <w:tc>
          <w:tcPr>
            <w:tcW w:type="dxa" w:w="1191"/>
            <w:vAlign w:val="center"/>
            <w:tcMar>
              <w:top w:w="65" w:type="dxa"/>
              <w:left w:w="65" w:type="dxa"/>
              <w:bottom w:w="65" w:type="dxa"/>
              <w:right w:w="65" w:type="dxa"/>
            </w:tcMar>
          </w:tcPr>
          <w:p>
            <w:pPr>
              <w:pStyle w:val="TableText"/>
              <w:keepNext w:val="0"/>
              <w:widowControl/>
              <w:jc w:val="left"/>
            </w:pPr>
            <w:r>
              <w:rPr>
                <w:b w:val="0"/>
                <w:sz w:val="18"/>
              </w:rPr>
              <w:t>C6-E</w:t>
            </w:r>
          </w:p>
        </w:tc>
        <w:tc>
          <w:tcPr>
            <w:tcW w:type="dxa" w:w="1587"/>
            <w:vAlign w:val="center"/>
            <w:tcMar>
              <w:top w:w="65" w:type="dxa"/>
              <w:left w:w="65" w:type="dxa"/>
              <w:bottom w:w="65" w:type="dxa"/>
              <w:right w:w="65" w:type="dxa"/>
            </w:tcMar>
          </w:tcPr>
          <w:p>
            <w:pPr>
              <w:pStyle w:val="TableText"/>
              <w:keepNext w:val="0"/>
              <w:widowControl/>
              <w:jc w:val="left"/>
            </w:pPr>
            <w:r>
              <w:rPr>
                <w:b w:val="0"/>
                <w:sz w:val="18"/>
              </w:rPr>
              <w:t>+0.0963</w:t>
            </w:r>
          </w:p>
        </w:tc>
        <w:tc>
          <w:tcPr>
            <w:tcW w:type="dxa" w:w="2835"/>
            <w:vAlign w:val="center"/>
            <w:tcMar>
              <w:top w:w="65" w:type="dxa"/>
              <w:left w:w="65" w:type="dxa"/>
              <w:bottom w:w="65" w:type="dxa"/>
              <w:right w:w="65" w:type="dxa"/>
            </w:tcMar>
          </w:tcPr>
          <w:p>
            <w:pPr>
              <w:pStyle w:val="TableText"/>
              <w:keepNext w:val="0"/>
              <w:widowControl/>
              <w:jc w:val="left"/>
            </w:pPr>
            <w:r>
              <w:rPr>
                <w:b w:val="0"/>
                <w:sz w:val="18"/>
              </w:rPr>
              <w:t>[+0.0388, +0.1560]</w:t>
            </w:r>
          </w:p>
        </w:tc>
        <w:tc>
          <w:tcPr>
            <w:tcW w:type="dxa" w:w="1531"/>
            <w:vAlign w:val="center"/>
            <w:tcMar>
              <w:top w:w="65" w:type="dxa"/>
              <w:left w:w="65" w:type="dxa"/>
              <w:bottom w:w="65" w:type="dxa"/>
              <w:right w:w="65" w:type="dxa"/>
            </w:tcMar>
          </w:tcPr>
          <w:p>
            <w:pPr>
              <w:pStyle w:val="TableText"/>
              <w:keepNext w:val="0"/>
              <w:widowControl/>
              <w:jc w:val="left"/>
            </w:pPr>
            <w:r>
              <w:rPr>
                <w:b w:val="0"/>
                <w:sz w:val="18"/>
              </w:rPr>
              <w:t>0.0024</w:t>
            </w:r>
          </w:p>
        </w:tc>
      </w:tr>
    </w:tbl>
    <w:p>
      <w:pPr>
        <w:pStyle w:val="SourceNote"/>
        <w:widowControl/>
      </w:pPr>
      <w:r>
        <w:t>자료: Run1/IC-b/B1/Strict ITT. 모델별 세 대비 family. Baseline에서의 큰 음의 격차와 비교하되 모든 정책이 자유작성 우위를 입증한 것으로 해석하지 않는다.</w:t>
      </w:r>
    </w:p>
    <w:p>
      <w:pPr>
        <w:widowControl/>
      </w:pPr>
      <w:r>
        <w:t>High에서는 자유작성과 후보선택의 격차가 크게 줄었다. GPT C6-E의 자유작성−후보선택 차이는 +0.096273으로 양의 구간과 조정값이 관찰된다. 그러나 C4와 C4R, Gemini의 세 비교는 같은 방식의 명확한 자유작성 우위로 확정되지 않는다. 따라서 출력공간의 성과는 생성 regime와 실행규칙에 의존한다는 해석이 적절하다.</w:t>
      </w:r>
    </w:p>
    <w:p>
      <w:pPr>
        <w:widowControl/>
      </w:pPr>
      <w:r>
        <w:t>이 결과는 자유작성의 넓은 조합능력이 어떤 조건에서는 가치를 가질 수 있으나, 그 전에 제약을 지키는 행동으로 변환되어야 한다는 점을 보여준다. 한편 구형 10차원 분석의 mean/shuffle/nearest 및 Shapley 결과를 최신 8차원에서 다시 계산한 증거는 이번 산출물에 포함하지 않았다. 따라서 높은 점수의 원인을 ‘공통 방향이 대부분이고 맞춤효과는 얼마’라고 구형 수치로 확정하지 않는다.</w:t>
      </w:r>
    </w:p>
    <w:p>
      <w:bookmarkStart w:id="159" w:name="head_110"/>
      <w:pPr>
        <w:pStyle w:val="3"/>
        <w:widowControl/>
      </w:pPr>
      <w:r>
        <w:t>6.5.3 다른 Oracle에서의 참조 대비</w:t>
      </w:r>
      <w:bookmarkEnd w:id="159"/>
    </w:p>
    <w:p>
      <w:bookmarkStart w:id="160" w:name="cap_50"/>
      <w:pPr>
        <w:pStyle w:val="af"/>
        <w:widowControl/>
      </w:pPr>
      <w:r>
        <w:t>표 6-13. High Strict의 참조 대비: Oracle별 방향</w:t>
      </w:r>
      <w:bookmarkEnd w:id="160"/>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794"/>
        <w:gridCol w:w="624"/>
        <w:gridCol w:w="1928"/>
        <w:gridCol w:w="1531"/>
        <w:gridCol w:w="1531"/>
        <w:gridCol w:w="1531"/>
      </w:tblGrid>
      <w:tr>
        <w:trPr>
          <w:cantSplit/>
          <w:tblHeader/>
        </w:trPr>
        <w:tc>
          <w:tcPr>
            <w:tcW w:type="dxa" w:w="794"/>
            <w:vAlign w:val="center"/>
            <w:shd w:fill="F1F1F1"/>
            <w:tcMar>
              <w:top w:w="65" w:type="dxa"/>
              <w:left w:w="65" w:type="dxa"/>
              <w:bottom w:w="65" w:type="dxa"/>
              <w:right w:w="65" w:type="dxa"/>
            </w:tcMar>
          </w:tcPr>
          <w:p>
            <w:pPr>
              <w:pStyle w:val="TableText"/>
              <w:keepNext/>
              <w:widowControl/>
              <w:jc w:val="center"/>
            </w:pPr>
            <w:r>
              <w:rPr>
                <w:b/>
                <w:sz w:val="17"/>
              </w:rPr>
              <w:t>모델</w:t>
            </w:r>
          </w:p>
        </w:tc>
        <w:tc>
          <w:tcPr>
            <w:tcW w:type="dxa" w:w="624"/>
            <w:vAlign w:val="center"/>
            <w:shd w:fill="F1F1F1"/>
            <w:tcMar>
              <w:top w:w="65" w:type="dxa"/>
              <w:left w:w="65" w:type="dxa"/>
              <w:bottom w:w="65" w:type="dxa"/>
              <w:right w:w="65" w:type="dxa"/>
            </w:tcMar>
          </w:tcPr>
          <w:p>
            <w:pPr>
              <w:pStyle w:val="TableText"/>
              <w:keepNext/>
              <w:widowControl/>
              <w:jc w:val="center"/>
            </w:pPr>
            <w:r>
              <w:rPr>
                <w:b/>
                <w:sz w:val="17"/>
              </w:rPr>
              <w:t>예산</w:t>
            </w:r>
          </w:p>
        </w:tc>
        <w:tc>
          <w:tcPr>
            <w:tcW w:type="dxa" w:w="1928"/>
            <w:vAlign w:val="center"/>
            <w:shd w:fill="F1F1F1"/>
            <w:tcMar>
              <w:top w:w="65" w:type="dxa"/>
              <w:left w:w="65" w:type="dxa"/>
              <w:bottom w:w="65" w:type="dxa"/>
              <w:right w:w="65" w:type="dxa"/>
            </w:tcMar>
          </w:tcPr>
          <w:p>
            <w:pPr>
              <w:pStyle w:val="TableText"/>
              <w:keepNext/>
              <w:widowControl/>
              <w:jc w:val="center"/>
            </w:pPr>
            <w:r>
              <w:rPr>
                <w:b/>
                <w:sz w:val="17"/>
              </w:rPr>
              <w:t>대비</w:t>
            </w:r>
          </w:p>
        </w:tc>
        <w:tc>
          <w:tcPr>
            <w:tcW w:type="dxa" w:w="1531"/>
            <w:vAlign w:val="center"/>
            <w:shd w:fill="F1F1F1"/>
            <w:tcMar>
              <w:top w:w="65" w:type="dxa"/>
              <w:left w:w="65" w:type="dxa"/>
              <w:bottom w:w="65" w:type="dxa"/>
              <w:right w:w="65" w:type="dxa"/>
            </w:tcMar>
          </w:tcPr>
          <w:p>
            <w:pPr>
              <w:pStyle w:val="TableText"/>
              <w:keepNext/>
              <w:widowControl/>
              <w:jc w:val="center"/>
            </w:pPr>
            <w:r>
              <w:rPr>
                <w:b/>
                <w:sz w:val="17"/>
              </w:rPr>
              <w:t>α</w:t>
            </w:r>
          </w:p>
        </w:tc>
        <w:tc>
          <w:tcPr>
            <w:tcW w:type="dxa" w:w="1531"/>
            <w:vAlign w:val="center"/>
            <w:shd w:fill="F1F1F1"/>
            <w:tcMar>
              <w:top w:w="65" w:type="dxa"/>
              <w:left w:w="65" w:type="dxa"/>
              <w:bottom w:w="65" w:type="dxa"/>
              <w:right w:w="65" w:type="dxa"/>
            </w:tcMar>
          </w:tcPr>
          <w:p>
            <w:pPr>
              <w:pStyle w:val="TableText"/>
              <w:keepNext/>
              <w:widowControl/>
              <w:jc w:val="center"/>
            </w:pPr>
            <w:r>
              <w:rPr>
                <w:b/>
                <w:sz w:val="17"/>
              </w:rPr>
              <w:t>β</w:t>
            </w:r>
          </w:p>
        </w:tc>
        <w:tc>
          <w:tcPr>
            <w:tcW w:type="dxa" w:w="1531"/>
            <w:vAlign w:val="center"/>
            <w:shd w:fill="F1F1F1"/>
            <w:tcMar>
              <w:top w:w="65" w:type="dxa"/>
              <w:left w:w="65" w:type="dxa"/>
              <w:bottom w:w="65" w:type="dxa"/>
              <w:right w:w="65" w:type="dxa"/>
            </w:tcMar>
          </w:tcPr>
          <w:p>
            <w:pPr>
              <w:pStyle w:val="TableText"/>
              <w:keepNext/>
              <w:widowControl/>
              <w:jc w:val="center"/>
            </w:pPr>
            <w:r>
              <w:rPr>
                <w:b/>
                <w:sz w:val="17"/>
              </w:rPr>
              <w:t>γ</w:t>
            </w:r>
          </w:p>
        </w:tc>
      </w:tr>
      <w:tr>
        <w:trPr>
          <w:cantSplit/>
        </w:trPr>
        <w:tc>
          <w:tcPr>
            <w:tcW w:type="dxa" w:w="794"/>
            <w:vAlign w:val="center"/>
            <w:tcMar>
              <w:top w:w="65" w:type="dxa"/>
              <w:left w:w="65" w:type="dxa"/>
              <w:bottom w:w="65" w:type="dxa"/>
              <w:right w:w="65" w:type="dxa"/>
            </w:tcMar>
          </w:tcPr>
          <w:p>
            <w:pPr>
              <w:pStyle w:val="TableText"/>
              <w:keepNext/>
              <w:widowControl/>
              <w:jc w:val="left"/>
            </w:pPr>
            <w:r>
              <w:rPr>
                <w:b w:val="0"/>
                <w:sz w:val="17"/>
              </w:rPr>
              <w:t>Gemini</w:t>
            </w:r>
          </w:p>
        </w:tc>
        <w:tc>
          <w:tcPr>
            <w:tcW w:type="dxa" w:w="624"/>
            <w:vAlign w:val="center"/>
            <w:tcMar>
              <w:top w:w="65" w:type="dxa"/>
              <w:left w:w="65" w:type="dxa"/>
              <w:bottom w:w="65" w:type="dxa"/>
              <w:right w:w="65" w:type="dxa"/>
            </w:tcMar>
          </w:tcPr>
          <w:p>
            <w:pPr>
              <w:pStyle w:val="TableText"/>
              <w:keepNext/>
              <w:widowControl/>
              <w:jc w:val="left"/>
            </w:pPr>
            <w:r>
              <w:rPr>
                <w:b w:val="0"/>
                <w:sz w:val="17"/>
              </w:rPr>
              <w:t>B1</w:t>
            </w:r>
          </w:p>
        </w:tc>
        <w:tc>
          <w:tcPr>
            <w:tcW w:type="dxa" w:w="1928"/>
            <w:vAlign w:val="center"/>
            <w:tcMar>
              <w:top w:w="65" w:type="dxa"/>
              <w:left w:w="65" w:type="dxa"/>
              <w:bottom w:w="65" w:type="dxa"/>
              <w:right w:w="65" w:type="dxa"/>
            </w:tcMar>
          </w:tcPr>
          <w:p>
            <w:pPr>
              <w:pStyle w:val="TableText"/>
              <w:keepNext/>
              <w:widowControl/>
              <w:jc w:val="left"/>
            </w:pPr>
            <w:r>
              <w:rPr>
                <w:b w:val="0"/>
                <w:sz w:val="17"/>
              </w:rPr>
              <w:t>C6-E−C4R</w:t>
            </w:r>
          </w:p>
        </w:tc>
        <w:tc>
          <w:tcPr>
            <w:tcW w:type="dxa" w:w="1531"/>
            <w:vAlign w:val="center"/>
            <w:tcMar>
              <w:top w:w="65" w:type="dxa"/>
              <w:left w:w="65" w:type="dxa"/>
              <w:bottom w:w="65" w:type="dxa"/>
              <w:right w:w="65" w:type="dxa"/>
            </w:tcMar>
          </w:tcPr>
          <w:p>
            <w:pPr>
              <w:pStyle w:val="TableText"/>
              <w:keepNext/>
              <w:widowControl/>
              <w:jc w:val="left"/>
            </w:pPr>
            <w:r>
              <w:rPr>
                <w:b w:val="0"/>
                <w:sz w:val="17"/>
              </w:rPr>
              <w:t>+0.0897</w:t>
            </w:r>
          </w:p>
        </w:tc>
        <w:tc>
          <w:tcPr>
            <w:tcW w:type="dxa" w:w="1531"/>
            <w:vAlign w:val="center"/>
            <w:tcMar>
              <w:top w:w="65" w:type="dxa"/>
              <w:left w:w="65" w:type="dxa"/>
              <w:bottom w:w="65" w:type="dxa"/>
              <w:right w:w="65" w:type="dxa"/>
            </w:tcMar>
          </w:tcPr>
          <w:p>
            <w:pPr>
              <w:pStyle w:val="TableText"/>
              <w:keepNext/>
              <w:widowControl/>
              <w:jc w:val="left"/>
            </w:pPr>
            <w:r>
              <w:rPr>
                <w:b w:val="0"/>
                <w:sz w:val="17"/>
              </w:rPr>
              <w:t>+0.0156</w:t>
            </w:r>
          </w:p>
        </w:tc>
        <w:tc>
          <w:tcPr>
            <w:tcW w:type="dxa" w:w="1531"/>
            <w:vAlign w:val="center"/>
            <w:tcMar>
              <w:top w:w="65" w:type="dxa"/>
              <w:left w:w="65" w:type="dxa"/>
              <w:bottom w:w="65" w:type="dxa"/>
              <w:right w:w="65" w:type="dxa"/>
            </w:tcMar>
          </w:tcPr>
          <w:p>
            <w:pPr>
              <w:pStyle w:val="TableText"/>
              <w:keepNext/>
              <w:widowControl/>
              <w:jc w:val="left"/>
            </w:pPr>
            <w:r>
              <w:rPr>
                <w:b w:val="0"/>
                <w:sz w:val="17"/>
              </w:rPr>
              <w:t>+0.0222</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7"/>
              </w:rPr>
              <w:t>Gemini</w:t>
            </w:r>
          </w:p>
        </w:tc>
        <w:tc>
          <w:tcPr>
            <w:tcW w:type="dxa" w:w="624"/>
            <w:vAlign w:val="center"/>
            <w:tcMar>
              <w:top w:w="65" w:type="dxa"/>
              <w:left w:w="65" w:type="dxa"/>
              <w:bottom w:w="65" w:type="dxa"/>
              <w:right w:w="65" w:type="dxa"/>
            </w:tcMar>
          </w:tcPr>
          <w:p>
            <w:pPr>
              <w:pStyle w:val="TableText"/>
              <w:keepNext w:val="0"/>
              <w:widowControl/>
              <w:jc w:val="left"/>
            </w:pPr>
            <w:r>
              <w:rPr>
                <w:b w:val="0"/>
                <w:sz w:val="17"/>
              </w:rPr>
              <w:t>B1</w:t>
            </w:r>
          </w:p>
        </w:tc>
        <w:tc>
          <w:tcPr>
            <w:tcW w:type="dxa" w:w="1928"/>
            <w:vAlign w:val="center"/>
            <w:tcMar>
              <w:top w:w="65" w:type="dxa"/>
              <w:left w:w="65" w:type="dxa"/>
              <w:bottom w:w="65" w:type="dxa"/>
              <w:right w:w="65" w:type="dxa"/>
            </w:tcMar>
          </w:tcPr>
          <w:p>
            <w:pPr>
              <w:pStyle w:val="TableText"/>
              <w:keepNext w:val="0"/>
              <w:widowControl/>
              <w:jc w:val="left"/>
            </w:pPr>
            <w:r>
              <w:rPr>
                <w:b w:val="0"/>
                <w:sz w:val="17"/>
              </w:rPr>
              <w:t>C6-E−C6-EX</w:t>
            </w:r>
          </w:p>
        </w:tc>
        <w:tc>
          <w:tcPr>
            <w:tcW w:type="dxa" w:w="1531"/>
            <w:vAlign w:val="center"/>
            <w:tcMar>
              <w:top w:w="65" w:type="dxa"/>
              <w:left w:w="65" w:type="dxa"/>
              <w:bottom w:w="65" w:type="dxa"/>
              <w:right w:w="65" w:type="dxa"/>
            </w:tcMar>
          </w:tcPr>
          <w:p>
            <w:pPr>
              <w:pStyle w:val="TableText"/>
              <w:keepNext w:val="0"/>
              <w:widowControl/>
              <w:jc w:val="left"/>
            </w:pPr>
            <w:r>
              <w:rPr>
                <w:b w:val="0"/>
                <w:sz w:val="17"/>
              </w:rPr>
              <w:t>+0.0412</w:t>
            </w:r>
          </w:p>
        </w:tc>
        <w:tc>
          <w:tcPr>
            <w:tcW w:type="dxa" w:w="1531"/>
            <w:vAlign w:val="center"/>
            <w:tcMar>
              <w:top w:w="65" w:type="dxa"/>
              <w:left w:w="65" w:type="dxa"/>
              <w:bottom w:w="65" w:type="dxa"/>
              <w:right w:w="65" w:type="dxa"/>
            </w:tcMar>
          </w:tcPr>
          <w:p>
            <w:pPr>
              <w:pStyle w:val="TableText"/>
              <w:keepNext w:val="0"/>
              <w:widowControl/>
              <w:jc w:val="left"/>
            </w:pPr>
            <w:r>
              <w:rPr>
                <w:b w:val="0"/>
                <w:sz w:val="17"/>
              </w:rPr>
              <w:t>+0.0043</w:t>
            </w:r>
          </w:p>
        </w:tc>
        <w:tc>
          <w:tcPr>
            <w:tcW w:type="dxa" w:w="1531"/>
            <w:vAlign w:val="center"/>
            <w:tcMar>
              <w:top w:w="65" w:type="dxa"/>
              <w:left w:w="65" w:type="dxa"/>
              <w:bottom w:w="65" w:type="dxa"/>
              <w:right w:w="65" w:type="dxa"/>
            </w:tcMar>
          </w:tcPr>
          <w:p>
            <w:pPr>
              <w:pStyle w:val="TableText"/>
              <w:keepNext w:val="0"/>
              <w:widowControl/>
              <w:jc w:val="left"/>
            </w:pPr>
            <w:r>
              <w:rPr>
                <w:b w:val="0"/>
                <w:sz w:val="17"/>
              </w:rPr>
              <w:t>+0.0114</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7"/>
              </w:rPr>
              <w:t>Gemini</w:t>
            </w:r>
          </w:p>
        </w:tc>
        <w:tc>
          <w:tcPr>
            <w:tcW w:type="dxa" w:w="624"/>
            <w:vAlign w:val="center"/>
            <w:tcMar>
              <w:top w:w="65" w:type="dxa"/>
              <w:left w:w="65" w:type="dxa"/>
              <w:bottom w:w="65" w:type="dxa"/>
              <w:right w:w="65" w:type="dxa"/>
            </w:tcMar>
          </w:tcPr>
          <w:p>
            <w:pPr>
              <w:pStyle w:val="TableText"/>
              <w:keepNext w:val="0"/>
              <w:widowControl/>
              <w:jc w:val="left"/>
            </w:pPr>
            <w:r>
              <w:rPr>
                <w:b w:val="0"/>
                <w:sz w:val="17"/>
              </w:rPr>
              <w:t>BINF</w:t>
            </w:r>
          </w:p>
        </w:tc>
        <w:tc>
          <w:tcPr>
            <w:tcW w:type="dxa" w:w="1928"/>
            <w:vAlign w:val="center"/>
            <w:tcMar>
              <w:top w:w="65" w:type="dxa"/>
              <w:left w:w="65" w:type="dxa"/>
              <w:bottom w:w="65" w:type="dxa"/>
              <w:right w:w="65" w:type="dxa"/>
            </w:tcMar>
          </w:tcPr>
          <w:p>
            <w:pPr>
              <w:pStyle w:val="TableText"/>
              <w:keepNext w:val="0"/>
              <w:widowControl/>
              <w:jc w:val="left"/>
            </w:pPr>
            <w:r>
              <w:rPr>
                <w:b w:val="0"/>
                <w:sz w:val="17"/>
              </w:rPr>
              <w:t>C6-E−C4R</w:t>
            </w:r>
          </w:p>
        </w:tc>
        <w:tc>
          <w:tcPr>
            <w:tcW w:type="dxa" w:w="1531"/>
            <w:vAlign w:val="center"/>
            <w:tcMar>
              <w:top w:w="65" w:type="dxa"/>
              <w:left w:w="65" w:type="dxa"/>
              <w:bottom w:w="65" w:type="dxa"/>
              <w:right w:w="65" w:type="dxa"/>
            </w:tcMar>
          </w:tcPr>
          <w:p>
            <w:pPr>
              <w:pStyle w:val="TableText"/>
              <w:keepNext w:val="0"/>
              <w:widowControl/>
              <w:jc w:val="left"/>
            </w:pPr>
            <w:r>
              <w:rPr>
                <w:b w:val="0"/>
                <w:sz w:val="17"/>
              </w:rPr>
              <w:t>+0.0431</w:t>
            </w:r>
          </w:p>
        </w:tc>
        <w:tc>
          <w:tcPr>
            <w:tcW w:type="dxa" w:w="1531"/>
            <w:vAlign w:val="center"/>
            <w:tcMar>
              <w:top w:w="65" w:type="dxa"/>
              <w:left w:w="65" w:type="dxa"/>
              <w:bottom w:w="65" w:type="dxa"/>
              <w:right w:w="65" w:type="dxa"/>
            </w:tcMar>
          </w:tcPr>
          <w:p>
            <w:pPr>
              <w:pStyle w:val="TableText"/>
              <w:keepNext w:val="0"/>
              <w:widowControl/>
              <w:jc w:val="left"/>
            </w:pPr>
            <w:r>
              <w:rPr>
                <w:b w:val="0"/>
                <w:sz w:val="17"/>
              </w:rPr>
              <w:t>+0.0120</w:t>
            </w:r>
          </w:p>
        </w:tc>
        <w:tc>
          <w:tcPr>
            <w:tcW w:type="dxa" w:w="1531"/>
            <w:vAlign w:val="center"/>
            <w:tcMar>
              <w:top w:w="65" w:type="dxa"/>
              <w:left w:w="65" w:type="dxa"/>
              <w:bottom w:w="65" w:type="dxa"/>
              <w:right w:w="65" w:type="dxa"/>
            </w:tcMar>
          </w:tcPr>
          <w:p>
            <w:pPr>
              <w:pStyle w:val="TableText"/>
              <w:keepNext w:val="0"/>
              <w:widowControl/>
              <w:jc w:val="left"/>
            </w:pPr>
            <w:r>
              <w:rPr>
                <w:b w:val="0"/>
                <w:sz w:val="17"/>
              </w:rPr>
              <w:t>+0.0427</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7"/>
              </w:rPr>
              <w:t>Gemini</w:t>
            </w:r>
          </w:p>
        </w:tc>
        <w:tc>
          <w:tcPr>
            <w:tcW w:type="dxa" w:w="624"/>
            <w:vAlign w:val="center"/>
            <w:tcMar>
              <w:top w:w="65" w:type="dxa"/>
              <w:left w:w="65" w:type="dxa"/>
              <w:bottom w:w="65" w:type="dxa"/>
              <w:right w:w="65" w:type="dxa"/>
            </w:tcMar>
          </w:tcPr>
          <w:p>
            <w:pPr>
              <w:pStyle w:val="TableText"/>
              <w:keepNext w:val="0"/>
              <w:widowControl/>
              <w:jc w:val="left"/>
            </w:pPr>
            <w:r>
              <w:rPr>
                <w:b w:val="0"/>
                <w:sz w:val="17"/>
              </w:rPr>
              <w:t>BINF</w:t>
            </w:r>
          </w:p>
        </w:tc>
        <w:tc>
          <w:tcPr>
            <w:tcW w:type="dxa" w:w="1928"/>
            <w:vAlign w:val="center"/>
            <w:tcMar>
              <w:top w:w="65" w:type="dxa"/>
              <w:left w:w="65" w:type="dxa"/>
              <w:bottom w:w="65" w:type="dxa"/>
              <w:right w:w="65" w:type="dxa"/>
            </w:tcMar>
          </w:tcPr>
          <w:p>
            <w:pPr>
              <w:pStyle w:val="TableText"/>
              <w:keepNext w:val="0"/>
              <w:widowControl/>
              <w:jc w:val="left"/>
            </w:pPr>
            <w:r>
              <w:rPr>
                <w:b w:val="0"/>
                <w:sz w:val="17"/>
              </w:rPr>
              <w:t>C6-E−C6-EX</w:t>
            </w:r>
          </w:p>
        </w:tc>
        <w:tc>
          <w:tcPr>
            <w:tcW w:type="dxa" w:w="1531"/>
            <w:vAlign w:val="center"/>
            <w:tcMar>
              <w:top w:w="65" w:type="dxa"/>
              <w:left w:w="65" w:type="dxa"/>
              <w:bottom w:w="65" w:type="dxa"/>
              <w:right w:w="65" w:type="dxa"/>
            </w:tcMar>
          </w:tcPr>
          <w:p>
            <w:pPr>
              <w:pStyle w:val="TableText"/>
              <w:keepNext w:val="0"/>
              <w:widowControl/>
              <w:jc w:val="left"/>
            </w:pPr>
            <w:r>
              <w:rPr>
                <w:b w:val="0"/>
                <w:sz w:val="17"/>
              </w:rPr>
              <w:t>+0.0153</w:t>
            </w:r>
          </w:p>
        </w:tc>
        <w:tc>
          <w:tcPr>
            <w:tcW w:type="dxa" w:w="1531"/>
            <w:vAlign w:val="center"/>
            <w:tcMar>
              <w:top w:w="65" w:type="dxa"/>
              <w:left w:w="65" w:type="dxa"/>
              <w:bottom w:w="65" w:type="dxa"/>
              <w:right w:w="65" w:type="dxa"/>
            </w:tcMar>
          </w:tcPr>
          <w:p>
            <w:pPr>
              <w:pStyle w:val="TableText"/>
              <w:keepNext w:val="0"/>
              <w:widowControl/>
              <w:jc w:val="left"/>
            </w:pPr>
            <w:r>
              <w:rPr>
                <w:b w:val="0"/>
                <w:sz w:val="17"/>
              </w:rPr>
              <w:t>-0.0002</w:t>
            </w:r>
          </w:p>
        </w:tc>
        <w:tc>
          <w:tcPr>
            <w:tcW w:type="dxa" w:w="1531"/>
            <w:vAlign w:val="center"/>
            <w:tcMar>
              <w:top w:w="65" w:type="dxa"/>
              <w:left w:w="65" w:type="dxa"/>
              <w:bottom w:w="65" w:type="dxa"/>
              <w:right w:w="65" w:type="dxa"/>
            </w:tcMar>
          </w:tcPr>
          <w:p>
            <w:pPr>
              <w:pStyle w:val="TableText"/>
              <w:keepNext w:val="0"/>
              <w:widowControl/>
              <w:jc w:val="left"/>
            </w:pPr>
            <w:r>
              <w:rPr>
                <w:b w:val="0"/>
                <w:sz w:val="17"/>
              </w:rPr>
              <w:t>+0.0228</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7"/>
              </w:rPr>
              <w:t>GPT</w:t>
            </w:r>
          </w:p>
        </w:tc>
        <w:tc>
          <w:tcPr>
            <w:tcW w:type="dxa" w:w="624"/>
            <w:vAlign w:val="center"/>
            <w:tcMar>
              <w:top w:w="65" w:type="dxa"/>
              <w:left w:w="65" w:type="dxa"/>
              <w:bottom w:w="65" w:type="dxa"/>
              <w:right w:w="65" w:type="dxa"/>
            </w:tcMar>
          </w:tcPr>
          <w:p>
            <w:pPr>
              <w:pStyle w:val="TableText"/>
              <w:keepNext w:val="0"/>
              <w:widowControl/>
              <w:jc w:val="left"/>
            </w:pPr>
            <w:r>
              <w:rPr>
                <w:b w:val="0"/>
                <w:sz w:val="17"/>
              </w:rPr>
              <w:t>B1</w:t>
            </w:r>
          </w:p>
        </w:tc>
        <w:tc>
          <w:tcPr>
            <w:tcW w:type="dxa" w:w="1928"/>
            <w:vAlign w:val="center"/>
            <w:tcMar>
              <w:top w:w="65" w:type="dxa"/>
              <w:left w:w="65" w:type="dxa"/>
              <w:bottom w:w="65" w:type="dxa"/>
              <w:right w:w="65" w:type="dxa"/>
            </w:tcMar>
          </w:tcPr>
          <w:p>
            <w:pPr>
              <w:pStyle w:val="TableText"/>
              <w:keepNext w:val="0"/>
              <w:widowControl/>
              <w:jc w:val="left"/>
            </w:pPr>
            <w:r>
              <w:rPr>
                <w:b w:val="0"/>
                <w:sz w:val="17"/>
              </w:rPr>
              <w:t>C6-E−C4R</w:t>
            </w:r>
          </w:p>
        </w:tc>
        <w:tc>
          <w:tcPr>
            <w:tcW w:type="dxa" w:w="1531"/>
            <w:vAlign w:val="center"/>
            <w:tcMar>
              <w:top w:w="65" w:type="dxa"/>
              <w:left w:w="65" w:type="dxa"/>
              <w:bottom w:w="65" w:type="dxa"/>
              <w:right w:w="65" w:type="dxa"/>
            </w:tcMar>
          </w:tcPr>
          <w:p>
            <w:pPr>
              <w:pStyle w:val="TableText"/>
              <w:keepNext w:val="0"/>
              <w:widowControl/>
              <w:jc w:val="left"/>
            </w:pPr>
            <w:r>
              <w:rPr>
                <w:b w:val="0"/>
                <w:sz w:val="17"/>
              </w:rPr>
              <w:t>+0.1003</w:t>
            </w:r>
          </w:p>
        </w:tc>
        <w:tc>
          <w:tcPr>
            <w:tcW w:type="dxa" w:w="1531"/>
            <w:vAlign w:val="center"/>
            <w:tcMar>
              <w:top w:w="65" w:type="dxa"/>
              <w:left w:w="65" w:type="dxa"/>
              <w:bottom w:w="65" w:type="dxa"/>
              <w:right w:w="65" w:type="dxa"/>
            </w:tcMar>
          </w:tcPr>
          <w:p>
            <w:pPr>
              <w:pStyle w:val="TableText"/>
              <w:keepNext w:val="0"/>
              <w:widowControl/>
              <w:jc w:val="left"/>
            </w:pPr>
            <w:r>
              <w:rPr>
                <w:b w:val="0"/>
                <w:sz w:val="17"/>
              </w:rPr>
              <w:t>+0.0231</w:t>
            </w:r>
          </w:p>
        </w:tc>
        <w:tc>
          <w:tcPr>
            <w:tcW w:type="dxa" w:w="1531"/>
            <w:vAlign w:val="center"/>
            <w:tcMar>
              <w:top w:w="65" w:type="dxa"/>
              <w:left w:w="65" w:type="dxa"/>
              <w:bottom w:w="65" w:type="dxa"/>
              <w:right w:w="65" w:type="dxa"/>
            </w:tcMar>
          </w:tcPr>
          <w:p>
            <w:pPr>
              <w:pStyle w:val="TableText"/>
              <w:keepNext w:val="0"/>
              <w:widowControl/>
              <w:jc w:val="left"/>
            </w:pPr>
            <w:r>
              <w:rPr>
                <w:b w:val="0"/>
                <w:sz w:val="17"/>
              </w:rPr>
              <w:t>+0.0196</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7"/>
              </w:rPr>
              <w:t>GPT</w:t>
            </w:r>
          </w:p>
        </w:tc>
        <w:tc>
          <w:tcPr>
            <w:tcW w:type="dxa" w:w="624"/>
            <w:vAlign w:val="center"/>
            <w:tcMar>
              <w:top w:w="65" w:type="dxa"/>
              <w:left w:w="65" w:type="dxa"/>
              <w:bottom w:w="65" w:type="dxa"/>
              <w:right w:w="65" w:type="dxa"/>
            </w:tcMar>
          </w:tcPr>
          <w:p>
            <w:pPr>
              <w:pStyle w:val="TableText"/>
              <w:keepNext w:val="0"/>
              <w:widowControl/>
              <w:jc w:val="left"/>
            </w:pPr>
            <w:r>
              <w:rPr>
                <w:b w:val="0"/>
                <w:sz w:val="17"/>
              </w:rPr>
              <w:t>B1</w:t>
            </w:r>
          </w:p>
        </w:tc>
        <w:tc>
          <w:tcPr>
            <w:tcW w:type="dxa" w:w="1928"/>
            <w:vAlign w:val="center"/>
            <w:tcMar>
              <w:top w:w="65" w:type="dxa"/>
              <w:left w:w="65" w:type="dxa"/>
              <w:bottom w:w="65" w:type="dxa"/>
              <w:right w:w="65" w:type="dxa"/>
            </w:tcMar>
          </w:tcPr>
          <w:p>
            <w:pPr>
              <w:pStyle w:val="TableText"/>
              <w:keepNext w:val="0"/>
              <w:widowControl/>
              <w:jc w:val="left"/>
            </w:pPr>
            <w:r>
              <w:rPr>
                <w:b w:val="0"/>
                <w:sz w:val="17"/>
              </w:rPr>
              <w:t>C6-E−C6-EX</w:t>
            </w:r>
          </w:p>
        </w:tc>
        <w:tc>
          <w:tcPr>
            <w:tcW w:type="dxa" w:w="1531"/>
            <w:vAlign w:val="center"/>
            <w:tcMar>
              <w:top w:w="65" w:type="dxa"/>
              <w:left w:w="65" w:type="dxa"/>
              <w:bottom w:w="65" w:type="dxa"/>
              <w:right w:w="65" w:type="dxa"/>
            </w:tcMar>
          </w:tcPr>
          <w:p>
            <w:pPr>
              <w:pStyle w:val="TableText"/>
              <w:keepNext w:val="0"/>
              <w:widowControl/>
              <w:jc w:val="left"/>
            </w:pPr>
            <w:r>
              <w:rPr>
                <w:b w:val="0"/>
                <w:sz w:val="17"/>
              </w:rPr>
              <w:t>+0.1146</w:t>
            </w:r>
          </w:p>
        </w:tc>
        <w:tc>
          <w:tcPr>
            <w:tcW w:type="dxa" w:w="1531"/>
            <w:vAlign w:val="center"/>
            <w:tcMar>
              <w:top w:w="65" w:type="dxa"/>
              <w:left w:w="65" w:type="dxa"/>
              <w:bottom w:w="65" w:type="dxa"/>
              <w:right w:w="65" w:type="dxa"/>
            </w:tcMar>
          </w:tcPr>
          <w:p>
            <w:pPr>
              <w:pStyle w:val="TableText"/>
              <w:keepNext w:val="0"/>
              <w:widowControl/>
              <w:jc w:val="left"/>
            </w:pPr>
            <w:r>
              <w:rPr>
                <w:b w:val="0"/>
                <w:sz w:val="17"/>
              </w:rPr>
              <w:t>+0.0084</w:t>
            </w:r>
          </w:p>
        </w:tc>
        <w:tc>
          <w:tcPr>
            <w:tcW w:type="dxa" w:w="1531"/>
            <w:vAlign w:val="center"/>
            <w:tcMar>
              <w:top w:w="65" w:type="dxa"/>
              <w:left w:w="65" w:type="dxa"/>
              <w:bottom w:w="65" w:type="dxa"/>
              <w:right w:w="65" w:type="dxa"/>
            </w:tcMar>
          </w:tcPr>
          <w:p>
            <w:pPr>
              <w:pStyle w:val="TableText"/>
              <w:keepNext w:val="0"/>
              <w:widowControl/>
              <w:jc w:val="left"/>
            </w:pPr>
            <w:r>
              <w:rPr>
                <w:b w:val="0"/>
                <w:sz w:val="17"/>
              </w:rPr>
              <w:t>+0.0286</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7"/>
              </w:rPr>
              <w:t>GPT</w:t>
            </w:r>
          </w:p>
        </w:tc>
        <w:tc>
          <w:tcPr>
            <w:tcW w:type="dxa" w:w="624"/>
            <w:vAlign w:val="center"/>
            <w:tcMar>
              <w:top w:w="65" w:type="dxa"/>
              <w:left w:w="65" w:type="dxa"/>
              <w:bottom w:w="65" w:type="dxa"/>
              <w:right w:w="65" w:type="dxa"/>
            </w:tcMar>
          </w:tcPr>
          <w:p>
            <w:pPr>
              <w:pStyle w:val="TableText"/>
              <w:keepNext w:val="0"/>
              <w:widowControl/>
              <w:jc w:val="left"/>
            </w:pPr>
            <w:r>
              <w:rPr>
                <w:b w:val="0"/>
                <w:sz w:val="17"/>
              </w:rPr>
              <w:t>BINF</w:t>
            </w:r>
          </w:p>
        </w:tc>
        <w:tc>
          <w:tcPr>
            <w:tcW w:type="dxa" w:w="1928"/>
            <w:vAlign w:val="center"/>
            <w:tcMar>
              <w:top w:w="65" w:type="dxa"/>
              <w:left w:w="65" w:type="dxa"/>
              <w:bottom w:w="65" w:type="dxa"/>
              <w:right w:w="65" w:type="dxa"/>
            </w:tcMar>
          </w:tcPr>
          <w:p>
            <w:pPr>
              <w:pStyle w:val="TableText"/>
              <w:keepNext w:val="0"/>
              <w:widowControl/>
              <w:jc w:val="left"/>
            </w:pPr>
            <w:r>
              <w:rPr>
                <w:b w:val="0"/>
                <w:sz w:val="17"/>
              </w:rPr>
              <w:t>C6-E−C4R</w:t>
            </w:r>
          </w:p>
        </w:tc>
        <w:tc>
          <w:tcPr>
            <w:tcW w:type="dxa" w:w="1531"/>
            <w:vAlign w:val="center"/>
            <w:tcMar>
              <w:top w:w="65" w:type="dxa"/>
              <w:left w:w="65" w:type="dxa"/>
              <w:bottom w:w="65" w:type="dxa"/>
              <w:right w:w="65" w:type="dxa"/>
            </w:tcMar>
          </w:tcPr>
          <w:p>
            <w:pPr>
              <w:pStyle w:val="TableText"/>
              <w:keepNext w:val="0"/>
              <w:widowControl/>
              <w:jc w:val="left"/>
            </w:pPr>
            <w:r>
              <w:rPr>
                <w:b w:val="0"/>
                <w:sz w:val="17"/>
              </w:rPr>
              <w:t>+0.2142</w:t>
            </w:r>
          </w:p>
        </w:tc>
        <w:tc>
          <w:tcPr>
            <w:tcW w:type="dxa" w:w="1531"/>
            <w:vAlign w:val="center"/>
            <w:tcMar>
              <w:top w:w="65" w:type="dxa"/>
              <w:left w:w="65" w:type="dxa"/>
              <w:bottom w:w="65" w:type="dxa"/>
              <w:right w:w="65" w:type="dxa"/>
            </w:tcMar>
          </w:tcPr>
          <w:p>
            <w:pPr>
              <w:pStyle w:val="TableText"/>
              <w:keepNext w:val="0"/>
              <w:widowControl/>
              <w:jc w:val="left"/>
            </w:pPr>
            <w:r>
              <w:rPr>
                <w:b w:val="0"/>
                <w:sz w:val="17"/>
              </w:rPr>
              <w:t>+0.0425</w:t>
            </w:r>
          </w:p>
        </w:tc>
        <w:tc>
          <w:tcPr>
            <w:tcW w:type="dxa" w:w="1531"/>
            <w:vAlign w:val="center"/>
            <w:tcMar>
              <w:top w:w="65" w:type="dxa"/>
              <w:left w:w="65" w:type="dxa"/>
              <w:bottom w:w="65" w:type="dxa"/>
              <w:right w:w="65" w:type="dxa"/>
            </w:tcMar>
          </w:tcPr>
          <w:p>
            <w:pPr>
              <w:pStyle w:val="TableText"/>
              <w:keepNext w:val="0"/>
              <w:widowControl/>
              <w:jc w:val="left"/>
            </w:pPr>
            <w:r>
              <w:rPr>
                <w:b w:val="0"/>
                <w:sz w:val="17"/>
              </w:rPr>
              <w:t>+0.0709</w:t>
            </w:r>
          </w:p>
        </w:tc>
      </w:tr>
      <w:tr>
        <w:trPr>
          <w:cantSplit/>
        </w:trPr>
        <w:tc>
          <w:tcPr>
            <w:tcW w:type="dxa" w:w="794"/>
            <w:vAlign w:val="center"/>
            <w:tcMar>
              <w:top w:w="65" w:type="dxa"/>
              <w:left w:w="65" w:type="dxa"/>
              <w:bottom w:w="65" w:type="dxa"/>
              <w:right w:w="65" w:type="dxa"/>
            </w:tcMar>
          </w:tcPr>
          <w:p>
            <w:pPr>
              <w:pStyle w:val="TableText"/>
              <w:keepNext w:val="0"/>
              <w:widowControl/>
              <w:jc w:val="left"/>
            </w:pPr>
            <w:r>
              <w:rPr>
                <w:b w:val="0"/>
                <w:sz w:val="17"/>
              </w:rPr>
              <w:t>GPT</w:t>
            </w:r>
          </w:p>
        </w:tc>
        <w:tc>
          <w:tcPr>
            <w:tcW w:type="dxa" w:w="624"/>
            <w:vAlign w:val="center"/>
            <w:tcMar>
              <w:top w:w="65" w:type="dxa"/>
              <w:left w:w="65" w:type="dxa"/>
              <w:bottom w:w="65" w:type="dxa"/>
              <w:right w:w="65" w:type="dxa"/>
            </w:tcMar>
          </w:tcPr>
          <w:p>
            <w:pPr>
              <w:pStyle w:val="TableText"/>
              <w:keepNext w:val="0"/>
              <w:widowControl/>
              <w:jc w:val="left"/>
            </w:pPr>
            <w:r>
              <w:rPr>
                <w:b w:val="0"/>
                <w:sz w:val="17"/>
              </w:rPr>
              <w:t>BINF</w:t>
            </w:r>
          </w:p>
        </w:tc>
        <w:tc>
          <w:tcPr>
            <w:tcW w:type="dxa" w:w="1928"/>
            <w:vAlign w:val="center"/>
            <w:tcMar>
              <w:top w:w="65" w:type="dxa"/>
              <w:left w:w="65" w:type="dxa"/>
              <w:bottom w:w="65" w:type="dxa"/>
              <w:right w:w="65" w:type="dxa"/>
            </w:tcMar>
          </w:tcPr>
          <w:p>
            <w:pPr>
              <w:pStyle w:val="TableText"/>
              <w:keepNext w:val="0"/>
              <w:widowControl/>
              <w:jc w:val="left"/>
            </w:pPr>
            <w:r>
              <w:rPr>
                <w:b w:val="0"/>
                <w:sz w:val="17"/>
              </w:rPr>
              <w:t>C6-E−C6-EX</w:t>
            </w:r>
          </w:p>
        </w:tc>
        <w:tc>
          <w:tcPr>
            <w:tcW w:type="dxa" w:w="1531"/>
            <w:vAlign w:val="center"/>
            <w:tcMar>
              <w:top w:w="65" w:type="dxa"/>
              <w:left w:w="65" w:type="dxa"/>
              <w:bottom w:w="65" w:type="dxa"/>
              <w:right w:w="65" w:type="dxa"/>
            </w:tcMar>
          </w:tcPr>
          <w:p>
            <w:pPr>
              <w:pStyle w:val="TableText"/>
              <w:keepNext w:val="0"/>
              <w:widowControl/>
              <w:jc w:val="left"/>
            </w:pPr>
            <w:r>
              <w:rPr>
                <w:b w:val="0"/>
                <w:sz w:val="17"/>
              </w:rPr>
              <w:t>+0.0767</w:t>
            </w:r>
          </w:p>
        </w:tc>
        <w:tc>
          <w:tcPr>
            <w:tcW w:type="dxa" w:w="1531"/>
            <w:vAlign w:val="center"/>
            <w:tcMar>
              <w:top w:w="65" w:type="dxa"/>
              <w:left w:w="65" w:type="dxa"/>
              <w:bottom w:w="65" w:type="dxa"/>
              <w:right w:w="65" w:type="dxa"/>
            </w:tcMar>
          </w:tcPr>
          <w:p>
            <w:pPr>
              <w:pStyle w:val="TableText"/>
              <w:keepNext w:val="0"/>
              <w:widowControl/>
              <w:jc w:val="left"/>
            </w:pPr>
            <w:r>
              <w:rPr>
                <w:b w:val="0"/>
                <w:sz w:val="17"/>
              </w:rPr>
              <w:t>+0.0108</w:t>
            </w:r>
          </w:p>
        </w:tc>
        <w:tc>
          <w:tcPr>
            <w:tcW w:type="dxa" w:w="1531"/>
            <w:vAlign w:val="center"/>
            <w:tcMar>
              <w:top w:w="65" w:type="dxa"/>
              <w:left w:w="65" w:type="dxa"/>
              <w:bottom w:w="65" w:type="dxa"/>
              <w:right w:w="65" w:type="dxa"/>
            </w:tcMar>
          </w:tcPr>
          <w:p>
            <w:pPr>
              <w:pStyle w:val="TableText"/>
              <w:keepNext w:val="0"/>
              <w:widowControl/>
              <w:jc w:val="left"/>
            </w:pPr>
            <w:r>
              <w:rPr>
                <w:b w:val="0"/>
                <w:sz w:val="17"/>
              </w:rPr>
              <w:t>+0.0412</w:t>
            </w:r>
          </w:p>
        </w:tc>
      </w:tr>
    </w:tbl>
    <w:p>
      <w:pPr>
        <w:pStyle w:val="SourceNote"/>
        <w:widowControl/>
      </w:pPr>
      <w:r>
        <w:t>자료: 각 Oracle에서 독립적으로 계산한 같은 기업의 평균차이. 원점수 단위가 다르므로 열 사이 크기는 직접 비교하지 않는다. 전체 구간과 조정값은 부록 E에 제공한다.</w:t>
      </w:r>
    </w:p>
    <w:p>
      <w:pPr>
        <w:widowControl/>
      </w:pPr>
      <w:r>
        <w:t>평가모형을 바꾸면 차이의 크기뿐 아니라 일부 방향과 통계적 판정도 달라질 수 있다. α의 결과를 중심으로 서술하되 β·γ를 동일 단위의 반복측정처럼 합치지 않는다. 같은 행동의 경제적 결과에 대한 직접 관측이 없으므로, 세 Oracle의 비교는 평가구조 민감도이지 실제 기업성과에 대한 외부 재현실험이 아니다.</w:t>
      </w:r>
    </w:p>
    <w:p>
      <w:bookmarkStart w:id="161" w:name="head_111"/>
      <w:pPr>
        <w:pStyle w:val="2"/>
        <w:widowControl/>
      </w:pPr>
      <w:r>
        <w:t>6.6 PP와 부모 응답 게이트의 민감도</w:t>
      </w:r>
      <w:bookmarkEnd w:id="161"/>
    </w:p>
    <w:p>
      <w:bookmarkStart w:id="162" w:name="head_112"/>
      <w:pPr>
        <w:pStyle w:val="3"/>
        <w:widowControl/>
      </w:pPr>
      <w:r>
        <w:t>6.6.1 Strict 수용 교집합에서의 비교</w:t>
      </w:r>
      <w:bookmarkEnd w:id="162"/>
    </w:p>
    <w:p>
      <w:bookmarkStart w:id="163" w:name="cap_51"/>
      <w:pPr>
        <w:pStyle w:val="af"/>
        <w:widowControl/>
      </w:pPr>
      <w:r>
        <w:t>표 6-14. Baseline B1의 strict 교집합 PP 대비</w:t>
      </w:r>
      <w:bookmarkEnd w:id="163"/>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737"/>
        <w:gridCol w:w="1814"/>
        <w:gridCol w:w="737"/>
        <w:gridCol w:w="1247"/>
        <w:gridCol w:w="2154"/>
        <w:gridCol w:w="1247"/>
      </w:tblGrid>
      <w:tr>
        <w:trPr>
          <w:cantSplit/>
          <w:tblHeader/>
        </w:trPr>
        <w:tc>
          <w:tcPr>
            <w:tcW w:type="dxa" w:w="737"/>
            <w:vAlign w:val="center"/>
            <w:shd w:fill="F1F1F1"/>
            <w:tcMar>
              <w:top w:w="65" w:type="dxa"/>
              <w:left w:w="65" w:type="dxa"/>
              <w:bottom w:w="65" w:type="dxa"/>
              <w:right w:w="65" w:type="dxa"/>
            </w:tcMar>
          </w:tcPr>
          <w:p>
            <w:pPr>
              <w:pStyle w:val="TableText"/>
              <w:keepNext/>
              <w:widowControl/>
              <w:jc w:val="center"/>
            </w:pPr>
            <w:r>
              <w:rPr>
                <w:b/>
                <w:sz w:val="17"/>
              </w:rPr>
              <w:t>모델</w:t>
            </w:r>
          </w:p>
        </w:tc>
        <w:tc>
          <w:tcPr>
            <w:tcW w:type="dxa" w:w="1814"/>
            <w:vAlign w:val="center"/>
            <w:shd w:fill="F1F1F1"/>
            <w:tcMar>
              <w:top w:w="65" w:type="dxa"/>
              <w:left w:w="65" w:type="dxa"/>
              <w:bottom w:w="65" w:type="dxa"/>
              <w:right w:w="65" w:type="dxa"/>
            </w:tcMar>
          </w:tcPr>
          <w:p>
            <w:pPr>
              <w:pStyle w:val="TableText"/>
              <w:keepNext/>
              <w:widowControl/>
              <w:jc w:val="center"/>
            </w:pPr>
            <w:r>
              <w:rPr>
                <w:b/>
                <w:sz w:val="17"/>
              </w:rPr>
              <w:t>대비</w:t>
            </w:r>
          </w:p>
        </w:tc>
        <w:tc>
          <w:tcPr>
            <w:tcW w:type="dxa" w:w="737"/>
            <w:vAlign w:val="center"/>
            <w:shd w:fill="F1F1F1"/>
            <w:tcMar>
              <w:top w:w="65" w:type="dxa"/>
              <w:left w:w="65" w:type="dxa"/>
              <w:bottom w:w="65" w:type="dxa"/>
              <w:right w:w="65" w:type="dxa"/>
            </w:tcMar>
          </w:tcPr>
          <w:p>
            <w:pPr>
              <w:pStyle w:val="TableText"/>
              <w:keepNext/>
              <w:widowControl/>
              <w:jc w:val="center"/>
            </w:pPr>
            <w:r>
              <w:rPr>
                <w:b/>
                <w:sz w:val="17"/>
              </w:rPr>
              <w:t>PP N</w:t>
            </w:r>
          </w:p>
        </w:tc>
        <w:tc>
          <w:tcPr>
            <w:tcW w:type="dxa" w:w="1247"/>
            <w:vAlign w:val="center"/>
            <w:shd w:fill="F1F1F1"/>
            <w:tcMar>
              <w:top w:w="65" w:type="dxa"/>
              <w:left w:w="65" w:type="dxa"/>
              <w:bottom w:w="65" w:type="dxa"/>
              <w:right w:w="65" w:type="dxa"/>
            </w:tcMar>
          </w:tcPr>
          <w:p>
            <w:pPr>
              <w:pStyle w:val="TableText"/>
              <w:keepNext/>
              <w:widowControl/>
              <w:jc w:val="center"/>
            </w:pPr>
            <w:r>
              <w:rPr>
                <w:b/>
                <w:sz w:val="17"/>
              </w:rPr>
              <w:t>평균 Δα</w:t>
            </w:r>
          </w:p>
        </w:tc>
        <w:tc>
          <w:tcPr>
            <w:tcW w:type="dxa" w:w="2154"/>
            <w:vAlign w:val="center"/>
            <w:shd w:fill="F1F1F1"/>
            <w:tcMar>
              <w:top w:w="65" w:type="dxa"/>
              <w:left w:w="65" w:type="dxa"/>
              <w:bottom w:w="65" w:type="dxa"/>
              <w:right w:w="65" w:type="dxa"/>
            </w:tcMar>
          </w:tcPr>
          <w:p>
            <w:pPr>
              <w:pStyle w:val="TableText"/>
              <w:keepNext/>
              <w:widowControl/>
              <w:jc w:val="center"/>
            </w:pPr>
            <w:r>
              <w:rPr>
                <w:b/>
                <w:sz w:val="17"/>
              </w:rPr>
              <w:t>95% 구간</w:t>
            </w:r>
          </w:p>
        </w:tc>
        <w:tc>
          <w:tcPr>
            <w:tcW w:type="dxa" w:w="1247"/>
            <w:vAlign w:val="center"/>
            <w:shd w:fill="F1F1F1"/>
            <w:tcMar>
              <w:top w:w="65" w:type="dxa"/>
              <w:left w:w="65" w:type="dxa"/>
              <w:bottom w:w="65" w:type="dxa"/>
              <w:right w:w="65" w:type="dxa"/>
            </w:tcMar>
          </w:tcPr>
          <w:p>
            <w:pPr>
              <w:pStyle w:val="TableText"/>
              <w:keepNext/>
              <w:widowControl/>
              <w:jc w:val="center"/>
            </w:pPr>
            <w:r>
              <w:rPr>
                <w:b/>
                <w:sz w:val="17"/>
              </w:rPr>
              <w:t>Holm p</w:t>
            </w:r>
          </w:p>
        </w:tc>
      </w:tr>
      <w:tr>
        <w:trPr>
          <w:cantSplit/>
        </w:trPr>
        <w:tc>
          <w:tcPr>
            <w:tcW w:type="dxa" w:w="737"/>
            <w:vAlign w:val="center"/>
            <w:tcMar>
              <w:top w:w="65" w:type="dxa"/>
              <w:left w:w="65" w:type="dxa"/>
              <w:bottom w:w="65" w:type="dxa"/>
              <w:right w:w="65" w:type="dxa"/>
            </w:tcMar>
          </w:tcPr>
          <w:p>
            <w:pPr>
              <w:pStyle w:val="TableText"/>
              <w:keepNext/>
              <w:widowControl/>
              <w:jc w:val="left"/>
            </w:pPr>
            <w:r>
              <w:rPr>
                <w:b w:val="0"/>
                <w:sz w:val="17"/>
              </w:rPr>
              <w:t>Gemini</w:t>
            </w:r>
          </w:p>
        </w:tc>
        <w:tc>
          <w:tcPr>
            <w:tcW w:type="dxa" w:w="1814"/>
            <w:vAlign w:val="center"/>
            <w:tcMar>
              <w:top w:w="65" w:type="dxa"/>
              <w:left w:w="65" w:type="dxa"/>
              <w:bottom w:w="65" w:type="dxa"/>
              <w:right w:w="65" w:type="dxa"/>
            </w:tcMar>
          </w:tcPr>
          <w:p>
            <w:pPr>
              <w:pStyle w:val="TableText"/>
              <w:keepNext/>
              <w:widowControl/>
              <w:jc w:val="left"/>
            </w:pPr>
            <w:r>
              <w:rPr>
                <w:b w:val="0"/>
                <w:sz w:val="17"/>
              </w:rPr>
              <w:t>C4R−C4</w:t>
            </w:r>
          </w:p>
        </w:tc>
        <w:tc>
          <w:tcPr>
            <w:tcW w:type="dxa" w:w="737"/>
            <w:vAlign w:val="center"/>
            <w:tcMar>
              <w:top w:w="65" w:type="dxa"/>
              <w:left w:w="65" w:type="dxa"/>
              <w:bottom w:w="65" w:type="dxa"/>
              <w:right w:w="65" w:type="dxa"/>
            </w:tcMar>
          </w:tcPr>
          <w:p>
            <w:pPr>
              <w:pStyle w:val="TableText"/>
              <w:keepNext/>
              <w:widowControl/>
              <w:jc w:val="left"/>
            </w:pPr>
            <w:r>
              <w:rPr>
                <w:b w:val="0"/>
                <w:sz w:val="17"/>
              </w:rPr>
              <w:t>45</w:t>
            </w:r>
          </w:p>
        </w:tc>
        <w:tc>
          <w:tcPr>
            <w:tcW w:type="dxa" w:w="1247"/>
            <w:vAlign w:val="center"/>
            <w:tcMar>
              <w:top w:w="65" w:type="dxa"/>
              <w:left w:w="65" w:type="dxa"/>
              <w:bottom w:w="65" w:type="dxa"/>
              <w:right w:w="65" w:type="dxa"/>
            </w:tcMar>
          </w:tcPr>
          <w:p>
            <w:pPr>
              <w:pStyle w:val="TableText"/>
              <w:keepNext/>
              <w:widowControl/>
              <w:jc w:val="left"/>
            </w:pPr>
            <w:r>
              <w:rPr>
                <w:b w:val="0"/>
                <w:sz w:val="17"/>
              </w:rPr>
              <w:t>-0.0068</w:t>
            </w:r>
          </w:p>
        </w:tc>
        <w:tc>
          <w:tcPr>
            <w:tcW w:type="dxa" w:w="2154"/>
            <w:vAlign w:val="center"/>
            <w:tcMar>
              <w:top w:w="65" w:type="dxa"/>
              <w:left w:w="65" w:type="dxa"/>
              <w:bottom w:w="65" w:type="dxa"/>
              <w:right w:w="65" w:type="dxa"/>
            </w:tcMar>
          </w:tcPr>
          <w:p>
            <w:pPr>
              <w:pStyle w:val="TableText"/>
              <w:keepNext/>
              <w:widowControl/>
              <w:jc w:val="left"/>
            </w:pPr>
            <w:r>
              <w:rPr>
                <w:b w:val="0"/>
                <w:sz w:val="17"/>
              </w:rPr>
              <w:t>[-0.0205, +0.0000]</w:t>
            </w:r>
          </w:p>
        </w:tc>
        <w:tc>
          <w:tcPr>
            <w:tcW w:type="dxa" w:w="1247"/>
            <w:vAlign w:val="center"/>
            <w:tcMar>
              <w:top w:w="65" w:type="dxa"/>
              <w:left w:w="65" w:type="dxa"/>
              <w:bottom w:w="65" w:type="dxa"/>
              <w:right w:w="65" w:type="dxa"/>
            </w:tcMar>
          </w:tcPr>
          <w:p>
            <w:pPr>
              <w:pStyle w:val="TableText"/>
              <w:keepNext/>
              <w:widowControl/>
              <w:jc w:val="left"/>
            </w:pPr>
            <w:r>
              <w:rPr>
                <w:b w:val="0"/>
                <w:sz w:val="17"/>
              </w:rPr>
              <w:t>1.0000</w:t>
            </w:r>
          </w:p>
        </w:tc>
      </w:tr>
      <w:tr>
        <w:trPr>
          <w:cantSplit/>
        </w:trPr>
        <w:tc>
          <w:tcPr>
            <w:tcW w:type="dxa" w:w="737"/>
            <w:vAlign w:val="center"/>
            <w:tcMar>
              <w:top w:w="65" w:type="dxa"/>
              <w:left w:w="65" w:type="dxa"/>
              <w:bottom w:w="65" w:type="dxa"/>
              <w:right w:w="65" w:type="dxa"/>
            </w:tcMar>
          </w:tcPr>
          <w:p>
            <w:pPr>
              <w:pStyle w:val="TableText"/>
              <w:keepNext w:val="0"/>
              <w:widowControl/>
              <w:jc w:val="left"/>
            </w:pPr>
            <w:r>
              <w:rPr>
                <w:b w:val="0"/>
                <w:sz w:val="17"/>
              </w:rPr>
              <w:t>Gemini</w:t>
            </w:r>
          </w:p>
        </w:tc>
        <w:tc>
          <w:tcPr>
            <w:tcW w:type="dxa" w:w="1814"/>
            <w:vAlign w:val="center"/>
            <w:tcMar>
              <w:top w:w="65" w:type="dxa"/>
              <w:left w:w="65" w:type="dxa"/>
              <w:bottom w:w="65" w:type="dxa"/>
              <w:right w:w="65" w:type="dxa"/>
            </w:tcMar>
          </w:tcPr>
          <w:p>
            <w:pPr>
              <w:pStyle w:val="TableText"/>
              <w:keepNext w:val="0"/>
              <w:widowControl/>
              <w:jc w:val="left"/>
            </w:pPr>
            <w:r>
              <w:rPr>
                <w:b w:val="0"/>
                <w:sz w:val="17"/>
              </w:rPr>
              <w:t>C5−C4</w:t>
            </w:r>
          </w:p>
        </w:tc>
        <w:tc>
          <w:tcPr>
            <w:tcW w:type="dxa" w:w="737"/>
            <w:vAlign w:val="center"/>
            <w:tcMar>
              <w:top w:w="65" w:type="dxa"/>
              <w:left w:w="65" w:type="dxa"/>
              <w:bottom w:w="65" w:type="dxa"/>
              <w:right w:w="65" w:type="dxa"/>
            </w:tcMar>
          </w:tcPr>
          <w:p>
            <w:pPr>
              <w:pStyle w:val="TableText"/>
              <w:keepNext w:val="0"/>
              <w:widowControl/>
              <w:jc w:val="left"/>
            </w:pPr>
            <w:r>
              <w:rPr>
                <w:b w:val="0"/>
                <w:sz w:val="17"/>
              </w:rPr>
              <w:t>51</w:t>
            </w:r>
          </w:p>
        </w:tc>
        <w:tc>
          <w:tcPr>
            <w:tcW w:type="dxa" w:w="1247"/>
            <w:vAlign w:val="center"/>
            <w:tcMar>
              <w:top w:w="65" w:type="dxa"/>
              <w:left w:w="65" w:type="dxa"/>
              <w:bottom w:w="65" w:type="dxa"/>
              <w:right w:w="65" w:type="dxa"/>
            </w:tcMar>
          </w:tcPr>
          <w:p>
            <w:pPr>
              <w:pStyle w:val="TableText"/>
              <w:keepNext w:val="0"/>
              <w:widowControl/>
              <w:jc w:val="left"/>
            </w:pPr>
            <w:r>
              <w:rPr>
                <w:b w:val="0"/>
                <w:sz w:val="17"/>
              </w:rPr>
              <w:t>+0.0563</w:t>
            </w:r>
          </w:p>
        </w:tc>
        <w:tc>
          <w:tcPr>
            <w:tcW w:type="dxa" w:w="2154"/>
            <w:vAlign w:val="center"/>
            <w:tcMar>
              <w:top w:w="65" w:type="dxa"/>
              <w:left w:w="65" w:type="dxa"/>
              <w:bottom w:w="65" w:type="dxa"/>
              <w:right w:w="65" w:type="dxa"/>
            </w:tcMar>
          </w:tcPr>
          <w:p>
            <w:pPr>
              <w:pStyle w:val="TableText"/>
              <w:keepNext w:val="0"/>
              <w:widowControl/>
              <w:jc w:val="left"/>
            </w:pPr>
            <w:r>
              <w:rPr>
                <w:b w:val="0"/>
                <w:sz w:val="17"/>
              </w:rPr>
              <w:t>[-0.0121, +0.1548]</w:t>
            </w:r>
          </w:p>
        </w:tc>
        <w:tc>
          <w:tcPr>
            <w:tcW w:type="dxa" w:w="1247"/>
            <w:vAlign w:val="center"/>
            <w:tcMar>
              <w:top w:w="65" w:type="dxa"/>
              <w:left w:w="65" w:type="dxa"/>
              <w:bottom w:w="65" w:type="dxa"/>
              <w:right w:w="65" w:type="dxa"/>
            </w:tcMar>
          </w:tcPr>
          <w:p>
            <w:pPr>
              <w:pStyle w:val="TableText"/>
              <w:keepNext w:val="0"/>
              <w:widowControl/>
              <w:jc w:val="left"/>
            </w:pPr>
            <w:r>
              <w:rPr>
                <w:b w:val="0"/>
                <w:sz w:val="17"/>
              </w:rPr>
              <w:t>0.9975</w:t>
            </w:r>
          </w:p>
        </w:tc>
      </w:tr>
      <w:tr>
        <w:trPr>
          <w:cantSplit/>
        </w:trPr>
        <w:tc>
          <w:tcPr>
            <w:tcW w:type="dxa" w:w="737"/>
            <w:vAlign w:val="center"/>
            <w:tcMar>
              <w:top w:w="65" w:type="dxa"/>
              <w:left w:w="65" w:type="dxa"/>
              <w:bottom w:w="65" w:type="dxa"/>
              <w:right w:w="65" w:type="dxa"/>
            </w:tcMar>
          </w:tcPr>
          <w:p>
            <w:pPr>
              <w:pStyle w:val="TableText"/>
              <w:keepNext w:val="0"/>
              <w:widowControl/>
              <w:jc w:val="left"/>
            </w:pPr>
            <w:r>
              <w:rPr>
                <w:b w:val="0"/>
                <w:sz w:val="17"/>
              </w:rPr>
              <w:t>Gemini</w:t>
            </w:r>
          </w:p>
        </w:tc>
        <w:tc>
          <w:tcPr>
            <w:tcW w:type="dxa" w:w="1814"/>
            <w:vAlign w:val="center"/>
            <w:tcMar>
              <w:top w:w="65" w:type="dxa"/>
              <w:left w:w="65" w:type="dxa"/>
              <w:bottom w:w="65" w:type="dxa"/>
              <w:right w:w="65" w:type="dxa"/>
            </w:tcMar>
          </w:tcPr>
          <w:p>
            <w:pPr>
              <w:pStyle w:val="TableText"/>
              <w:keepNext w:val="0"/>
              <w:widowControl/>
              <w:jc w:val="left"/>
            </w:pPr>
            <w:r>
              <w:rPr>
                <w:b w:val="0"/>
                <w:sz w:val="17"/>
              </w:rPr>
              <w:t>C6-E−C4R</w:t>
            </w:r>
          </w:p>
        </w:tc>
        <w:tc>
          <w:tcPr>
            <w:tcW w:type="dxa" w:w="737"/>
            <w:vAlign w:val="center"/>
            <w:tcMar>
              <w:top w:w="65" w:type="dxa"/>
              <w:left w:w="65" w:type="dxa"/>
              <w:bottom w:w="65" w:type="dxa"/>
              <w:right w:w="65" w:type="dxa"/>
            </w:tcMar>
          </w:tcPr>
          <w:p>
            <w:pPr>
              <w:pStyle w:val="TableText"/>
              <w:keepNext w:val="0"/>
              <w:widowControl/>
              <w:jc w:val="left"/>
            </w:pPr>
            <w:r>
              <w:rPr>
                <w:b w:val="0"/>
                <w:sz w:val="17"/>
              </w:rPr>
              <w:t>44</w:t>
            </w:r>
          </w:p>
        </w:tc>
        <w:tc>
          <w:tcPr>
            <w:tcW w:type="dxa" w:w="1247"/>
            <w:vAlign w:val="center"/>
            <w:tcMar>
              <w:top w:w="65" w:type="dxa"/>
              <w:left w:w="65" w:type="dxa"/>
              <w:bottom w:w="65" w:type="dxa"/>
              <w:right w:w="65" w:type="dxa"/>
            </w:tcMar>
          </w:tcPr>
          <w:p>
            <w:pPr>
              <w:pStyle w:val="TableText"/>
              <w:keepNext w:val="0"/>
              <w:widowControl/>
              <w:jc w:val="left"/>
            </w:pPr>
            <w:r>
              <w:rPr>
                <w:b w:val="0"/>
                <w:sz w:val="17"/>
              </w:rPr>
              <w:t>+0.1405</w:t>
            </w:r>
          </w:p>
        </w:tc>
        <w:tc>
          <w:tcPr>
            <w:tcW w:type="dxa" w:w="2154"/>
            <w:vAlign w:val="center"/>
            <w:tcMar>
              <w:top w:w="65" w:type="dxa"/>
              <w:left w:w="65" w:type="dxa"/>
              <w:bottom w:w="65" w:type="dxa"/>
              <w:right w:w="65" w:type="dxa"/>
            </w:tcMar>
          </w:tcPr>
          <w:p>
            <w:pPr>
              <w:pStyle w:val="TableText"/>
              <w:keepNext w:val="0"/>
              <w:widowControl/>
              <w:jc w:val="left"/>
            </w:pPr>
            <w:r>
              <w:rPr>
                <w:b w:val="0"/>
                <w:sz w:val="17"/>
              </w:rPr>
              <w:t>[+0.0000, +0.3547]</w:t>
            </w:r>
          </w:p>
        </w:tc>
        <w:tc>
          <w:tcPr>
            <w:tcW w:type="dxa" w:w="1247"/>
            <w:vAlign w:val="center"/>
            <w:tcMar>
              <w:top w:w="65" w:type="dxa"/>
              <w:left w:w="65" w:type="dxa"/>
              <w:bottom w:w="65" w:type="dxa"/>
              <w:right w:w="65" w:type="dxa"/>
            </w:tcMar>
          </w:tcPr>
          <w:p>
            <w:pPr>
              <w:pStyle w:val="TableText"/>
              <w:keepNext w:val="0"/>
              <w:widowControl/>
              <w:jc w:val="left"/>
            </w:pPr>
            <w:r>
              <w:rPr>
                <w:b w:val="0"/>
                <w:sz w:val="17"/>
              </w:rPr>
              <w:t>0.9975</w:t>
            </w:r>
          </w:p>
        </w:tc>
      </w:tr>
      <w:tr>
        <w:trPr>
          <w:cantSplit/>
        </w:trPr>
        <w:tc>
          <w:tcPr>
            <w:tcW w:type="dxa" w:w="737"/>
            <w:vAlign w:val="center"/>
            <w:tcMar>
              <w:top w:w="65" w:type="dxa"/>
              <w:left w:w="65" w:type="dxa"/>
              <w:bottom w:w="65" w:type="dxa"/>
              <w:right w:w="65" w:type="dxa"/>
            </w:tcMar>
          </w:tcPr>
          <w:p>
            <w:pPr>
              <w:pStyle w:val="TableText"/>
              <w:keepNext w:val="0"/>
              <w:widowControl/>
              <w:jc w:val="left"/>
            </w:pPr>
            <w:r>
              <w:rPr>
                <w:b w:val="0"/>
                <w:sz w:val="17"/>
              </w:rPr>
              <w:t>Gemini</w:t>
            </w:r>
          </w:p>
        </w:tc>
        <w:tc>
          <w:tcPr>
            <w:tcW w:type="dxa" w:w="1814"/>
            <w:vAlign w:val="center"/>
            <w:tcMar>
              <w:top w:w="65" w:type="dxa"/>
              <w:left w:w="65" w:type="dxa"/>
              <w:bottom w:w="65" w:type="dxa"/>
              <w:right w:w="65" w:type="dxa"/>
            </w:tcMar>
          </w:tcPr>
          <w:p>
            <w:pPr>
              <w:pStyle w:val="TableText"/>
              <w:keepNext w:val="0"/>
              <w:widowControl/>
              <w:jc w:val="left"/>
            </w:pPr>
            <w:r>
              <w:rPr>
                <w:b w:val="0"/>
                <w:sz w:val="17"/>
              </w:rPr>
              <w:t>C6-E−C6-EX</w:t>
            </w:r>
          </w:p>
        </w:tc>
        <w:tc>
          <w:tcPr>
            <w:tcW w:type="dxa" w:w="737"/>
            <w:vAlign w:val="center"/>
            <w:tcMar>
              <w:top w:w="65" w:type="dxa"/>
              <w:left w:w="65" w:type="dxa"/>
              <w:bottom w:w="65" w:type="dxa"/>
              <w:right w:w="65" w:type="dxa"/>
            </w:tcMar>
          </w:tcPr>
          <w:p>
            <w:pPr>
              <w:pStyle w:val="TableText"/>
              <w:keepNext w:val="0"/>
              <w:widowControl/>
              <w:jc w:val="left"/>
            </w:pPr>
            <w:r>
              <w:rPr>
                <w:b w:val="0"/>
                <w:sz w:val="17"/>
              </w:rPr>
              <w:t>39</w:t>
            </w:r>
          </w:p>
        </w:tc>
        <w:tc>
          <w:tcPr>
            <w:tcW w:type="dxa" w:w="1247"/>
            <w:vAlign w:val="center"/>
            <w:tcMar>
              <w:top w:w="65" w:type="dxa"/>
              <w:left w:w="65" w:type="dxa"/>
              <w:bottom w:w="65" w:type="dxa"/>
              <w:right w:w="65" w:type="dxa"/>
            </w:tcMar>
          </w:tcPr>
          <w:p>
            <w:pPr>
              <w:pStyle w:val="TableText"/>
              <w:keepNext w:val="0"/>
              <w:widowControl/>
              <w:jc w:val="left"/>
            </w:pPr>
            <w:r>
              <w:rPr>
                <w:b w:val="0"/>
                <w:sz w:val="17"/>
              </w:rPr>
              <w:t>+0.1805</w:t>
            </w:r>
          </w:p>
        </w:tc>
        <w:tc>
          <w:tcPr>
            <w:tcW w:type="dxa" w:w="2154"/>
            <w:vAlign w:val="center"/>
            <w:tcMar>
              <w:top w:w="65" w:type="dxa"/>
              <w:left w:w="65" w:type="dxa"/>
              <w:bottom w:w="65" w:type="dxa"/>
              <w:right w:w="65" w:type="dxa"/>
            </w:tcMar>
          </w:tcPr>
          <w:p>
            <w:pPr>
              <w:pStyle w:val="TableText"/>
              <w:keepNext w:val="0"/>
              <w:widowControl/>
              <w:jc w:val="left"/>
            </w:pPr>
            <w:r>
              <w:rPr>
                <w:b w:val="0"/>
                <w:sz w:val="17"/>
              </w:rPr>
              <w:t>[+0.0000, +0.4293]</w:t>
            </w:r>
          </w:p>
        </w:tc>
        <w:tc>
          <w:tcPr>
            <w:tcW w:type="dxa" w:w="1247"/>
            <w:vAlign w:val="center"/>
            <w:tcMar>
              <w:top w:w="65" w:type="dxa"/>
              <w:left w:w="65" w:type="dxa"/>
              <w:bottom w:w="65" w:type="dxa"/>
              <w:right w:w="65" w:type="dxa"/>
            </w:tcMar>
          </w:tcPr>
          <w:p>
            <w:pPr>
              <w:pStyle w:val="TableText"/>
              <w:keepNext w:val="0"/>
              <w:widowControl/>
              <w:jc w:val="left"/>
            </w:pPr>
            <w:r>
              <w:rPr>
                <w:b w:val="0"/>
                <w:sz w:val="17"/>
              </w:rPr>
              <w:t>0.6061</w:t>
            </w:r>
          </w:p>
        </w:tc>
      </w:tr>
      <w:tr>
        <w:trPr>
          <w:cantSplit/>
        </w:trPr>
        <w:tc>
          <w:tcPr>
            <w:tcW w:type="dxa" w:w="737"/>
            <w:vAlign w:val="center"/>
            <w:tcMar>
              <w:top w:w="65" w:type="dxa"/>
              <w:left w:w="65" w:type="dxa"/>
              <w:bottom w:w="65" w:type="dxa"/>
              <w:right w:w="65" w:type="dxa"/>
            </w:tcMar>
          </w:tcPr>
          <w:p>
            <w:pPr>
              <w:pStyle w:val="TableText"/>
              <w:keepNext w:val="0"/>
              <w:widowControl/>
              <w:jc w:val="left"/>
            </w:pPr>
            <w:r>
              <w:rPr>
                <w:b w:val="0"/>
                <w:sz w:val="17"/>
              </w:rPr>
              <w:t>GPT</w:t>
            </w:r>
          </w:p>
        </w:tc>
        <w:tc>
          <w:tcPr>
            <w:tcW w:type="dxa" w:w="1814"/>
            <w:vAlign w:val="center"/>
            <w:tcMar>
              <w:top w:w="65" w:type="dxa"/>
              <w:left w:w="65" w:type="dxa"/>
              <w:bottom w:w="65" w:type="dxa"/>
              <w:right w:w="65" w:type="dxa"/>
            </w:tcMar>
          </w:tcPr>
          <w:p>
            <w:pPr>
              <w:pStyle w:val="TableText"/>
              <w:keepNext w:val="0"/>
              <w:widowControl/>
              <w:jc w:val="left"/>
            </w:pPr>
            <w:r>
              <w:rPr>
                <w:b w:val="0"/>
                <w:sz w:val="17"/>
              </w:rPr>
              <w:t>C4R−C4</w:t>
            </w:r>
          </w:p>
        </w:tc>
        <w:tc>
          <w:tcPr>
            <w:tcW w:type="dxa" w:w="737"/>
            <w:vAlign w:val="center"/>
            <w:tcMar>
              <w:top w:w="65" w:type="dxa"/>
              <w:left w:w="65" w:type="dxa"/>
              <w:bottom w:w="65" w:type="dxa"/>
              <w:right w:w="65" w:type="dxa"/>
            </w:tcMar>
          </w:tcPr>
          <w:p>
            <w:pPr>
              <w:pStyle w:val="TableText"/>
              <w:keepNext w:val="0"/>
              <w:widowControl/>
              <w:jc w:val="left"/>
            </w:pPr>
            <w:r>
              <w:rPr>
                <w:b w:val="0"/>
                <w:sz w:val="17"/>
              </w:rPr>
              <w:t>246</w:t>
            </w:r>
          </w:p>
        </w:tc>
        <w:tc>
          <w:tcPr>
            <w:tcW w:type="dxa" w:w="1247"/>
            <w:vAlign w:val="center"/>
            <w:tcMar>
              <w:top w:w="65" w:type="dxa"/>
              <w:left w:w="65" w:type="dxa"/>
              <w:bottom w:w="65" w:type="dxa"/>
              <w:right w:w="65" w:type="dxa"/>
            </w:tcMar>
          </w:tcPr>
          <w:p>
            <w:pPr>
              <w:pStyle w:val="TableText"/>
              <w:keepNext w:val="0"/>
              <w:widowControl/>
              <w:jc w:val="left"/>
            </w:pPr>
            <w:r>
              <w:rPr>
                <w:b w:val="0"/>
                <w:sz w:val="17"/>
              </w:rPr>
              <w:t>+0.0000</w:t>
            </w:r>
          </w:p>
        </w:tc>
        <w:tc>
          <w:tcPr>
            <w:tcW w:type="dxa" w:w="2154"/>
            <w:vAlign w:val="center"/>
            <w:tcMar>
              <w:top w:w="65" w:type="dxa"/>
              <w:left w:w="65" w:type="dxa"/>
              <w:bottom w:w="65" w:type="dxa"/>
              <w:right w:w="65" w:type="dxa"/>
            </w:tcMar>
          </w:tcPr>
          <w:p>
            <w:pPr>
              <w:pStyle w:val="TableText"/>
              <w:keepNext w:val="0"/>
              <w:widowControl/>
              <w:jc w:val="left"/>
            </w:pPr>
            <w:r>
              <w:rPr>
                <w:b w:val="0"/>
                <w:sz w:val="17"/>
              </w:rPr>
              <w:t>[+0.0000, +0.0000]</w:t>
            </w:r>
          </w:p>
        </w:tc>
        <w:tc>
          <w:tcPr>
            <w:tcW w:type="dxa" w:w="1247"/>
            <w:vAlign w:val="center"/>
            <w:tcMar>
              <w:top w:w="65" w:type="dxa"/>
              <w:left w:w="65" w:type="dxa"/>
              <w:bottom w:w="65" w:type="dxa"/>
              <w:right w:w="65" w:type="dxa"/>
            </w:tcMar>
          </w:tcPr>
          <w:p>
            <w:pPr>
              <w:pStyle w:val="TableText"/>
              <w:keepNext w:val="0"/>
              <w:widowControl/>
              <w:jc w:val="left"/>
            </w:pPr>
            <w:r>
              <w:rPr>
                <w:b w:val="0"/>
                <w:sz w:val="17"/>
              </w:rPr>
              <w:t>1.0000</w:t>
            </w:r>
          </w:p>
        </w:tc>
      </w:tr>
      <w:tr>
        <w:trPr>
          <w:cantSplit/>
        </w:trPr>
        <w:tc>
          <w:tcPr>
            <w:tcW w:type="dxa" w:w="737"/>
            <w:vAlign w:val="center"/>
            <w:tcMar>
              <w:top w:w="65" w:type="dxa"/>
              <w:left w:w="65" w:type="dxa"/>
              <w:bottom w:w="65" w:type="dxa"/>
              <w:right w:w="65" w:type="dxa"/>
            </w:tcMar>
          </w:tcPr>
          <w:p>
            <w:pPr>
              <w:pStyle w:val="TableText"/>
              <w:keepNext w:val="0"/>
              <w:widowControl/>
              <w:jc w:val="left"/>
            </w:pPr>
            <w:r>
              <w:rPr>
                <w:b w:val="0"/>
                <w:sz w:val="17"/>
              </w:rPr>
              <w:t>GPT</w:t>
            </w:r>
          </w:p>
        </w:tc>
        <w:tc>
          <w:tcPr>
            <w:tcW w:type="dxa" w:w="1814"/>
            <w:vAlign w:val="center"/>
            <w:tcMar>
              <w:top w:w="65" w:type="dxa"/>
              <w:left w:w="65" w:type="dxa"/>
              <w:bottom w:w="65" w:type="dxa"/>
              <w:right w:w="65" w:type="dxa"/>
            </w:tcMar>
          </w:tcPr>
          <w:p>
            <w:pPr>
              <w:pStyle w:val="TableText"/>
              <w:keepNext w:val="0"/>
              <w:widowControl/>
              <w:jc w:val="left"/>
            </w:pPr>
            <w:r>
              <w:rPr>
                <w:b w:val="0"/>
                <w:sz w:val="17"/>
              </w:rPr>
              <w:t>C5−C4</w:t>
            </w:r>
          </w:p>
        </w:tc>
        <w:tc>
          <w:tcPr>
            <w:tcW w:type="dxa" w:w="737"/>
            <w:vAlign w:val="center"/>
            <w:tcMar>
              <w:top w:w="65" w:type="dxa"/>
              <w:left w:w="65" w:type="dxa"/>
              <w:bottom w:w="65" w:type="dxa"/>
              <w:right w:w="65" w:type="dxa"/>
            </w:tcMar>
          </w:tcPr>
          <w:p>
            <w:pPr>
              <w:pStyle w:val="TableText"/>
              <w:keepNext w:val="0"/>
              <w:widowControl/>
              <w:jc w:val="left"/>
            </w:pPr>
            <w:r>
              <w:rPr>
                <w:b w:val="0"/>
                <w:sz w:val="17"/>
              </w:rPr>
              <w:t>175</w:t>
            </w:r>
          </w:p>
        </w:tc>
        <w:tc>
          <w:tcPr>
            <w:tcW w:type="dxa" w:w="1247"/>
            <w:vAlign w:val="center"/>
            <w:tcMar>
              <w:top w:w="65" w:type="dxa"/>
              <w:left w:w="65" w:type="dxa"/>
              <w:bottom w:w="65" w:type="dxa"/>
              <w:right w:w="65" w:type="dxa"/>
            </w:tcMar>
          </w:tcPr>
          <w:p>
            <w:pPr>
              <w:pStyle w:val="TableText"/>
              <w:keepNext w:val="0"/>
              <w:widowControl/>
              <w:jc w:val="left"/>
            </w:pPr>
            <w:r>
              <w:rPr>
                <w:b w:val="0"/>
                <w:sz w:val="17"/>
              </w:rPr>
              <w:t>+0.1575</w:t>
            </w:r>
          </w:p>
        </w:tc>
        <w:tc>
          <w:tcPr>
            <w:tcW w:type="dxa" w:w="2154"/>
            <w:vAlign w:val="center"/>
            <w:tcMar>
              <w:top w:w="65" w:type="dxa"/>
              <w:left w:w="65" w:type="dxa"/>
              <w:bottom w:w="65" w:type="dxa"/>
              <w:right w:w="65" w:type="dxa"/>
            </w:tcMar>
          </w:tcPr>
          <w:p>
            <w:pPr>
              <w:pStyle w:val="TableText"/>
              <w:keepNext w:val="0"/>
              <w:widowControl/>
              <w:jc w:val="left"/>
            </w:pPr>
            <w:r>
              <w:rPr>
                <w:b w:val="0"/>
                <w:sz w:val="17"/>
              </w:rPr>
              <w:t>[+0.0052, +0.3125]</w:t>
            </w:r>
          </w:p>
        </w:tc>
        <w:tc>
          <w:tcPr>
            <w:tcW w:type="dxa" w:w="1247"/>
            <w:vAlign w:val="center"/>
            <w:tcMar>
              <w:top w:w="65" w:type="dxa"/>
              <w:left w:w="65" w:type="dxa"/>
              <w:bottom w:w="65" w:type="dxa"/>
              <w:right w:w="65" w:type="dxa"/>
            </w:tcMar>
          </w:tcPr>
          <w:p>
            <w:pPr>
              <w:pStyle w:val="TableText"/>
              <w:keepNext w:val="0"/>
              <w:widowControl/>
              <w:jc w:val="left"/>
            </w:pPr>
            <w:r>
              <w:rPr>
                <w:b w:val="0"/>
                <w:sz w:val="17"/>
              </w:rPr>
              <w:t>0.1704</w:t>
            </w:r>
          </w:p>
        </w:tc>
      </w:tr>
      <w:tr>
        <w:trPr>
          <w:cantSplit/>
        </w:trPr>
        <w:tc>
          <w:tcPr>
            <w:tcW w:type="dxa" w:w="737"/>
            <w:vAlign w:val="center"/>
            <w:tcMar>
              <w:top w:w="65" w:type="dxa"/>
              <w:left w:w="65" w:type="dxa"/>
              <w:bottom w:w="65" w:type="dxa"/>
              <w:right w:w="65" w:type="dxa"/>
            </w:tcMar>
          </w:tcPr>
          <w:p>
            <w:pPr>
              <w:pStyle w:val="TableText"/>
              <w:keepNext w:val="0"/>
              <w:widowControl/>
              <w:jc w:val="left"/>
            </w:pPr>
            <w:r>
              <w:rPr>
                <w:b w:val="0"/>
                <w:sz w:val="17"/>
              </w:rPr>
              <w:t>GPT</w:t>
            </w:r>
          </w:p>
        </w:tc>
        <w:tc>
          <w:tcPr>
            <w:tcW w:type="dxa" w:w="1814"/>
            <w:vAlign w:val="center"/>
            <w:tcMar>
              <w:top w:w="65" w:type="dxa"/>
              <w:left w:w="65" w:type="dxa"/>
              <w:bottom w:w="65" w:type="dxa"/>
              <w:right w:w="65" w:type="dxa"/>
            </w:tcMar>
          </w:tcPr>
          <w:p>
            <w:pPr>
              <w:pStyle w:val="TableText"/>
              <w:keepNext w:val="0"/>
              <w:widowControl/>
              <w:jc w:val="left"/>
            </w:pPr>
            <w:r>
              <w:rPr>
                <w:b w:val="0"/>
                <w:sz w:val="17"/>
              </w:rPr>
              <w:t>C6-E−C4R</w:t>
            </w:r>
          </w:p>
        </w:tc>
        <w:tc>
          <w:tcPr>
            <w:tcW w:type="dxa" w:w="737"/>
            <w:vAlign w:val="center"/>
            <w:tcMar>
              <w:top w:w="65" w:type="dxa"/>
              <w:left w:w="65" w:type="dxa"/>
              <w:bottom w:w="65" w:type="dxa"/>
              <w:right w:w="65" w:type="dxa"/>
            </w:tcMar>
          </w:tcPr>
          <w:p>
            <w:pPr>
              <w:pStyle w:val="TableText"/>
              <w:keepNext w:val="0"/>
              <w:widowControl/>
              <w:jc w:val="left"/>
            </w:pPr>
            <w:r>
              <w:rPr>
                <w:b w:val="0"/>
                <w:sz w:val="17"/>
              </w:rPr>
              <w:t>235</w:t>
            </w:r>
          </w:p>
        </w:tc>
        <w:tc>
          <w:tcPr>
            <w:tcW w:type="dxa" w:w="1247"/>
            <w:vAlign w:val="center"/>
            <w:tcMar>
              <w:top w:w="65" w:type="dxa"/>
              <w:left w:w="65" w:type="dxa"/>
              <w:bottom w:w="65" w:type="dxa"/>
              <w:right w:w="65" w:type="dxa"/>
            </w:tcMar>
          </w:tcPr>
          <w:p>
            <w:pPr>
              <w:pStyle w:val="TableText"/>
              <w:keepNext w:val="0"/>
              <w:widowControl/>
              <w:jc w:val="left"/>
            </w:pPr>
            <w:r>
              <w:rPr>
                <w:b w:val="0"/>
                <w:sz w:val="17"/>
              </w:rPr>
              <w:t>+0.1918</w:t>
            </w:r>
          </w:p>
        </w:tc>
        <w:tc>
          <w:tcPr>
            <w:tcW w:type="dxa" w:w="2154"/>
            <w:vAlign w:val="center"/>
            <w:tcMar>
              <w:top w:w="65" w:type="dxa"/>
              <w:left w:w="65" w:type="dxa"/>
              <w:bottom w:w="65" w:type="dxa"/>
              <w:right w:w="65" w:type="dxa"/>
            </w:tcMar>
          </w:tcPr>
          <w:p>
            <w:pPr>
              <w:pStyle w:val="TableText"/>
              <w:keepNext w:val="0"/>
              <w:widowControl/>
              <w:jc w:val="left"/>
            </w:pPr>
            <w:r>
              <w:rPr>
                <w:b w:val="0"/>
                <w:sz w:val="17"/>
              </w:rPr>
              <w:t>[+0.0764, +0.3216]</w:t>
            </w:r>
          </w:p>
        </w:tc>
        <w:tc>
          <w:tcPr>
            <w:tcW w:type="dxa" w:w="1247"/>
            <w:vAlign w:val="center"/>
            <w:tcMar>
              <w:top w:w="65" w:type="dxa"/>
              <w:left w:w="65" w:type="dxa"/>
              <w:bottom w:w="65" w:type="dxa"/>
              <w:right w:w="65" w:type="dxa"/>
            </w:tcMar>
          </w:tcPr>
          <w:p>
            <w:pPr>
              <w:pStyle w:val="TableText"/>
              <w:keepNext w:val="0"/>
              <w:widowControl/>
              <w:jc w:val="left"/>
            </w:pPr>
            <w:r>
              <w:rPr>
                <w:b w:val="0"/>
                <w:sz w:val="17"/>
              </w:rPr>
              <w:t>0.0070</w:t>
            </w:r>
          </w:p>
        </w:tc>
      </w:tr>
      <w:tr>
        <w:trPr>
          <w:cantSplit/>
        </w:trPr>
        <w:tc>
          <w:tcPr>
            <w:tcW w:type="dxa" w:w="737"/>
            <w:vAlign w:val="center"/>
            <w:tcMar>
              <w:top w:w="65" w:type="dxa"/>
              <w:left w:w="65" w:type="dxa"/>
              <w:bottom w:w="65" w:type="dxa"/>
              <w:right w:w="65" w:type="dxa"/>
            </w:tcMar>
          </w:tcPr>
          <w:p>
            <w:pPr>
              <w:pStyle w:val="TableText"/>
              <w:keepNext w:val="0"/>
              <w:widowControl/>
              <w:jc w:val="left"/>
            </w:pPr>
            <w:r>
              <w:rPr>
                <w:b w:val="0"/>
                <w:sz w:val="17"/>
              </w:rPr>
              <w:t>GPT</w:t>
            </w:r>
          </w:p>
        </w:tc>
        <w:tc>
          <w:tcPr>
            <w:tcW w:type="dxa" w:w="1814"/>
            <w:vAlign w:val="center"/>
            <w:tcMar>
              <w:top w:w="65" w:type="dxa"/>
              <w:left w:w="65" w:type="dxa"/>
              <w:bottom w:w="65" w:type="dxa"/>
              <w:right w:w="65" w:type="dxa"/>
            </w:tcMar>
          </w:tcPr>
          <w:p>
            <w:pPr>
              <w:pStyle w:val="TableText"/>
              <w:keepNext w:val="0"/>
              <w:widowControl/>
              <w:jc w:val="left"/>
            </w:pPr>
            <w:r>
              <w:rPr>
                <w:b w:val="0"/>
                <w:sz w:val="17"/>
              </w:rPr>
              <w:t>C6-E−C6-EX</w:t>
            </w:r>
          </w:p>
        </w:tc>
        <w:tc>
          <w:tcPr>
            <w:tcW w:type="dxa" w:w="737"/>
            <w:vAlign w:val="center"/>
            <w:tcMar>
              <w:top w:w="65" w:type="dxa"/>
              <w:left w:w="65" w:type="dxa"/>
              <w:bottom w:w="65" w:type="dxa"/>
              <w:right w:w="65" w:type="dxa"/>
            </w:tcMar>
          </w:tcPr>
          <w:p>
            <w:pPr>
              <w:pStyle w:val="TableText"/>
              <w:keepNext w:val="0"/>
              <w:widowControl/>
              <w:jc w:val="left"/>
            </w:pPr>
            <w:r>
              <w:rPr>
                <w:b w:val="0"/>
                <w:sz w:val="17"/>
              </w:rPr>
              <w:t>193</w:t>
            </w:r>
          </w:p>
        </w:tc>
        <w:tc>
          <w:tcPr>
            <w:tcW w:type="dxa" w:w="1247"/>
            <w:vAlign w:val="center"/>
            <w:tcMar>
              <w:top w:w="65" w:type="dxa"/>
              <w:left w:w="65" w:type="dxa"/>
              <w:bottom w:w="65" w:type="dxa"/>
              <w:right w:w="65" w:type="dxa"/>
            </w:tcMar>
          </w:tcPr>
          <w:p>
            <w:pPr>
              <w:pStyle w:val="TableText"/>
              <w:keepNext w:val="0"/>
              <w:widowControl/>
              <w:jc w:val="left"/>
            </w:pPr>
            <w:r>
              <w:rPr>
                <w:b w:val="0"/>
                <w:sz w:val="17"/>
              </w:rPr>
              <w:t>+0.2265</w:t>
            </w:r>
          </w:p>
        </w:tc>
        <w:tc>
          <w:tcPr>
            <w:tcW w:type="dxa" w:w="2154"/>
            <w:vAlign w:val="center"/>
            <w:tcMar>
              <w:top w:w="65" w:type="dxa"/>
              <w:left w:w="65" w:type="dxa"/>
              <w:bottom w:w="65" w:type="dxa"/>
              <w:right w:w="65" w:type="dxa"/>
            </w:tcMar>
          </w:tcPr>
          <w:p>
            <w:pPr>
              <w:pStyle w:val="TableText"/>
              <w:keepNext w:val="0"/>
              <w:widowControl/>
              <w:jc w:val="left"/>
            </w:pPr>
            <w:r>
              <w:rPr>
                <w:b w:val="0"/>
                <w:sz w:val="17"/>
              </w:rPr>
              <w:t>[+0.0659, +0.4004]</w:t>
            </w:r>
          </w:p>
        </w:tc>
        <w:tc>
          <w:tcPr>
            <w:tcW w:type="dxa" w:w="1247"/>
            <w:vAlign w:val="center"/>
            <w:tcMar>
              <w:top w:w="65" w:type="dxa"/>
              <w:left w:w="65" w:type="dxa"/>
              <w:bottom w:w="65" w:type="dxa"/>
              <w:right w:w="65" w:type="dxa"/>
            </w:tcMar>
          </w:tcPr>
          <w:p>
            <w:pPr>
              <w:pStyle w:val="TableText"/>
              <w:keepNext w:val="0"/>
              <w:widowControl/>
              <w:jc w:val="left"/>
            </w:pPr>
            <w:r>
              <w:rPr>
                <w:b w:val="0"/>
                <w:sz w:val="17"/>
              </w:rPr>
              <w:t>0.0330</w:t>
            </w:r>
          </w:p>
        </w:tc>
      </w:tr>
    </w:tbl>
    <w:p>
      <w:pPr>
        <w:pStyle w:val="SourceNote"/>
        <w:widowControl/>
      </w:pPr>
      <w:r>
        <w:t>자료: 각 대비의 두 조건 모두에서 strict usable인 동일 기업만 사용. 서로 다른 대비의 PP N은 다르므로 그 평균차이를 임의로 합산하지 않는다. Repaired usable로 N을 확대하지 않았다.</w:t>
      </w:r>
    </w:p>
    <w:p>
      <w:pPr>
        <w:widowControl/>
      </w:pPr>
      <w:r>
        <w:t>Baseline B1에서 Gemini의 PP N은 대비에 따라 39~51개로 매우 작다. 전체 575개의 평균과 이 집합의 평균은 같은 질문에 답하지 않는다. GPT의 C4R−C4는 246개 공통 수용기업에서 α 차이가 모두 0이었다. 이 결과와 전체 ITT +0.010520를 함께 보면, 실제 실행에서 자기 재검토의 평균상 이득이 정상 초안의 점수변화만으로 만들어진 것이 아님을 알 수 있다.</w:t>
      </w:r>
    </w:p>
    <w:p>
      <w:pPr>
        <w:widowControl/>
      </w:pPr>
      <w:r>
        <w:t>GPT의 다른 PP 대비는 양의 차이를 보이기도 하지만, PP의 선택과 표본 크기를 고려해야 한다. 수용률이 다른 정책에서 서로 다른 기업을 남겨 계산한 값을 비교해 ‘순수한 판단능력’을 추정했다고 부르지 않는다. 원래 strict usable의 점수가 Repair로 바뀌지 않았기 때문에 같은 strict 교집합을 적용한 repaired PP는 새로운 표본이나 별개의 복구성과가 아니다.</w:t>
      </w:r>
    </w:p>
    <w:p>
      <w:bookmarkStart w:id="164" w:name="head_113"/>
      <w:pPr>
        <w:pStyle w:val="3"/>
        <w:widowControl/>
      </w:pPr>
      <w:r>
        <w:t>6.6.2 계획서와 pre-live 분기명세의 차이</w:t>
      </w:r>
      <w:bookmarkEnd w:id="164"/>
    </w:p>
    <w:p>
      <w:pPr>
        <w:widowControl/>
      </w:pPr>
      <w:r>
        <w:t>부모 C4가 불용이어도 후속 원문이 생성된 사례는 실제 실행자료에서 확인된다. Baseline의 전체 후속 요청 13,800건 가운데 strict unusable C4에서 시작한 후속 요청은 4,839건이며, 그중 1,413건은 후속 행동이 strict usable이었다. 이는 단순히 ‘최종 응답의 parser만 엄격했다’는 설명으로는 드러나지 않는 호출 구조의 특성이다.</w:t>
      </w:r>
    </w:p>
    <w:p>
      <w:pPr>
        <w:widowControl/>
      </w:pPr>
      <w:r>
        <w:t>여기에는 실행 전 문서증거가 존재한다. pre-live prompt_contract는 비어 있지 않은 원문을 후속 초안으로 사용할 수 있다고 명시하고, 해당 파일은 live 이전 패키지의 해시에 연결된다. 따라서 이 현상을 실행 후 성과를 높이기 위해 새로 만든 규칙으로 단정할 수 없다. 문제는 usable-parent 생략 규칙이 적힌 계획서와 raw-draft 규칙이 적힌 실행명세의 불일치 및 공식 우선순위 기록의 미완결이다.</w:t>
      </w:r>
    </w:p>
    <w:p>
      <w:pPr>
        <w:widowControl/>
      </w:pPr>
      <w:r>
        <w:t>본 논문은 실제 생성된 후속 응답을 삭제하지 않는다. 실제 raw-draft 정책을 평가하고, 계획서 게이트의 영향을 보기 위해 불용 부모의 후속 결과만 A0로 치환하는 별도 오프라인 분석을 제시한다. C5는 부모가 없는 첫 생성이므로 이 게이트의 직접 대상이 아니다.</w:t>
      </w:r>
    </w:p>
    <w:p>
      <w:bookmarkStart w:id="165" w:name="cap_52"/>
      <w:pPr>
        <w:pStyle w:val="af"/>
        <w:widowControl/>
      </w:pPr>
      <w:r>
        <w:t>표 6-15. B1의 부모 수용 게이트 민감도</w:t>
      </w:r>
      <w:bookmarkEnd w:id="165"/>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1077"/>
        <w:gridCol w:w="737"/>
        <w:gridCol w:w="1871"/>
        <w:gridCol w:w="1417"/>
        <w:gridCol w:w="1417"/>
        <w:gridCol w:w="1417"/>
      </w:tblGrid>
      <w:tr>
        <w:trPr>
          <w:cantSplit/>
          <w:tblHeader/>
        </w:trPr>
        <w:tc>
          <w:tcPr>
            <w:tcW w:type="dxa" w:w="1077"/>
            <w:vAlign w:val="center"/>
            <w:shd w:fill="F1F1F1"/>
            <w:tcMar>
              <w:top w:w="65" w:type="dxa"/>
              <w:left w:w="65" w:type="dxa"/>
              <w:bottom w:w="65" w:type="dxa"/>
              <w:right w:w="65" w:type="dxa"/>
            </w:tcMar>
          </w:tcPr>
          <w:p>
            <w:pPr>
              <w:pStyle w:val="TableText"/>
              <w:keepNext/>
              <w:widowControl/>
              <w:jc w:val="center"/>
            </w:pPr>
            <w:r>
              <w:rPr>
                <w:b/>
                <w:sz w:val="17"/>
              </w:rPr>
              <w:t>Regime</w:t>
            </w:r>
          </w:p>
        </w:tc>
        <w:tc>
          <w:tcPr>
            <w:tcW w:type="dxa" w:w="737"/>
            <w:vAlign w:val="center"/>
            <w:shd w:fill="F1F1F1"/>
            <w:tcMar>
              <w:top w:w="65" w:type="dxa"/>
              <w:left w:w="65" w:type="dxa"/>
              <w:bottom w:w="65" w:type="dxa"/>
              <w:right w:w="65" w:type="dxa"/>
            </w:tcMar>
          </w:tcPr>
          <w:p>
            <w:pPr>
              <w:pStyle w:val="TableText"/>
              <w:keepNext/>
              <w:widowControl/>
              <w:jc w:val="center"/>
            </w:pPr>
            <w:r>
              <w:rPr>
                <w:b/>
                <w:sz w:val="17"/>
              </w:rPr>
              <w:t>모델</w:t>
            </w:r>
          </w:p>
        </w:tc>
        <w:tc>
          <w:tcPr>
            <w:tcW w:type="dxa" w:w="1871"/>
            <w:vAlign w:val="center"/>
            <w:shd w:fill="F1F1F1"/>
            <w:tcMar>
              <w:top w:w="65" w:type="dxa"/>
              <w:left w:w="65" w:type="dxa"/>
              <w:bottom w:w="65" w:type="dxa"/>
              <w:right w:w="65" w:type="dxa"/>
            </w:tcMar>
          </w:tcPr>
          <w:p>
            <w:pPr>
              <w:pStyle w:val="TableText"/>
              <w:keepNext/>
              <w:widowControl/>
              <w:jc w:val="center"/>
            </w:pPr>
            <w:r>
              <w:rPr>
                <w:b/>
                <w:sz w:val="17"/>
              </w:rPr>
              <w:t>대비</w:t>
            </w:r>
          </w:p>
        </w:tc>
        <w:tc>
          <w:tcPr>
            <w:tcW w:type="dxa" w:w="1417"/>
            <w:vAlign w:val="center"/>
            <w:shd w:fill="F1F1F1"/>
            <w:tcMar>
              <w:top w:w="65" w:type="dxa"/>
              <w:left w:w="65" w:type="dxa"/>
              <w:bottom w:w="65" w:type="dxa"/>
              <w:right w:w="65" w:type="dxa"/>
            </w:tcMar>
          </w:tcPr>
          <w:p>
            <w:pPr>
              <w:pStyle w:val="TableText"/>
              <w:keepNext/>
              <w:widowControl/>
              <w:jc w:val="center"/>
            </w:pPr>
            <w:r>
              <w:rPr>
                <w:b/>
                <w:sz w:val="17"/>
              </w:rPr>
              <w:t>실제 실행</w:t>
            </w:r>
          </w:p>
        </w:tc>
        <w:tc>
          <w:tcPr>
            <w:tcW w:type="dxa" w:w="1417"/>
            <w:vAlign w:val="center"/>
            <w:shd w:fill="F1F1F1"/>
            <w:tcMar>
              <w:top w:w="65" w:type="dxa"/>
              <w:left w:w="65" w:type="dxa"/>
              <w:bottom w:w="65" w:type="dxa"/>
              <w:right w:w="65" w:type="dxa"/>
            </w:tcMar>
          </w:tcPr>
          <w:p>
            <w:pPr>
              <w:pStyle w:val="TableText"/>
              <w:keepNext/>
              <w:widowControl/>
              <w:jc w:val="center"/>
            </w:pPr>
            <w:r>
              <w:rPr>
                <w:b/>
                <w:sz w:val="17"/>
              </w:rPr>
              <w:t>게이트 적용</w:t>
            </w:r>
          </w:p>
        </w:tc>
        <w:tc>
          <w:tcPr>
            <w:tcW w:type="dxa" w:w="1417"/>
            <w:vAlign w:val="center"/>
            <w:shd w:fill="F1F1F1"/>
            <w:tcMar>
              <w:top w:w="65" w:type="dxa"/>
              <w:left w:w="65" w:type="dxa"/>
              <w:bottom w:w="65" w:type="dxa"/>
              <w:right w:w="65" w:type="dxa"/>
            </w:tcMar>
          </w:tcPr>
          <w:p>
            <w:pPr>
              <w:pStyle w:val="TableText"/>
              <w:keepNext/>
              <w:widowControl/>
              <w:jc w:val="center"/>
            </w:pPr>
            <w:r>
              <w:rPr>
                <w:b/>
                <w:sz w:val="17"/>
              </w:rPr>
              <w:t>부모 불용 N</w:t>
            </w:r>
          </w:p>
        </w:tc>
      </w:tr>
      <w:tr>
        <w:trPr>
          <w:cantSplit/>
        </w:trPr>
        <w:tc>
          <w:tcPr>
            <w:tcW w:type="dxa" w:w="1077"/>
            <w:vAlign w:val="center"/>
            <w:tcMar>
              <w:top w:w="65" w:type="dxa"/>
              <w:left w:w="65" w:type="dxa"/>
              <w:bottom w:w="65" w:type="dxa"/>
              <w:right w:w="65" w:type="dxa"/>
            </w:tcMar>
          </w:tcPr>
          <w:p>
            <w:pPr>
              <w:pStyle w:val="TableText"/>
              <w:keepNext/>
              <w:widowControl/>
              <w:jc w:val="left"/>
            </w:pPr>
            <w:r>
              <w:rPr>
                <w:b w:val="0"/>
                <w:sz w:val="17"/>
              </w:rPr>
              <w:t>Baseline</w:t>
            </w:r>
          </w:p>
        </w:tc>
        <w:tc>
          <w:tcPr>
            <w:tcW w:type="dxa" w:w="737"/>
            <w:vAlign w:val="center"/>
            <w:tcMar>
              <w:top w:w="65" w:type="dxa"/>
              <w:left w:w="65" w:type="dxa"/>
              <w:bottom w:w="65" w:type="dxa"/>
              <w:right w:w="65" w:type="dxa"/>
            </w:tcMar>
          </w:tcPr>
          <w:p>
            <w:pPr>
              <w:pStyle w:val="TableText"/>
              <w:keepNext/>
              <w:widowControl/>
              <w:jc w:val="left"/>
            </w:pPr>
            <w:r>
              <w:rPr>
                <w:b w:val="0"/>
                <w:sz w:val="17"/>
              </w:rPr>
              <w:t>Gemini</w:t>
            </w:r>
          </w:p>
        </w:tc>
        <w:tc>
          <w:tcPr>
            <w:tcW w:type="dxa" w:w="1871"/>
            <w:vAlign w:val="center"/>
            <w:tcMar>
              <w:top w:w="65" w:type="dxa"/>
              <w:left w:w="65" w:type="dxa"/>
              <w:bottom w:w="65" w:type="dxa"/>
              <w:right w:w="65" w:type="dxa"/>
            </w:tcMar>
          </w:tcPr>
          <w:p>
            <w:pPr>
              <w:pStyle w:val="TableText"/>
              <w:keepNext/>
              <w:widowControl/>
              <w:jc w:val="left"/>
            </w:pPr>
            <w:r>
              <w:rPr>
                <w:b w:val="0"/>
                <w:sz w:val="17"/>
              </w:rPr>
              <w:t>C4R−C4</w:t>
            </w:r>
          </w:p>
        </w:tc>
        <w:tc>
          <w:tcPr>
            <w:tcW w:type="dxa" w:w="1417"/>
            <w:vAlign w:val="center"/>
            <w:tcMar>
              <w:top w:w="65" w:type="dxa"/>
              <w:left w:w="65" w:type="dxa"/>
              <w:bottom w:w="65" w:type="dxa"/>
              <w:right w:w="65" w:type="dxa"/>
            </w:tcMar>
          </w:tcPr>
          <w:p>
            <w:pPr>
              <w:pStyle w:val="TableText"/>
              <w:keepNext/>
              <w:widowControl/>
              <w:jc w:val="left"/>
            </w:pPr>
            <w:r>
              <w:rPr>
                <w:b w:val="0"/>
                <w:sz w:val="17"/>
              </w:rPr>
              <w:t>-0.0023</w:t>
            </w:r>
          </w:p>
        </w:tc>
        <w:tc>
          <w:tcPr>
            <w:tcW w:type="dxa" w:w="1417"/>
            <w:vAlign w:val="center"/>
            <w:tcMar>
              <w:top w:w="65" w:type="dxa"/>
              <w:left w:w="65" w:type="dxa"/>
              <w:bottom w:w="65" w:type="dxa"/>
              <w:right w:w="65" w:type="dxa"/>
            </w:tcMar>
          </w:tcPr>
          <w:p>
            <w:pPr>
              <w:pStyle w:val="TableText"/>
              <w:keepNext/>
              <w:widowControl/>
              <w:jc w:val="left"/>
            </w:pPr>
            <w:r>
              <w:rPr>
                <w:b w:val="0"/>
                <w:sz w:val="17"/>
              </w:rPr>
              <w:t>-0.0615</w:t>
            </w:r>
          </w:p>
        </w:tc>
        <w:tc>
          <w:tcPr>
            <w:tcW w:type="dxa" w:w="1417"/>
            <w:vAlign w:val="center"/>
            <w:tcMar>
              <w:top w:w="65" w:type="dxa"/>
              <w:left w:w="65" w:type="dxa"/>
              <w:bottom w:w="65" w:type="dxa"/>
              <w:right w:w="65" w:type="dxa"/>
            </w:tcMar>
          </w:tcPr>
          <w:p>
            <w:pPr>
              <w:pStyle w:val="TableText"/>
              <w:keepNext/>
              <w:widowControl/>
              <w:jc w:val="left"/>
            </w:pPr>
            <w:r>
              <w:rPr>
                <w:b w:val="0"/>
                <w:sz w:val="17"/>
              </w:rPr>
              <w:t>487</w:t>
            </w:r>
          </w:p>
        </w:tc>
      </w:tr>
      <w:tr>
        <w:trPr>
          <w:cantSplit/>
        </w:trPr>
        <w:tc>
          <w:tcPr>
            <w:tcW w:type="dxa" w:w="1077"/>
            <w:vAlign w:val="center"/>
            <w:tcMar>
              <w:top w:w="65" w:type="dxa"/>
              <w:left w:w="65" w:type="dxa"/>
              <w:bottom w:w="65" w:type="dxa"/>
              <w:right w:w="65" w:type="dxa"/>
            </w:tcMar>
          </w:tcPr>
          <w:p>
            <w:pPr>
              <w:pStyle w:val="TableText"/>
              <w:keepNext w:val="0"/>
              <w:widowControl/>
              <w:jc w:val="left"/>
            </w:pPr>
            <w:r>
              <w:rPr>
                <w:b w:val="0"/>
                <w:sz w:val="17"/>
              </w:rPr>
              <w:t>Baseline</w:t>
            </w:r>
          </w:p>
        </w:tc>
        <w:tc>
          <w:tcPr>
            <w:tcW w:type="dxa" w:w="737"/>
            <w:vAlign w:val="center"/>
            <w:tcMar>
              <w:top w:w="65" w:type="dxa"/>
              <w:left w:w="65" w:type="dxa"/>
              <w:bottom w:w="65" w:type="dxa"/>
              <w:right w:w="65" w:type="dxa"/>
            </w:tcMar>
          </w:tcPr>
          <w:p>
            <w:pPr>
              <w:pStyle w:val="TableText"/>
              <w:keepNext w:val="0"/>
              <w:widowControl/>
              <w:jc w:val="left"/>
            </w:pPr>
            <w:r>
              <w:rPr>
                <w:b w:val="0"/>
                <w:sz w:val="17"/>
              </w:rPr>
              <w:t>Gemini</w:t>
            </w:r>
          </w:p>
        </w:tc>
        <w:tc>
          <w:tcPr>
            <w:tcW w:type="dxa" w:w="1871"/>
            <w:vAlign w:val="center"/>
            <w:tcMar>
              <w:top w:w="65" w:type="dxa"/>
              <w:left w:w="65" w:type="dxa"/>
              <w:bottom w:w="65" w:type="dxa"/>
              <w:right w:w="65" w:type="dxa"/>
            </w:tcMar>
          </w:tcPr>
          <w:p>
            <w:pPr>
              <w:pStyle w:val="TableText"/>
              <w:keepNext w:val="0"/>
              <w:widowControl/>
              <w:jc w:val="left"/>
            </w:pPr>
            <w:r>
              <w:rPr>
                <w:b w:val="0"/>
                <w:sz w:val="17"/>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7"/>
              </w:rPr>
              <w:t>+0.0220</w:t>
            </w:r>
          </w:p>
        </w:tc>
        <w:tc>
          <w:tcPr>
            <w:tcW w:type="dxa" w:w="1417"/>
            <w:vAlign w:val="center"/>
            <w:tcMar>
              <w:top w:w="65" w:type="dxa"/>
              <w:left w:w="65" w:type="dxa"/>
              <w:bottom w:w="65" w:type="dxa"/>
              <w:right w:w="65" w:type="dxa"/>
            </w:tcMar>
          </w:tcPr>
          <w:p>
            <w:pPr>
              <w:pStyle w:val="TableText"/>
              <w:keepNext w:val="0"/>
              <w:widowControl/>
              <w:jc w:val="left"/>
            </w:pPr>
            <w:r>
              <w:rPr>
                <w:b w:val="0"/>
                <w:sz w:val="17"/>
              </w:rPr>
              <w:t>+0.0204</w:t>
            </w:r>
          </w:p>
        </w:tc>
        <w:tc>
          <w:tcPr>
            <w:tcW w:type="dxa" w:w="1417"/>
            <w:vAlign w:val="center"/>
            <w:tcMar>
              <w:top w:w="65" w:type="dxa"/>
              <w:left w:w="65" w:type="dxa"/>
              <w:bottom w:w="65" w:type="dxa"/>
              <w:right w:w="65" w:type="dxa"/>
            </w:tcMar>
          </w:tcPr>
          <w:p>
            <w:pPr>
              <w:pStyle w:val="TableText"/>
              <w:keepNext w:val="0"/>
              <w:widowControl/>
              <w:jc w:val="left"/>
            </w:pPr>
            <w:r>
              <w:rPr>
                <w:b w:val="0"/>
                <w:sz w:val="17"/>
              </w:rPr>
              <w:t>487</w:t>
            </w:r>
          </w:p>
        </w:tc>
      </w:tr>
      <w:tr>
        <w:trPr>
          <w:cantSplit/>
        </w:trPr>
        <w:tc>
          <w:tcPr>
            <w:tcW w:type="dxa" w:w="1077"/>
            <w:vAlign w:val="center"/>
            <w:tcMar>
              <w:top w:w="65" w:type="dxa"/>
              <w:left w:w="65" w:type="dxa"/>
              <w:bottom w:w="65" w:type="dxa"/>
              <w:right w:w="65" w:type="dxa"/>
            </w:tcMar>
          </w:tcPr>
          <w:p>
            <w:pPr>
              <w:pStyle w:val="TableText"/>
              <w:keepNext w:val="0"/>
              <w:widowControl/>
              <w:jc w:val="left"/>
            </w:pPr>
            <w:r>
              <w:rPr>
                <w:b w:val="0"/>
                <w:sz w:val="17"/>
              </w:rPr>
              <w:t>Baseline</w:t>
            </w:r>
          </w:p>
        </w:tc>
        <w:tc>
          <w:tcPr>
            <w:tcW w:type="dxa" w:w="737"/>
            <w:vAlign w:val="center"/>
            <w:tcMar>
              <w:top w:w="65" w:type="dxa"/>
              <w:left w:w="65" w:type="dxa"/>
              <w:bottom w:w="65" w:type="dxa"/>
              <w:right w:w="65" w:type="dxa"/>
            </w:tcMar>
          </w:tcPr>
          <w:p>
            <w:pPr>
              <w:pStyle w:val="TableText"/>
              <w:keepNext w:val="0"/>
              <w:widowControl/>
              <w:jc w:val="left"/>
            </w:pPr>
            <w:r>
              <w:rPr>
                <w:b w:val="0"/>
                <w:sz w:val="17"/>
              </w:rPr>
              <w:t>Gemini</w:t>
            </w:r>
          </w:p>
        </w:tc>
        <w:tc>
          <w:tcPr>
            <w:tcW w:type="dxa" w:w="1871"/>
            <w:vAlign w:val="center"/>
            <w:tcMar>
              <w:top w:w="65" w:type="dxa"/>
              <w:left w:w="65" w:type="dxa"/>
              <w:bottom w:w="65" w:type="dxa"/>
              <w:right w:w="65" w:type="dxa"/>
            </w:tcMar>
          </w:tcPr>
          <w:p>
            <w:pPr>
              <w:pStyle w:val="TableText"/>
              <w:keepNext w:val="0"/>
              <w:widowControl/>
              <w:jc w:val="left"/>
            </w:pPr>
            <w:r>
              <w:rPr>
                <w:b w:val="0"/>
                <w:sz w:val="17"/>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7"/>
              </w:rPr>
              <w:t>+0.0452</w:t>
            </w:r>
          </w:p>
        </w:tc>
        <w:tc>
          <w:tcPr>
            <w:tcW w:type="dxa" w:w="1417"/>
            <w:vAlign w:val="center"/>
            <w:tcMar>
              <w:top w:w="65" w:type="dxa"/>
              <w:left w:w="65" w:type="dxa"/>
              <w:bottom w:w="65" w:type="dxa"/>
              <w:right w:w="65" w:type="dxa"/>
            </w:tcMar>
          </w:tcPr>
          <w:p>
            <w:pPr>
              <w:pStyle w:val="TableText"/>
              <w:keepNext w:val="0"/>
              <w:widowControl/>
              <w:jc w:val="left"/>
            </w:pPr>
            <w:r>
              <w:rPr>
                <w:b w:val="0"/>
                <w:sz w:val="17"/>
              </w:rPr>
              <w:t>+0.0386</w:t>
            </w:r>
          </w:p>
        </w:tc>
        <w:tc>
          <w:tcPr>
            <w:tcW w:type="dxa" w:w="1417"/>
            <w:vAlign w:val="center"/>
            <w:tcMar>
              <w:top w:w="65" w:type="dxa"/>
              <w:left w:w="65" w:type="dxa"/>
              <w:bottom w:w="65" w:type="dxa"/>
              <w:right w:w="65" w:type="dxa"/>
            </w:tcMar>
          </w:tcPr>
          <w:p>
            <w:pPr>
              <w:pStyle w:val="TableText"/>
              <w:keepNext w:val="0"/>
              <w:widowControl/>
              <w:jc w:val="left"/>
            </w:pPr>
            <w:r>
              <w:rPr>
                <w:b w:val="0"/>
                <w:sz w:val="17"/>
              </w:rPr>
              <w:t>487</w:t>
            </w:r>
          </w:p>
        </w:tc>
      </w:tr>
      <w:tr>
        <w:trPr>
          <w:cantSplit/>
        </w:trPr>
        <w:tc>
          <w:tcPr>
            <w:tcW w:type="dxa" w:w="1077"/>
            <w:vAlign w:val="center"/>
            <w:tcMar>
              <w:top w:w="65" w:type="dxa"/>
              <w:left w:w="65" w:type="dxa"/>
              <w:bottom w:w="65" w:type="dxa"/>
              <w:right w:w="65" w:type="dxa"/>
            </w:tcMar>
          </w:tcPr>
          <w:p>
            <w:pPr>
              <w:pStyle w:val="TableText"/>
              <w:keepNext w:val="0"/>
              <w:widowControl/>
              <w:jc w:val="left"/>
            </w:pPr>
            <w:r>
              <w:rPr>
                <w:b w:val="0"/>
                <w:sz w:val="17"/>
              </w:rPr>
              <w:t>Baseline</w:t>
            </w:r>
          </w:p>
        </w:tc>
        <w:tc>
          <w:tcPr>
            <w:tcW w:type="dxa" w:w="737"/>
            <w:vAlign w:val="center"/>
            <w:tcMar>
              <w:top w:w="65" w:type="dxa"/>
              <w:left w:w="65" w:type="dxa"/>
              <w:bottom w:w="65" w:type="dxa"/>
              <w:right w:w="65" w:type="dxa"/>
            </w:tcMar>
          </w:tcPr>
          <w:p>
            <w:pPr>
              <w:pStyle w:val="TableText"/>
              <w:keepNext w:val="0"/>
              <w:widowControl/>
              <w:jc w:val="left"/>
            </w:pPr>
            <w:r>
              <w:rPr>
                <w:b w:val="0"/>
                <w:sz w:val="17"/>
              </w:rPr>
              <w:t>GPT</w:t>
            </w:r>
          </w:p>
        </w:tc>
        <w:tc>
          <w:tcPr>
            <w:tcW w:type="dxa" w:w="1871"/>
            <w:vAlign w:val="center"/>
            <w:tcMar>
              <w:top w:w="65" w:type="dxa"/>
              <w:left w:w="65" w:type="dxa"/>
              <w:bottom w:w="65" w:type="dxa"/>
              <w:right w:w="65" w:type="dxa"/>
            </w:tcMar>
          </w:tcPr>
          <w:p>
            <w:pPr>
              <w:pStyle w:val="TableText"/>
              <w:keepNext w:val="0"/>
              <w:widowControl/>
              <w:jc w:val="left"/>
            </w:pPr>
            <w:r>
              <w:rPr>
                <w:b w:val="0"/>
                <w:sz w:val="17"/>
              </w:rPr>
              <w:t>C4R−C4</w:t>
            </w:r>
          </w:p>
        </w:tc>
        <w:tc>
          <w:tcPr>
            <w:tcW w:type="dxa" w:w="1417"/>
            <w:vAlign w:val="center"/>
            <w:tcMar>
              <w:top w:w="65" w:type="dxa"/>
              <w:left w:w="65" w:type="dxa"/>
              <w:bottom w:w="65" w:type="dxa"/>
              <w:right w:w="65" w:type="dxa"/>
            </w:tcMar>
          </w:tcPr>
          <w:p>
            <w:pPr>
              <w:pStyle w:val="TableText"/>
              <w:keepNext w:val="0"/>
              <w:widowControl/>
              <w:jc w:val="left"/>
            </w:pPr>
            <w:r>
              <w:rPr>
                <w:b w:val="0"/>
                <w:sz w:val="17"/>
              </w:rPr>
              <w:t>+0.1693</w:t>
            </w:r>
          </w:p>
        </w:tc>
        <w:tc>
          <w:tcPr>
            <w:tcW w:type="dxa" w:w="1417"/>
            <w:vAlign w:val="center"/>
            <w:tcMar>
              <w:top w:w="65" w:type="dxa"/>
              <w:left w:w="65" w:type="dxa"/>
              <w:bottom w:w="65" w:type="dxa"/>
              <w:right w:w="65" w:type="dxa"/>
            </w:tcMar>
          </w:tcPr>
          <w:p>
            <w:pPr>
              <w:pStyle w:val="TableText"/>
              <w:keepNext w:val="0"/>
              <w:widowControl/>
              <w:jc w:val="left"/>
            </w:pPr>
            <w:r>
              <w:rPr>
                <w:b w:val="0"/>
                <w:sz w:val="17"/>
              </w:rPr>
              <w:t>-0.0018</w:t>
            </w:r>
          </w:p>
        </w:tc>
        <w:tc>
          <w:tcPr>
            <w:tcW w:type="dxa" w:w="1417"/>
            <w:vAlign w:val="center"/>
            <w:tcMar>
              <w:top w:w="65" w:type="dxa"/>
              <w:left w:w="65" w:type="dxa"/>
              <w:bottom w:w="65" w:type="dxa"/>
              <w:right w:w="65" w:type="dxa"/>
            </w:tcMar>
          </w:tcPr>
          <w:p>
            <w:pPr>
              <w:pStyle w:val="TableText"/>
              <w:keepNext w:val="0"/>
              <w:widowControl/>
              <w:jc w:val="left"/>
            </w:pPr>
            <w:r>
              <w:rPr>
                <w:b w:val="0"/>
                <w:sz w:val="17"/>
              </w:rPr>
              <w:t>320</w:t>
            </w:r>
          </w:p>
        </w:tc>
      </w:tr>
      <w:tr>
        <w:trPr>
          <w:cantSplit/>
        </w:trPr>
        <w:tc>
          <w:tcPr>
            <w:tcW w:type="dxa" w:w="1077"/>
            <w:vAlign w:val="center"/>
            <w:tcMar>
              <w:top w:w="65" w:type="dxa"/>
              <w:left w:w="65" w:type="dxa"/>
              <w:bottom w:w="65" w:type="dxa"/>
              <w:right w:w="65" w:type="dxa"/>
            </w:tcMar>
          </w:tcPr>
          <w:p>
            <w:pPr>
              <w:pStyle w:val="TableText"/>
              <w:keepNext w:val="0"/>
              <w:widowControl/>
              <w:jc w:val="left"/>
            </w:pPr>
            <w:r>
              <w:rPr>
                <w:b w:val="0"/>
                <w:sz w:val="17"/>
              </w:rPr>
              <w:t>Baseline</w:t>
            </w:r>
          </w:p>
        </w:tc>
        <w:tc>
          <w:tcPr>
            <w:tcW w:type="dxa" w:w="737"/>
            <w:vAlign w:val="center"/>
            <w:tcMar>
              <w:top w:w="65" w:type="dxa"/>
              <w:left w:w="65" w:type="dxa"/>
              <w:bottom w:w="65" w:type="dxa"/>
              <w:right w:w="65" w:type="dxa"/>
            </w:tcMar>
          </w:tcPr>
          <w:p>
            <w:pPr>
              <w:pStyle w:val="TableText"/>
              <w:keepNext w:val="0"/>
              <w:widowControl/>
              <w:jc w:val="left"/>
            </w:pPr>
            <w:r>
              <w:rPr>
                <w:b w:val="0"/>
                <w:sz w:val="17"/>
              </w:rPr>
              <w:t>GPT</w:t>
            </w:r>
          </w:p>
        </w:tc>
        <w:tc>
          <w:tcPr>
            <w:tcW w:type="dxa" w:w="1871"/>
            <w:vAlign w:val="center"/>
            <w:tcMar>
              <w:top w:w="65" w:type="dxa"/>
              <w:left w:w="65" w:type="dxa"/>
              <w:bottom w:w="65" w:type="dxa"/>
              <w:right w:w="65" w:type="dxa"/>
            </w:tcMar>
          </w:tcPr>
          <w:p>
            <w:pPr>
              <w:pStyle w:val="TableText"/>
              <w:keepNext w:val="0"/>
              <w:widowControl/>
              <w:jc w:val="left"/>
            </w:pPr>
            <w:r>
              <w:rPr>
                <w:b w:val="0"/>
                <w:sz w:val="17"/>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7"/>
              </w:rPr>
              <w:t>+0.0375</w:t>
            </w:r>
          </w:p>
        </w:tc>
        <w:tc>
          <w:tcPr>
            <w:tcW w:type="dxa" w:w="1417"/>
            <w:vAlign w:val="center"/>
            <w:tcMar>
              <w:top w:w="65" w:type="dxa"/>
              <w:left w:w="65" w:type="dxa"/>
              <w:bottom w:w="65" w:type="dxa"/>
              <w:right w:w="65" w:type="dxa"/>
            </w:tcMar>
          </w:tcPr>
          <w:p>
            <w:pPr>
              <w:pStyle w:val="TableText"/>
              <w:keepNext w:val="0"/>
              <w:widowControl/>
              <w:jc w:val="left"/>
            </w:pPr>
            <w:r>
              <w:rPr>
                <w:b w:val="0"/>
                <w:sz w:val="17"/>
              </w:rPr>
              <w:t>+0.0209</w:t>
            </w:r>
          </w:p>
        </w:tc>
        <w:tc>
          <w:tcPr>
            <w:tcW w:type="dxa" w:w="1417"/>
            <w:vAlign w:val="center"/>
            <w:tcMar>
              <w:top w:w="65" w:type="dxa"/>
              <w:left w:w="65" w:type="dxa"/>
              <w:bottom w:w="65" w:type="dxa"/>
              <w:right w:w="65" w:type="dxa"/>
            </w:tcMar>
          </w:tcPr>
          <w:p>
            <w:pPr>
              <w:pStyle w:val="TableText"/>
              <w:keepNext w:val="0"/>
              <w:widowControl/>
              <w:jc w:val="left"/>
            </w:pPr>
            <w:r>
              <w:rPr>
                <w:b w:val="0"/>
                <w:sz w:val="17"/>
              </w:rPr>
              <w:t>320</w:t>
            </w:r>
          </w:p>
        </w:tc>
      </w:tr>
      <w:tr>
        <w:trPr>
          <w:cantSplit/>
        </w:trPr>
        <w:tc>
          <w:tcPr>
            <w:tcW w:type="dxa" w:w="1077"/>
            <w:vAlign w:val="center"/>
            <w:tcMar>
              <w:top w:w="65" w:type="dxa"/>
              <w:left w:w="65" w:type="dxa"/>
              <w:bottom w:w="65" w:type="dxa"/>
              <w:right w:w="65" w:type="dxa"/>
            </w:tcMar>
          </w:tcPr>
          <w:p>
            <w:pPr>
              <w:pStyle w:val="TableText"/>
              <w:keepNext w:val="0"/>
              <w:widowControl/>
              <w:jc w:val="left"/>
            </w:pPr>
            <w:r>
              <w:rPr>
                <w:b w:val="0"/>
                <w:sz w:val="17"/>
              </w:rPr>
              <w:t>Baseline</w:t>
            </w:r>
          </w:p>
        </w:tc>
        <w:tc>
          <w:tcPr>
            <w:tcW w:type="dxa" w:w="737"/>
            <w:vAlign w:val="center"/>
            <w:tcMar>
              <w:top w:w="65" w:type="dxa"/>
              <w:left w:w="65" w:type="dxa"/>
              <w:bottom w:w="65" w:type="dxa"/>
              <w:right w:w="65" w:type="dxa"/>
            </w:tcMar>
          </w:tcPr>
          <w:p>
            <w:pPr>
              <w:pStyle w:val="TableText"/>
              <w:keepNext w:val="0"/>
              <w:widowControl/>
              <w:jc w:val="left"/>
            </w:pPr>
            <w:r>
              <w:rPr>
                <w:b w:val="0"/>
                <w:sz w:val="17"/>
              </w:rPr>
              <w:t>GPT</w:t>
            </w:r>
          </w:p>
        </w:tc>
        <w:tc>
          <w:tcPr>
            <w:tcW w:type="dxa" w:w="1871"/>
            <w:vAlign w:val="center"/>
            <w:tcMar>
              <w:top w:w="65" w:type="dxa"/>
              <w:left w:w="65" w:type="dxa"/>
              <w:bottom w:w="65" w:type="dxa"/>
              <w:right w:w="65" w:type="dxa"/>
            </w:tcMar>
          </w:tcPr>
          <w:p>
            <w:pPr>
              <w:pStyle w:val="TableText"/>
              <w:keepNext w:val="0"/>
              <w:widowControl/>
              <w:jc w:val="left"/>
            </w:pPr>
            <w:r>
              <w:rPr>
                <w:b w:val="0"/>
                <w:sz w:val="17"/>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7"/>
              </w:rPr>
              <w:t>+0.1742</w:t>
            </w:r>
          </w:p>
        </w:tc>
        <w:tc>
          <w:tcPr>
            <w:tcW w:type="dxa" w:w="1417"/>
            <w:vAlign w:val="center"/>
            <w:tcMar>
              <w:top w:w="65" w:type="dxa"/>
              <w:left w:w="65" w:type="dxa"/>
              <w:bottom w:w="65" w:type="dxa"/>
              <w:right w:w="65" w:type="dxa"/>
            </w:tcMar>
          </w:tcPr>
          <w:p>
            <w:pPr>
              <w:pStyle w:val="TableText"/>
              <w:keepNext w:val="0"/>
              <w:widowControl/>
              <w:jc w:val="left"/>
            </w:pPr>
            <w:r>
              <w:rPr>
                <w:b w:val="0"/>
                <w:sz w:val="17"/>
              </w:rPr>
              <w:t>+0.1016</w:t>
            </w:r>
          </w:p>
        </w:tc>
        <w:tc>
          <w:tcPr>
            <w:tcW w:type="dxa" w:w="1417"/>
            <w:vAlign w:val="center"/>
            <w:tcMar>
              <w:top w:w="65" w:type="dxa"/>
              <w:left w:w="65" w:type="dxa"/>
              <w:bottom w:w="65" w:type="dxa"/>
              <w:right w:w="65" w:type="dxa"/>
            </w:tcMar>
          </w:tcPr>
          <w:p>
            <w:pPr>
              <w:pStyle w:val="TableText"/>
              <w:keepNext w:val="0"/>
              <w:widowControl/>
              <w:jc w:val="left"/>
            </w:pPr>
            <w:r>
              <w:rPr>
                <w:b w:val="0"/>
                <w:sz w:val="17"/>
              </w:rPr>
              <w:t>320</w:t>
            </w:r>
          </w:p>
        </w:tc>
      </w:tr>
      <w:tr>
        <w:trPr>
          <w:cantSplit/>
        </w:trPr>
        <w:tc>
          <w:tcPr>
            <w:tcW w:type="dxa" w:w="1077"/>
            <w:vAlign w:val="center"/>
            <w:tcMar>
              <w:top w:w="65" w:type="dxa"/>
              <w:left w:w="65" w:type="dxa"/>
              <w:bottom w:w="65" w:type="dxa"/>
              <w:right w:w="65" w:type="dxa"/>
            </w:tcMar>
          </w:tcPr>
          <w:p>
            <w:pPr>
              <w:pStyle w:val="TableText"/>
              <w:keepNext w:val="0"/>
              <w:widowControl/>
              <w:jc w:val="left"/>
            </w:pPr>
            <w:r>
              <w:rPr>
                <w:b w:val="0"/>
                <w:sz w:val="17"/>
              </w:rPr>
              <w:t>High</w:t>
            </w:r>
          </w:p>
        </w:tc>
        <w:tc>
          <w:tcPr>
            <w:tcW w:type="dxa" w:w="737"/>
            <w:vAlign w:val="center"/>
            <w:tcMar>
              <w:top w:w="65" w:type="dxa"/>
              <w:left w:w="65" w:type="dxa"/>
              <w:bottom w:w="65" w:type="dxa"/>
              <w:right w:w="65" w:type="dxa"/>
            </w:tcMar>
          </w:tcPr>
          <w:p>
            <w:pPr>
              <w:pStyle w:val="TableText"/>
              <w:keepNext w:val="0"/>
              <w:widowControl/>
              <w:jc w:val="left"/>
            </w:pPr>
            <w:r>
              <w:rPr>
                <w:b w:val="0"/>
                <w:sz w:val="17"/>
              </w:rPr>
              <w:t>Gemini</w:t>
            </w:r>
          </w:p>
        </w:tc>
        <w:tc>
          <w:tcPr>
            <w:tcW w:type="dxa" w:w="1871"/>
            <w:vAlign w:val="center"/>
            <w:tcMar>
              <w:top w:w="65" w:type="dxa"/>
              <w:left w:w="65" w:type="dxa"/>
              <w:bottom w:w="65" w:type="dxa"/>
              <w:right w:w="65" w:type="dxa"/>
            </w:tcMar>
          </w:tcPr>
          <w:p>
            <w:pPr>
              <w:pStyle w:val="TableText"/>
              <w:keepNext w:val="0"/>
              <w:widowControl/>
              <w:jc w:val="left"/>
            </w:pPr>
            <w:r>
              <w:rPr>
                <w:b w:val="0"/>
                <w:sz w:val="17"/>
              </w:rPr>
              <w:t>C4R−C4</w:t>
            </w:r>
          </w:p>
        </w:tc>
        <w:tc>
          <w:tcPr>
            <w:tcW w:type="dxa" w:w="1417"/>
            <w:vAlign w:val="center"/>
            <w:tcMar>
              <w:top w:w="65" w:type="dxa"/>
              <w:left w:w="65" w:type="dxa"/>
              <w:bottom w:w="65" w:type="dxa"/>
              <w:right w:w="65" w:type="dxa"/>
            </w:tcMar>
          </w:tcPr>
          <w:p>
            <w:pPr>
              <w:pStyle w:val="TableText"/>
              <w:keepNext w:val="0"/>
              <w:widowControl/>
              <w:jc w:val="left"/>
            </w:pPr>
            <w:r>
              <w:rPr>
                <w:b w:val="0"/>
                <w:sz w:val="17"/>
              </w:rPr>
              <w:t>-0.0102</w:t>
            </w:r>
          </w:p>
        </w:tc>
        <w:tc>
          <w:tcPr>
            <w:tcW w:type="dxa" w:w="1417"/>
            <w:vAlign w:val="center"/>
            <w:tcMar>
              <w:top w:w="65" w:type="dxa"/>
              <w:left w:w="65" w:type="dxa"/>
              <w:bottom w:w="65" w:type="dxa"/>
              <w:right w:w="65" w:type="dxa"/>
            </w:tcMar>
          </w:tcPr>
          <w:p>
            <w:pPr>
              <w:pStyle w:val="TableText"/>
              <w:keepNext w:val="0"/>
              <w:widowControl/>
              <w:jc w:val="left"/>
            </w:pPr>
            <w:r>
              <w:rPr>
                <w:b w:val="0"/>
                <w:sz w:val="17"/>
              </w:rPr>
              <w:t>-0.0102</w:t>
            </w:r>
          </w:p>
        </w:tc>
        <w:tc>
          <w:tcPr>
            <w:tcW w:type="dxa" w:w="1417"/>
            <w:vAlign w:val="center"/>
            <w:tcMar>
              <w:top w:w="65" w:type="dxa"/>
              <w:left w:w="65" w:type="dxa"/>
              <w:bottom w:w="65" w:type="dxa"/>
              <w:right w:w="65" w:type="dxa"/>
            </w:tcMar>
          </w:tcPr>
          <w:p>
            <w:pPr>
              <w:pStyle w:val="TableText"/>
              <w:keepNext w:val="0"/>
              <w:widowControl/>
              <w:jc w:val="left"/>
            </w:pPr>
            <w:r>
              <w:rPr>
                <w:b w:val="0"/>
                <w:sz w:val="17"/>
              </w:rPr>
              <w:t>5</w:t>
            </w:r>
          </w:p>
        </w:tc>
      </w:tr>
      <w:tr>
        <w:trPr>
          <w:cantSplit/>
        </w:trPr>
        <w:tc>
          <w:tcPr>
            <w:tcW w:type="dxa" w:w="1077"/>
            <w:vAlign w:val="center"/>
            <w:tcMar>
              <w:top w:w="65" w:type="dxa"/>
              <w:left w:w="65" w:type="dxa"/>
              <w:bottom w:w="65" w:type="dxa"/>
              <w:right w:w="65" w:type="dxa"/>
            </w:tcMar>
          </w:tcPr>
          <w:p>
            <w:pPr>
              <w:pStyle w:val="TableText"/>
              <w:keepNext w:val="0"/>
              <w:widowControl/>
              <w:jc w:val="left"/>
            </w:pPr>
            <w:r>
              <w:rPr>
                <w:b w:val="0"/>
                <w:sz w:val="17"/>
              </w:rPr>
              <w:t>High</w:t>
            </w:r>
          </w:p>
        </w:tc>
        <w:tc>
          <w:tcPr>
            <w:tcW w:type="dxa" w:w="737"/>
            <w:vAlign w:val="center"/>
            <w:tcMar>
              <w:top w:w="65" w:type="dxa"/>
              <w:left w:w="65" w:type="dxa"/>
              <w:bottom w:w="65" w:type="dxa"/>
              <w:right w:w="65" w:type="dxa"/>
            </w:tcMar>
          </w:tcPr>
          <w:p>
            <w:pPr>
              <w:pStyle w:val="TableText"/>
              <w:keepNext w:val="0"/>
              <w:widowControl/>
              <w:jc w:val="left"/>
            </w:pPr>
            <w:r>
              <w:rPr>
                <w:b w:val="0"/>
                <w:sz w:val="17"/>
              </w:rPr>
              <w:t>Gemini</w:t>
            </w:r>
          </w:p>
        </w:tc>
        <w:tc>
          <w:tcPr>
            <w:tcW w:type="dxa" w:w="1871"/>
            <w:vAlign w:val="center"/>
            <w:tcMar>
              <w:top w:w="65" w:type="dxa"/>
              <w:left w:w="65" w:type="dxa"/>
              <w:bottom w:w="65" w:type="dxa"/>
              <w:right w:w="65" w:type="dxa"/>
            </w:tcMar>
          </w:tcPr>
          <w:p>
            <w:pPr>
              <w:pStyle w:val="TableText"/>
              <w:keepNext w:val="0"/>
              <w:widowControl/>
              <w:jc w:val="left"/>
            </w:pPr>
            <w:r>
              <w:rPr>
                <w:b w:val="0"/>
                <w:sz w:val="17"/>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7"/>
              </w:rPr>
              <w:t>+0.0897</w:t>
            </w:r>
          </w:p>
        </w:tc>
        <w:tc>
          <w:tcPr>
            <w:tcW w:type="dxa" w:w="1417"/>
            <w:vAlign w:val="center"/>
            <w:tcMar>
              <w:top w:w="65" w:type="dxa"/>
              <w:left w:w="65" w:type="dxa"/>
              <w:bottom w:w="65" w:type="dxa"/>
              <w:right w:w="65" w:type="dxa"/>
            </w:tcMar>
          </w:tcPr>
          <w:p>
            <w:pPr>
              <w:pStyle w:val="TableText"/>
              <w:keepNext w:val="0"/>
              <w:widowControl/>
              <w:jc w:val="left"/>
            </w:pPr>
            <w:r>
              <w:rPr>
                <w:b w:val="0"/>
                <w:sz w:val="17"/>
              </w:rPr>
              <w:t>+0.0823</w:t>
            </w:r>
          </w:p>
        </w:tc>
        <w:tc>
          <w:tcPr>
            <w:tcW w:type="dxa" w:w="1417"/>
            <w:vAlign w:val="center"/>
            <w:tcMar>
              <w:top w:w="65" w:type="dxa"/>
              <w:left w:w="65" w:type="dxa"/>
              <w:bottom w:w="65" w:type="dxa"/>
              <w:right w:w="65" w:type="dxa"/>
            </w:tcMar>
          </w:tcPr>
          <w:p>
            <w:pPr>
              <w:pStyle w:val="TableText"/>
              <w:keepNext w:val="0"/>
              <w:widowControl/>
              <w:jc w:val="left"/>
            </w:pPr>
            <w:r>
              <w:rPr>
                <w:b w:val="0"/>
                <w:sz w:val="17"/>
              </w:rPr>
              <w:t>5</w:t>
            </w:r>
          </w:p>
        </w:tc>
      </w:tr>
      <w:tr>
        <w:trPr>
          <w:cantSplit/>
        </w:trPr>
        <w:tc>
          <w:tcPr>
            <w:tcW w:type="dxa" w:w="1077"/>
            <w:vAlign w:val="center"/>
            <w:tcMar>
              <w:top w:w="65" w:type="dxa"/>
              <w:left w:w="65" w:type="dxa"/>
              <w:bottom w:w="65" w:type="dxa"/>
              <w:right w:w="65" w:type="dxa"/>
            </w:tcMar>
          </w:tcPr>
          <w:p>
            <w:pPr>
              <w:pStyle w:val="TableText"/>
              <w:keepNext w:val="0"/>
              <w:widowControl/>
              <w:jc w:val="left"/>
            </w:pPr>
            <w:r>
              <w:rPr>
                <w:b w:val="0"/>
                <w:sz w:val="17"/>
              </w:rPr>
              <w:t>High</w:t>
            </w:r>
          </w:p>
        </w:tc>
        <w:tc>
          <w:tcPr>
            <w:tcW w:type="dxa" w:w="737"/>
            <w:vAlign w:val="center"/>
            <w:tcMar>
              <w:top w:w="65" w:type="dxa"/>
              <w:left w:w="65" w:type="dxa"/>
              <w:bottom w:w="65" w:type="dxa"/>
              <w:right w:w="65" w:type="dxa"/>
            </w:tcMar>
          </w:tcPr>
          <w:p>
            <w:pPr>
              <w:pStyle w:val="TableText"/>
              <w:keepNext w:val="0"/>
              <w:widowControl/>
              <w:jc w:val="left"/>
            </w:pPr>
            <w:r>
              <w:rPr>
                <w:b w:val="0"/>
                <w:sz w:val="17"/>
              </w:rPr>
              <w:t>Gemini</w:t>
            </w:r>
          </w:p>
        </w:tc>
        <w:tc>
          <w:tcPr>
            <w:tcW w:type="dxa" w:w="1871"/>
            <w:vAlign w:val="center"/>
            <w:tcMar>
              <w:top w:w="65" w:type="dxa"/>
              <w:left w:w="65" w:type="dxa"/>
              <w:bottom w:w="65" w:type="dxa"/>
              <w:right w:w="65" w:type="dxa"/>
            </w:tcMar>
          </w:tcPr>
          <w:p>
            <w:pPr>
              <w:pStyle w:val="TableText"/>
              <w:keepNext w:val="0"/>
              <w:widowControl/>
              <w:jc w:val="left"/>
            </w:pPr>
            <w:r>
              <w:rPr>
                <w:b w:val="0"/>
                <w:sz w:val="17"/>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7"/>
              </w:rPr>
              <w:t>+0.0412</w:t>
            </w:r>
          </w:p>
        </w:tc>
        <w:tc>
          <w:tcPr>
            <w:tcW w:type="dxa" w:w="1417"/>
            <w:vAlign w:val="center"/>
            <w:tcMar>
              <w:top w:w="65" w:type="dxa"/>
              <w:left w:w="65" w:type="dxa"/>
              <w:bottom w:w="65" w:type="dxa"/>
              <w:right w:w="65" w:type="dxa"/>
            </w:tcMar>
          </w:tcPr>
          <w:p>
            <w:pPr>
              <w:pStyle w:val="TableText"/>
              <w:keepNext w:val="0"/>
              <w:widowControl/>
              <w:jc w:val="left"/>
            </w:pPr>
            <w:r>
              <w:rPr>
                <w:b w:val="0"/>
                <w:sz w:val="17"/>
              </w:rPr>
              <w:t>+0.0503</w:t>
            </w:r>
          </w:p>
        </w:tc>
        <w:tc>
          <w:tcPr>
            <w:tcW w:type="dxa" w:w="1417"/>
            <w:vAlign w:val="center"/>
            <w:tcMar>
              <w:top w:w="65" w:type="dxa"/>
              <w:left w:w="65" w:type="dxa"/>
              <w:bottom w:w="65" w:type="dxa"/>
              <w:right w:w="65" w:type="dxa"/>
            </w:tcMar>
          </w:tcPr>
          <w:p>
            <w:pPr>
              <w:pStyle w:val="TableText"/>
              <w:keepNext w:val="0"/>
              <w:widowControl/>
              <w:jc w:val="left"/>
            </w:pPr>
            <w:r>
              <w:rPr>
                <w:b w:val="0"/>
                <w:sz w:val="17"/>
              </w:rPr>
              <w:t>5</w:t>
            </w:r>
          </w:p>
        </w:tc>
      </w:tr>
      <w:tr>
        <w:trPr>
          <w:cantSplit/>
        </w:trPr>
        <w:tc>
          <w:tcPr>
            <w:tcW w:type="dxa" w:w="1077"/>
            <w:vAlign w:val="center"/>
            <w:tcMar>
              <w:top w:w="65" w:type="dxa"/>
              <w:left w:w="65" w:type="dxa"/>
              <w:bottom w:w="65" w:type="dxa"/>
              <w:right w:w="65" w:type="dxa"/>
            </w:tcMar>
          </w:tcPr>
          <w:p>
            <w:pPr>
              <w:pStyle w:val="TableText"/>
              <w:keepNext w:val="0"/>
              <w:widowControl/>
              <w:jc w:val="left"/>
            </w:pPr>
            <w:r>
              <w:rPr>
                <w:b w:val="0"/>
                <w:sz w:val="17"/>
              </w:rPr>
              <w:t>High</w:t>
            </w:r>
          </w:p>
        </w:tc>
        <w:tc>
          <w:tcPr>
            <w:tcW w:type="dxa" w:w="737"/>
            <w:vAlign w:val="center"/>
            <w:tcMar>
              <w:top w:w="65" w:type="dxa"/>
              <w:left w:w="65" w:type="dxa"/>
              <w:bottom w:w="65" w:type="dxa"/>
              <w:right w:w="65" w:type="dxa"/>
            </w:tcMar>
          </w:tcPr>
          <w:p>
            <w:pPr>
              <w:pStyle w:val="TableText"/>
              <w:keepNext w:val="0"/>
              <w:widowControl/>
              <w:jc w:val="left"/>
            </w:pPr>
            <w:r>
              <w:rPr>
                <w:b w:val="0"/>
                <w:sz w:val="17"/>
              </w:rPr>
              <w:t>GPT</w:t>
            </w:r>
          </w:p>
        </w:tc>
        <w:tc>
          <w:tcPr>
            <w:tcW w:type="dxa" w:w="1871"/>
            <w:vAlign w:val="center"/>
            <w:tcMar>
              <w:top w:w="65" w:type="dxa"/>
              <w:left w:w="65" w:type="dxa"/>
              <w:bottom w:w="65" w:type="dxa"/>
              <w:right w:w="65" w:type="dxa"/>
            </w:tcMar>
          </w:tcPr>
          <w:p>
            <w:pPr>
              <w:pStyle w:val="TableText"/>
              <w:keepNext w:val="0"/>
              <w:widowControl/>
              <w:jc w:val="left"/>
            </w:pPr>
            <w:r>
              <w:rPr>
                <w:b w:val="0"/>
                <w:sz w:val="17"/>
              </w:rPr>
              <w:t>C4R−C4</w:t>
            </w:r>
          </w:p>
        </w:tc>
        <w:tc>
          <w:tcPr>
            <w:tcW w:type="dxa" w:w="1417"/>
            <w:vAlign w:val="center"/>
            <w:tcMar>
              <w:top w:w="65" w:type="dxa"/>
              <w:left w:w="65" w:type="dxa"/>
              <w:bottom w:w="65" w:type="dxa"/>
              <w:right w:w="65" w:type="dxa"/>
            </w:tcMar>
          </w:tcPr>
          <w:p>
            <w:pPr>
              <w:pStyle w:val="TableText"/>
              <w:keepNext w:val="0"/>
              <w:widowControl/>
              <w:jc w:val="left"/>
            </w:pPr>
            <w:r>
              <w:rPr>
                <w:b w:val="0"/>
                <w:sz w:val="17"/>
              </w:rPr>
              <w:t>+0.0264</w:t>
            </w:r>
          </w:p>
        </w:tc>
        <w:tc>
          <w:tcPr>
            <w:tcW w:type="dxa" w:w="1417"/>
            <w:vAlign w:val="center"/>
            <w:tcMar>
              <w:top w:w="65" w:type="dxa"/>
              <w:left w:w="65" w:type="dxa"/>
              <w:bottom w:w="65" w:type="dxa"/>
              <w:right w:w="65" w:type="dxa"/>
            </w:tcMar>
          </w:tcPr>
          <w:p>
            <w:pPr>
              <w:pStyle w:val="TableText"/>
              <w:keepNext w:val="0"/>
              <w:widowControl/>
              <w:jc w:val="left"/>
            </w:pPr>
            <w:r>
              <w:rPr>
                <w:b w:val="0"/>
                <w:sz w:val="17"/>
              </w:rPr>
              <w:t>+0.0024</w:t>
            </w:r>
          </w:p>
        </w:tc>
        <w:tc>
          <w:tcPr>
            <w:tcW w:type="dxa" w:w="1417"/>
            <w:vAlign w:val="center"/>
            <w:tcMar>
              <w:top w:w="65" w:type="dxa"/>
              <w:left w:w="65" w:type="dxa"/>
              <w:bottom w:w="65" w:type="dxa"/>
              <w:right w:w="65" w:type="dxa"/>
            </w:tcMar>
          </w:tcPr>
          <w:p>
            <w:pPr>
              <w:pStyle w:val="TableText"/>
              <w:keepNext w:val="0"/>
              <w:widowControl/>
              <w:jc w:val="left"/>
            </w:pPr>
            <w:r>
              <w:rPr>
                <w:b w:val="0"/>
                <w:sz w:val="17"/>
              </w:rPr>
              <w:t>15</w:t>
            </w:r>
          </w:p>
        </w:tc>
      </w:tr>
      <w:tr>
        <w:trPr>
          <w:cantSplit/>
        </w:trPr>
        <w:tc>
          <w:tcPr>
            <w:tcW w:type="dxa" w:w="1077"/>
            <w:vAlign w:val="center"/>
            <w:tcMar>
              <w:top w:w="65" w:type="dxa"/>
              <w:left w:w="65" w:type="dxa"/>
              <w:bottom w:w="65" w:type="dxa"/>
              <w:right w:w="65" w:type="dxa"/>
            </w:tcMar>
          </w:tcPr>
          <w:p>
            <w:pPr>
              <w:pStyle w:val="TableText"/>
              <w:keepNext w:val="0"/>
              <w:widowControl/>
              <w:jc w:val="left"/>
            </w:pPr>
            <w:r>
              <w:rPr>
                <w:b w:val="0"/>
                <w:sz w:val="17"/>
              </w:rPr>
              <w:t>High</w:t>
            </w:r>
          </w:p>
        </w:tc>
        <w:tc>
          <w:tcPr>
            <w:tcW w:type="dxa" w:w="737"/>
            <w:vAlign w:val="center"/>
            <w:tcMar>
              <w:top w:w="65" w:type="dxa"/>
              <w:left w:w="65" w:type="dxa"/>
              <w:bottom w:w="65" w:type="dxa"/>
              <w:right w:w="65" w:type="dxa"/>
            </w:tcMar>
          </w:tcPr>
          <w:p>
            <w:pPr>
              <w:pStyle w:val="TableText"/>
              <w:keepNext w:val="0"/>
              <w:widowControl/>
              <w:jc w:val="left"/>
            </w:pPr>
            <w:r>
              <w:rPr>
                <w:b w:val="0"/>
                <w:sz w:val="17"/>
              </w:rPr>
              <w:t>GPT</w:t>
            </w:r>
          </w:p>
        </w:tc>
        <w:tc>
          <w:tcPr>
            <w:tcW w:type="dxa" w:w="1871"/>
            <w:vAlign w:val="center"/>
            <w:tcMar>
              <w:top w:w="65" w:type="dxa"/>
              <w:left w:w="65" w:type="dxa"/>
              <w:bottom w:w="65" w:type="dxa"/>
              <w:right w:w="65" w:type="dxa"/>
            </w:tcMar>
          </w:tcPr>
          <w:p>
            <w:pPr>
              <w:pStyle w:val="TableText"/>
              <w:keepNext w:val="0"/>
              <w:widowControl/>
              <w:jc w:val="left"/>
            </w:pPr>
            <w:r>
              <w:rPr>
                <w:b w:val="0"/>
                <w:sz w:val="17"/>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7"/>
              </w:rPr>
              <w:t>+0.1003</w:t>
            </w:r>
          </w:p>
        </w:tc>
        <w:tc>
          <w:tcPr>
            <w:tcW w:type="dxa" w:w="1417"/>
            <w:vAlign w:val="center"/>
            <w:tcMar>
              <w:top w:w="65" w:type="dxa"/>
              <w:left w:w="65" w:type="dxa"/>
              <w:bottom w:w="65" w:type="dxa"/>
              <w:right w:w="65" w:type="dxa"/>
            </w:tcMar>
          </w:tcPr>
          <w:p>
            <w:pPr>
              <w:pStyle w:val="TableText"/>
              <w:keepNext w:val="0"/>
              <w:widowControl/>
              <w:jc w:val="left"/>
            </w:pPr>
            <w:r>
              <w:rPr>
                <w:b w:val="0"/>
                <w:sz w:val="17"/>
              </w:rPr>
              <w:t>+0.1003</w:t>
            </w:r>
          </w:p>
        </w:tc>
        <w:tc>
          <w:tcPr>
            <w:tcW w:type="dxa" w:w="1417"/>
            <w:vAlign w:val="center"/>
            <w:tcMar>
              <w:top w:w="65" w:type="dxa"/>
              <w:left w:w="65" w:type="dxa"/>
              <w:bottom w:w="65" w:type="dxa"/>
              <w:right w:w="65" w:type="dxa"/>
            </w:tcMar>
          </w:tcPr>
          <w:p>
            <w:pPr>
              <w:pStyle w:val="TableText"/>
              <w:keepNext w:val="0"/>
              <w:widowControl/>
              <w:jc w:val="left"/>
            </w:pPr>
            <w:r>
              <w:rPr>
                <w:b w:val="0"/>
                <w:sz w:val="17"/>
              </w:rPr>
              <w:t>15</w:t>
            </w:r>
          </w:p>
        </w:tc>
      </w:tr>
      <w:tr>
        <w:trPr>
          <w:cantSplit/>
        </w:trPr>
        <w:tc>
          <w:tcPr>
            <w:tcW w:type="dxa" w:w="1077"/>
            <w:vAlign w:val="center"/>
            <w:tcMar>
              <w:top w:w="65" w:type="dxa"/>
              <w:left w:w="65" w:type="dxa"/>
              <w:bottom w:w="65" w:type="dxa"/>
              <w:right w:w="65" w:type="dxa"/>
            </w:tcMar>
          </w:tcPr>
          <w:p>
            <w:pPr>
              <w:pStyle w:val="TableText"/>
              <w:keepNext w:val="0"/>
              <w:widowControl/>
              <w:jc w:val="left"/>
            </w:pPr>
            <w:r>
              <w:rPr>
                <w:b w:val="0"/>
                <w:sz w:val="17"/>
              </w:rPr>
              <w:t>High</w:t>
            </w:r>
          </w:p>
        </w:tc>
        <w:tc>
          <w:tcPr>
            <w:tcW w:type="dxa" w:w="737"/>
            <w:vAlign w:val="center"/>
            <w:tcMar>
              <w:top w:w="65" w:type="dxa"/>
              <w:left w:w="65" w:type="dxa"/>
              <w:bottom w:w="65" w:type="dxa"/>
              <w:right w:w="65" w:type="dxa"/>
            </w:tcMar>
          </w:tcPr>
          <w:p>
            <w:pPr>
              <w:pStyle w:val="TableText"/>
              <w:keepNext w:val="0"/>
              <w:widowControl/>
              <w:jc w:val="left"/>
            </w:pPr>
            <w:r>
              <w:rPr>
                <w:b w:val="0"/>
                <w:sz w:val="17"/>
              </w:rPr>
              <w:t>GPT</w:t>
            </w:r>
          </w:p>
        </w:tc>
        <w:tc>
          <w:tcPr>
            <w:tcW w:type="dxa" w:w="1871"/>
            <w:vAlign w:val="center"/>
            <w:tcMar>
              <w:top w:w="65" w:type="dxa"/>
              <w:left w:w="65" w:type="dxa"/>
              <w:bottom w:w="65" w:type="dxa"/>
              <w:right w:w="65" w:type="dxa"/>
            </w:tcMar>
          </w:tcPr>
          <w:p>
            <w:pPr>
              <w:pStyle w:val="TableText"/>
              <w:keepNext w:val="0"/>
              <w:widowControl/>
              <w:jc w:val="left"/>
            </w:pPr>
            <w:r>
              <w:rPr>
                <w:b w:val="0"/>
                <w:sz w:val="17"/>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7"/>
              </w:rPr>
              <w:t>+0.1146</w:t>
            </w:r>
          </w:p>
        </w:tc>
        <w:tc>
          <w:tcPr>
            <w:tcW w:type="dxa" w:w="1417"/>
            <w:vAlign w:val="center"/>
            <w:tcMar>
              <w:top w:w="65" w:type="dxa"/>
              <w:left w:w="65" w:type="dxa"/>
              <w:bottom w:w="65" w:type="dxa"/>
              <w:right w:w="65" w:type="dxa"/>
            </w:tcMar>
          </w:tcPr>
          <w:p>
            <w:pPr>
              <w:pStyle w:val="TableText"/>
              <w:keepNext w:val="0"/>
              <w:widowControl/>
              <w:jc w:val="left"/>
            </w:pPr>
            <w:r>
              <w:rPr>
                <w:b w:val="0"/>
                <w:sz w:val="17"/>
              </w:rPr>
              <w:t>+0.1059</w:t>
            </w:r>
          </w:p>
        </w:tc>
        <w:tc>
          <w:tcPr>
            <w:tcW w:type="dxa" w:w="1417"/>
            <w:vAlign w:val="center"/>
            <w:tcMar>
              <w:top w:w="65" w:type="dxa"/>
              <w:left w:w="65" w:type="dxa"/>
              <w:bottom w:w="65" w:type="dxa"/>
              <w:right w:w="65" w:type="dxa"/>
            </w:tcMar>
          </w:tcPr>
          <w:p>
            <w:pPr>
              <w:pStyle w:val="TableText"/>
              <w:keepNext w:val="0"/>
              <w:widowControl/>
              <w:jc w:val="left"/>
            </w:pPr>
            <w:r>
              <w:rPr>
                <w:b w:val="0"/>
                <w:sz w:val="17"/>
              </w:rPr>
              <w:t>15</w:t>
            </w:r>
          </w:p>
        </w:tc>
      </w:tr>
    </w:tbl>
    <w:p>
      <w:pPr>
        <w:pStyle w:val="SourceNote"/>
        <w:widowControl/>
      </w:pPr>
      <w:r>
        <w:t>자료: 저장된 부모–자식 요청키와 A0 평가값. N=575. 게이트 적용은 불용 부모의 후속결과를 A0로 바꾼 오프라인 민감도이며 원응답·실제 요청 이력은 보존하였다.</w:t>
      </w:r>
    </w:p>
    <w:p>
      <w:pPr>
        <w:widowControl/>
      </w:pPr>
      <w:r>
        <w:t>GPT Baseline B1의 C4R−C4는 실제 실행 +0.010520에서 게이트 적용 −0.001830으로 바뀐다. BINF에서도 +0.136642가 −0.001594로 작아진다. 이 민감도는 자기 재검토의 이득을 해석할 때 불용 초안을 다시 읽을 기회가 있었는지 반드시 밝혀야 함을 보여준다. 작은 음의 값 자체를 중요한 경제적 손실이라고 과장하지 않는다.</w:t>
      </w:r>
    </w:p>
    <w:p>
      <w:pPr>
        <w:widowControl/>
      </w:pPr>
      <w:r>
        <w:t>High B1의 학습참조 대비는 이 게이트에서 Gemini +0.082291, GPT +0.100324로 양의 차이를 유지한다. High의 불용 부모가 각각 5개와 15개로 적기 때문에, B1 참조 대비의 주된 패턴이 Baseline 자기 재검토처럼 크게 바뀌지는 않는다. 다만 이 분석은 호출을 실제로 생략한 새로운 운영실험이 아니며, 비용절감이나 다른 응답의 생성 변화까지 관찰한 것은 아니다.</w:t>
      </w:r>
    </w:p>
    <w:p>
      <w:pPr>
        <w:widowControl/>
      </w:pPr>
      <w:r>
        <w:t>부모 게이트와 Repair는 서로 다른 민감도이다. 게이트는 후속 호출 대상의 정의를 바꾸고, Repair는 이미 생성된 결과의 실행규칙을 바꾼다. 둘 다 baseline 자기 재검토 해석에 영향을 주지만 같은 기제를 측정했다고 합쳐서는 안 된다.</w:t>
      </w:r>
    </w:p>
    <w:p>
      <w:bookmarkStart w:id="166" w:name="head_114"/>
      <w:pPr>
        <w:pStyle w:val="2"/>
        <w:widowControl/>
      </w:pPr>
      <w:r>
        <w:t>6.7 평균, 기업별 효과와 행동의 반복성</w:t>
      </w:r>
      <w:bookmarkEnd w:id="166"/>
    </w:p>
    <w:p>
      <w:bookmarkStart w:id="167" w:name="head_115"/>
      <w:pPr>
        <w:pStyle w:val="3"/>
        <w:widowControl/>
      </w:pPr>
      <w:r>
        <w:t>6.7.1 절대점수와 증분가치의 구분</w:t>
      </w:r>
      <w:bookmarkEnd w:id="167"/>
    </w:p>
    <w:p>
      <w:pPr>
        <w:widowControl/>
      </w:pPr>
      <w:r>
        <w:t>같은 기업의 절대 신용평점은 두 실행에서 매우 높은 상관을 보일 수 있다. 기업의 규모, 부채구조 및 기초 신용상태가 반복되기 때문이다. 이 상관을 LLM이 같은 행동을 골랐다는 증거로 제시하면 정책생성의 안정성을 과대평가한다. 본 연구는 A0 대비 정책가치와 수정조건의 증분효과를 별도로 비교한다.</w:t>
      </w:r>
    </w:p>
    <w:p>
      <w:pPr>
        <w:widowControl/>
      </w:pPr>
      <w:r>
        <w:t>High B1에서 기업별 A0 대비 가치의 Run1–Run2 순위상관은 C4·C4R·C6-E에 걸쳐 Gemini 약 0.796~0.817, GPT 약 0.807~0.879이다. 그러나 학습참조의 추가효과가 큰 기업의 순서는 훨씬 덜 안정적이다. 같은 기업에서 재검토와 참조조건을 뺀 차이는 절대점수보다 잡음과 경계효과에 민감한 지표이다.</w:t>
      </w:r>
    </w:p>
    <w:p>
      <w:bookmarkStart w:id="168" w:name="cap_53"/>
      <w:pPr>
        <w:pStyle w:val="af"/>
        <w:widowControl/>
      </w:pPr>
      <w:r>
        <w:t>표 6-16. 학습참조 증분효과 C6-E−C4R의 반복성</w:t>
      </w:r>
      <w:bookmarkEnd w:id="168"/>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1191"/>
        <w:gridCol w:w="794"/>
        <w:gridCol w:w="737"/>
        <w:gridCol w:w="1757"/>
        <w:gridCol w:w="1757"/>
        <w:gridCol w:w="1701"/>
      </w:tblGrid>
      <w:tr>
        <w:trPr>
          <w:cantSplit/>
          <w:tblHeader/>
        </w:trPr>
        <w:tc>
          <w:tcPr>
            <w:tcW w:type="dxa" w:w="1191"/>
            <w:vAlign w:val="center"/>
            <w:shd w:fill="F1F1F1"/>
            <w:tcMar>
              <w:top w:w="65" w:type="dxa"/>
              <w:left w:w="65" w:type="dxa"/>
              <w:bottom w:w="65" w:type="dxa"/>
              <w:right w:w="65" w:type="dxa"/>
            </w:tcMar>
          </w:tcPr>
          <w:p>
            <w:pPr>
              <w:pStyle w:val="TableText"/>
              <w:keepNext/>
              <w:widowControl/>
              <w:jc w:val="center"/>
            </w:pPr>
            <w:r>
              <w:rPr>
                <w:b/>
                <w:sz w:val="17"/>
              </w:rPr>
              <w:t>Regime</w:t>
            </w:r>
          </w:p>
        </w:tc>
        <w:tc>
          <w:tcPr>
            <w:tcW w:type="dxa" w:w="794"/>
            <w:vAlign w:val="center"/>
            <w:shd w:fill="F1F1F1"/>
            <w:tcMar>
              <w:top w:w="65" w:type="dxa"/>
              <w:left w:w="65" w:type="dxa"/>
              <w:bottom w:w="65" w:type="dxa"/>
              <w:right w:w="65" w:type="dxa"/>
            </w:tcMar>
          </w:tcPr>
          <w:p>
            <w:pPr>
              <w:pStyle w:val="TableText"/>
              <w:keepNext/>
              <w:widowControl/>
              <w:jc w:val="center"/>
            </w:pPr>
            <w:r>
              <w:rPr>
                <w:b/>
                <w:sz w:val="17"/>
              </w:rPr>
              <w:t>모델</w:t>
            </w:r>
          </w:p>
        </w:tc>
        <w:tc>
          <w:tcPr>
            <w:tcW w:type="dxa" w:w="737"/>
            <w:vAlign w:val="center"/>
            <w:shd w:fill="F1F1F1"/>
            <w:tcMar>
              <w:top w:w="65" w:type="dxa"/>
              <w:left w:w="65" w:type="dxa"/>
              <w:bottom w:w="65" w:type="dxa"/>
              <w:right w:w="65" w:type="dxa"/>
            </w:tcMar>
          </w:tcPr>
          <w:p>
            <w:pPr>
              <w:pStyle w:val="TableText"/>
              <w:keepNext/>
              <w:widowControl/>
              <w:jc w:val="center"/>
            </w:pPr>
            <w:r>
              <w:rPr>
                <w:b/>
                <w:sz w:val="17"/>
              </w:rPr>
              <w:t>예산</w:t>
            </w:r>
          </w:p>
        </w:tc>
        <w:tc>
          <w:tcPr>
            <w:tcW w:type="dxa" w:w="1757"/>
            <w:vAlign w:val="center"/>
            <w:shd w:fill="F1F1F1"/>
            <w:tcMar>
              <w:top w:w="65" w:type="dxa"/>
              <w:left w:w="65" w:type="dxa"/>
              <w:bottom w:w="65" w:type="dxa"/>
              <w:right w:w="65" w:type="dxa"/>
            </w:tcMar>
          </w:tcPr>
          <w:p>
            <w:pPr>
              <w:pStyle w:val="TableText"/>
              <w:keepNext/>
              <w:widowControl/>
              <w:jc w:val="center"/>
            </w:pPr>
            <w:r>
              <w:rPr>
                <w:b/>
                <w:sz w:val="17"/>
              </w:rPr>
              <w:t>Run1 평균</w:t>
            </w:r>
          </w:p>
        </w:tc>
        <w:tc>
          <w:tcPr>
            <w:tcW w:type="dxa" w:w="1757"/>
            <w:vAlign w:val="center"/>
            <w:shd w:fill="F1F1F1"/>
            <w:tcMar>
              <w:top w:w="65" w:type="dxa"/>
              <w:left w:w="65" w:type="dxa"/>
              <w:bottom w:w="65" w:type="dxa"/>
              <w:right w:w="65" w:type="dxa"/>
            </w:tcMar>
          </w:tcPr>
          <w:p>
            <w:pPr>
              <w:pStyle w:val="TableText"/>
              <w:keepNext/>
              <w:widowControl/>
              <w:jc w:val="center"/>
            </w:pPr>
            <w:r>
              <w:rPr>
                <w:b/>
                <w:sz w:val="17"/>
              </w:rPr>
              <w:t>Run2 평균</w:t>
            </w:r>
          </w:p>
        </w:tc>
        <w:tc>
          <w:tcPr>
            <w:tcW w:type="dxa" w:w="1701"/>
            <w:vAlign w:val="center"/>
            <w:shd w:fill="F1F1F1"/>
            <w:tcMar>
              <w:top w:w="65" w:type="dxa"/>
              <w:left w:w="65" w:type="dxa"/>
              <w:bottom w:w="65" w:type="dxa"/>
              <w:right w:w="65" w:type="dxa"/>
            </w:tcMar>
          </w:tcPr>
          <w:p>
            <w:pPr>
              <w:pStyle w:val="TableText"/>
              <w:keepNext/>
              <w:widowControl/>
              <w:jc w:val="center"/>
            </w:pPr>
            <w:r>
              <w:rPr>
                <w:b/>
                <w:sz w:val="17"/>
              </w:rPr>
              <w:t>증분효과 ρ</w:t>
            </w:r>
          </w:p>
        </w:tc>
      </w:tr>
      <w:tr>
        <w:trPr>
          <w:cantSplit/>
        </w:trPr>
        <w:tc>
          <w:tcPr>
            <w:tcW w:type="dxa" w:w="1191"/>
            <w:vAlign w:val="center"/>
            <w:tcMar>
              <w:top w:w="65" w:type="dxa"/>
              <w:left w:w="65" w:type="dxa"/>
              <w:bottom w:w="65" w:type="dxa"/>
              <w:right w:w="65" w:type="dxa"/>
            </w:tcMar>
          </w:tcPr>
          <w:p>
            <w:pPr>
              <w:pStyle w:val="TableText"/>
              <w:keepNext/>
              <w:widowControl/>
              <w:jc w:val="left"/>
            </w:pPr>
            <w:r>
              <w:rPr>
                <w:b w:val="0"/>
                <w:sz w:val="17"/>
              </w:rPr>
              <w:t>Baseline</w:t>
            </w:r>
          </w:p>
        </w:tc>
        <w:tc>
          <w:tcPr>
            <w:tcW w:type="dxa" w:w="794"/>
            <w:vAlign w:val="center"/>
            <w:tcMar>
              <w:top w:w="65" w:type="dxa"/>
              <w:left w:w="65" w:type="dxa"/>
              <w:bottom w:w="65" w:type="dxa"/>
              <w:right w:w="65" w:type="dxa"/>
            </w:tcMar>
          </w:tcPr>
          <w:p>
            <w:pPr>
              <w:pStyle w:val="TableText"/>
              <w:keepNext/>
              <w:widowControl/>
              <w:jc w:val="left"/>
            </w:pPr>
            <w:r>
              <w:rPr>
                <w:b w:val="0"/>
                <w:sz w:val="17"/>
              </w:rPr>
              <w:t>Gemini</w:t>
            </w:r>
          </w:p>
        </w:tc>
        <w:tc>
          <w:tcPr>
            <w:tcW w:type="dxa" w:w="737"/>
            <w:vAlign w:val="center"/>
            <w:tcMar>
              <w:top w:w="65" w:type="dxa"/>
              <w:left w:w="65" w:type="dxa"/>
              <w:bottom w:w="65" w:type="dxa"/>
              <w:right w:w="65" w:type="dxa"/>
            </w:tcMar>
          </w:tcPr>
          <w:p>
            <w:pPr>
              <w:pStyle w:val="TableText"/>
              <w:keepNext/>
              <w:widowControl/>
              <w:jc w:val="left"/>
            </w:pPr>
            <w:r>
              <w:rPr>
                <w:b w:val="0"/>
                <w:sz w:val="17"/>
              </w:rPr>
              <w:t>B1</w:t>
            </w:r>
          </w:p>
        </w:tc>
        <w:tc>
          <w:tcPr>
            <w:tcW w:type="dxa" w:w="1757"/>
            <w:vAlign w:val="center"/>
            <w:tcMar>
              <w:top w:w="65" w:type="dxa"/>
              <w:left w:w="65" w:type="dxa"/>
              <w:bottom w:w="65" w:type="dxa"/>
              <w:right w:w="65" w:type="dxa"/>
            </w:tcMar>
          </w:tcPr>
          <w:p>
            <w:pPr>
              <w:pStyle w:val="TableText"/>
              <w:keepNext/>
              <w:widowControl/>
              <w:jc w:val="left"/>
            </w:pPr>
            <w:r>
              <w:rPr>
                <w:b w:val="0"/>
                <w:sz w:val="17"/>
              </w:rPr>
              <w:t>+0.0220</w:t>
            </w:r>
          </w:p>
        </w:tc>
        <w:tc>
          <w:tcPr>
            <w:tcW w:type="dxa" w:w="1757"/>
            <w:vAlign w:val="center"/>
            <w:tcMar>
              <w:top w:w="65" w:type="dxa"/>
              <w:left w:w="65" w:type="dxa"/>
              <w:bottom w:w="65" w:type="dxa"/>
              <w:right w:w="65" w:type="dxa"/>
            </w:tcMar>
          </w:tcPr>
          <w:p>
            <w:pPr>
              <w:pStyle w:val="TableText"/>
              <w:keepNext/>
              <w:widowControl/>
              <w:jc w:val="left"/>
            </w:pPr>
            <w:r>
              <w:rPr>
                <w:b w:val="0"/>
                <w:sz w:val="17"/>
              </w:rPr>
              <w:t>-0.0020</w:t>
            </w:r>
          </w:p>
        </w:tc>
        <w:tc>
          <w:tcPr>
            <w:tcW w:type="dxa" w:w="1701"/>
            <w:vAlign w:val="center"/>
            <w:tcMar>
              <w:top w:w="65" w:type="dxa"/>
              <w:left w:w="65" w:type="dxa"/>
              <w:bottom w:w="65" w:type="dxa"/>
              <w:right w:w="65" w:type="dxa"/>
            </w:tcMar>
          </w:tcPr>
          <w:p>
            <w:pPr>
              <w:pStyle w:val="TableText"/>
              <w:keepNext/>
              <w:widowControl/>
              <w:jc w:val="left"/>
            </w:pPr>
            <w:r>
              <w:rPr>
                <w:b w:val="0"/>
                <w:sz w:val="17"/>
              </w:rPr>
              <w:t>0.270</w:t>
            </w:r>
          </w:p>
        </w:tc>
      </w:tr>
      <w:tr>
        <w:trPr>
          <w:cantSplit/>
        </w:trPr>
        <w:tc>
          <w:tcPr>
            <w:tcW w:type="dxa" w:w="1191"/>
            <w:vAlign w:val="center"/>
            <w:tcMar>
              <w:top w:w="65" w:type="dxa"/>
              <w:left w:w="65" w:type="dxa"/>
              <w:bottom w:w="65" w:type="dxa"/>
              <w:right w:w="65" w:type="dxa"/>
            </w:tcMar>
          </w:tcPr>
          <w:p>
            <w:pPr>
              <w:pStyle w:val="TableText"/>
              <w:keepNext w:val="0"/>
              <w:widowControl/>
              <w:jc w:val="left"/>
            </w:pPr>
            <w:r>
              <w:rPr>
                <w:b w:val="0"/>
                <w:sz w:val="17"/>
              </w:rPr>
              <w:t>Baseline</w:t>
            </w:r>
          </w:p>
        </w:tc>
        <w:tc>
          <w:tcPr>
            <w:tcW w:type="dxa" w:w="794"/>
            <w:vAlign w:val="center"/>
            <w:tcMar>
              <w:top w:w="65" w:type="dxa"/>
              <w:left w:w="65" w:type="dxa"/>
              <w:bottom w:w="65" w:type="dxa"/>
              <w:right w:w="65" w:type="dxa"/>
            </w:tcMar>
          </w:tcPr>
          <w:p>
            <w:pPr>
              <w:pStyle w:val="TableText"/>
              <w:keepNext w:val="0"/>
              <w:widowControl/>
              <w:jc w:val="left"/>
            </w:pPr>
            <w:r>
              <w:rPr>
                <w:b w:val="0"/>
                <w:sz w:val="17"/>
              </w:rPr>
              <w:t>Gemini</w:t>
            </w:r>
          </w:p>
        </w:tc>
        <w:tc>
          <w:tcPr>
            <w:tcW w:type="dxa" w:w="737"/>
            <w:vAlign w:val="center"/>
            <w:tcMar>
              <w:top w:w="65" w:type="dxa"/>
              <w:left w:w="65" w:type="dxa"/>
              <w:bottom w:w="65" w:type="dxa"/>
              <w:right w:w="65" w:type="dxa"/>
            </w:tcMar>
          </w:tcPr>
          <w:p>
            <w:pPr>
              <w:pStyle w:val="TableText"/>
              <w:keepNext w:val="0"/>
              <w:widowControl/>
              <w:jc w:val="left"/>
            </w:pPr>
            <w:r>
              <w:rPr>
                <w:b w:val="0"/>
                <w:sz w:val="17"/>
              </w:rPr>
              <w:t>BINF</w:t>
            </w:r>
          </w:p>
        </w:tc>
        <w:tc>
          <w:tcPr>
            <w:tcW w:type="dxa" w:w="1757"/>
            <w:vAlign w:val="center"/>
            <w:tcMar>
              <w:top w:w="65" w:type="dxa"/>
              <w:left w:w="65" w:type="dxa"/>
              <w:bottom w:w="65" w:type="dxa"/>
              <w:right w:w="65" w:type="dxa"/>
            </w:tcMar>
          </w:tcPr>
          <w:p>
            <w:pPr>
              <w:pStyle w:val="TableText"/>
              <w:keepNext w:val="0"/>
              <w:widowControl/>
              <w:jc w:val="left"/>
            </w:pPr>
            <w:r>
              <w:rPr>
                <w:b w:val="0"/>
                <w:sz w:val="17"/>
              </w:rPr>
              <w:t>+0.0180</w:t>
            </w:r>
          </w:p>
        </w:tc>
        <w:tc>
          <w:tcPr>
            <w:tcW w:type="dxa" w:w="1757"/>
            <w:vAlign w:val="center"/>
            <w:tcMar>
              <w:top w:w="65" w:type="dxa"/>
              <w:left w:w="65" w:type="dxa"/>
              <w:bottom w:w="65" w:type="dxa"/>
              <w:right w:w="65" w:type="dxa"/>
            </w:tcMar>
          </w:tcPr>
          <w:p>
            <w:pPr>
              <w:pStyle w:val="TableText"/>
              <w:keepNext w:val="0"/>
              <w:widowControl/>
              <w:jc w:val="left"/>
            </w:pPr>
            <w:r>
              <w:rPr>
                <w:b w:val="0"/>
                <w:sz w:val="17"/>
              </w:rPr>
              <w:t>+0.0586</w:t>
            </w:r>
          </w:p>
        </w:tc>
        <w:tc>
          <w:tcPr>
            <w:tcW w:type="dxa" w:w="1701"/>
            <w:vAlign w:val="center"/>
            <w:tcMar>
              <w:top w:w="65" w:type="dxa"/>
              <w:left w:w="65" w:type="dxa"/>
              <w:bottom w:w="65" w:type="dxa"/>
              <w:right w:w="65" w:type="dxa"/>
            </w:tcMar>
          </w:tcPr>
          <w:p>
            <w:pPr>
              <w:pStyle w:val="TableText"/>
              <w:keepNext w:val="0"/>
              <w:widowControl/>
              <w:jc w:val="left"/>
            </w:pPr>
            <w:r>
              <w:rPr>
                <w:b w:val="0"/>
                <w:sz w:val="17"/>
              </w:rPr>
              <w:t>0.286</w:t>
            </w:r>
          </w:p>
        </w:tc>
      </w:tr>
      <w:tr>
        <w:trPr>
          <w:cantSplit/>
        </w:trPr>
        <w:tc>
          <w:tcPr>
            <w:tcW w:type="dxa" w:w="1191"/>
            <w:vAlign w:val="center"/>
            <w:tcMar>
              <w:top w:w="65" w:type="dxa"/>
              <w:left w:w="65" w:type="dxa"/>
              <w:bottom w:w="65" w:type="dxa"/>
              <w:right w:w="65" w:type="dxa"/>
            </w:tcMar>
          </w:tcPr>
          <w:p>
            <w:pPr>
              <w:pStyle w:val="TableText"/>
              <w:keepNext w:val="0"/>
              <w:widowControl/>
              <w:jc w:val="left"/>
            </w:pPr>
            <w:r>
              <w:rPr>
                <w:b w:val="0"/>
                <w:sz w:val="17"/>
              </w:rPr>
              <w:t>Baseline</w:t>
            </w:r>
          </w:p>
        </w:tc>
        <w:tc>
          <w:tcPr>
            <w:tcW w:type="dxa" w:w="794"/>
            <w:vAlign w:val="center"/>
            <w:tcMar>
              <w:top w:w="65" w:type="dxa"/>
              <w:left w:w="65" w:type="dxa"/>
              <w:bottom w:w="65" w:type="dxa"/>
              <w:right w:w="65" w:type="dxa"/>
            </w:tcMar>
          </w:tcPr>
          <w:p>
            <w:pPr>
              <w:pStyle w:val="TableText"/>
              <w:keepNext w:val="0"/>
              <w:widowControl/>
              <w:jc w:val="left"/>
            </w:pPr>
            <w:r>
              <w:rPr>
                <w:b w:val="0"/>
                <w:sz w:val="17"/>
              </w:rPr>
              <w:t>GPT</w:t>
            </w:r>
          </w:p>
        </w:tc>
        <w:tc>
          <w:tcPr>
            <w:tcW w:type="dxa" w:w="737"/>
            <w:vAlign w:val="center"/>
            <w:tcMar>
              <w:top w:w="65" w:type="dxa"/>
              <w:left w:w="65" w:type="dxa"/>
              <w:bottom w:w="65" w:type="dxa"/>
              <w:right w:w="65" w:type="dxa"/>
            </w:tcMar>
          </w:tcPr>
          <w:p>
            <w:pPr>
              <w:pStyle w:val="TableText"/>
              <w:keepNext w:val="0"/>
              <w:widowControl/>
              <w:jc w:val="left"/>
            </w:pPr>
            <w:r>
              <w:rPr>
                <w:b w:val="0"/>
                <w:sz w:val="17"/>
              </w:rPr>
              <w:t>B1</w:t>
            </w:r>
          </w:p>
        </w:tc>
        <w:tc>
          <w:tcPr>
            <w:tcW w:type="dxa" w:w="1757"/>
            <w:vAlign w:val="center"/>
            <w:tcMar>
              <w:top w:w="65" w:type="dxa"/>
              <w:left w:w="65" w:type="dxa"/>
              <w:bottom w:w="65" w:type="dxa"/>
              <w:right w:w="65" w:type="dxa"/>
            </w:tcMar>
          </w:tcPr>
          <w:p>
            <w:pPr>
              <w:pStyle w:val="TableText"/>
              <w:keepNext w:val="0"/>
              <w:widowControl/>
              <w:jc w:val="left"/>
            </w:pPr>
            <w:r>
              <w:rPr>
                <w:b w:val="0"/>
                <w:sz w:val="17"/>
              </w:rPr>
              <w:t>+0.0375</w:t>
            </w:r>
          </w:p>
        </w:tc>
        <w:tc>
          <w:tcPr>
            <w:tcW w:type="dxa" w:w="1757"/>
            <w:vAlign w:val="center"/>
            <w:tcMar>
              <w:top w:w="65" w:type="dxa"/>
              <w:left w:w="65" w:type="dxa"/>
              <w:bottom w:w="65" w:type="dxa"/>
              <w:right w:w="65" w:type="dxa"/>
            </w:tcMar>
          </w:tcPr>
          <w:p>
            <w:pPr>
              <w:pStyle w:val="TableText"/>
              <w:keepNext w:val="0"/>
              <w:widowControl/>
              <w:jc w:val="left"/>
            </w:pPr>
            <w:r>
              <w:rPr>
                <w:b w:val="0"/>
                <w:sz w:val="17"/>
              </w:rPr>
              <w:t>+0.0566</w:t>
            </w:r>
          </w:p>
        </w:tc>
        <w:tc>
          <w:tcPr>
            <w:tcW w:type="dxa" w:w="1701"/>
            <w:vAlign w:val="center"/>
            <w:tcMar>
              <w:top w:w="65" w:type="dxa"/>
              <w:left w:w="65" w:type="dxa"/>
              <w:bottom w:w="65" w:type="dxa"/>
              <w:right w:w="65" w:type="dxa"/>
            </w:tcMar>
          </w:tcPr>
          <w:p>
            <w:pPr>
              <w:pStyle w:val="TableText"/>
              <w:keepNext w:val="0"/>
              <w:widowControl/>
              <w:jc w:val="left"/>
            </w:pPr>
            <w:r>
              <w:rPr>
                <w:b w:val="0"/>
                <w:sz w:val="17"/>
              </w:rPr>
              <w:t>0.198</w:t>
            </w:r>
          </w:p>
        </w:tc>
      </w:tr>
      <w:tr>
        <w:trPr>
          <w:cantSplit/>
        </w:trPr>
        <w:tc>
          <w:tcPr>
            <w:tcW w:type="dxa" w:w="1191"/>
            <w:vAlign w:val="center"/>
            <w:tcMar>
              <w:top w:w="65" w:type="dxa"/>
              <w:left w:w="65" w:type="dxa"/>
              <w:bottom w:w="65" w:type="dxa"/>
              <w:right w:w="65" w:type="dxa"/>
            </w:tcMar>
          </w:tcPr>
          <w:p>
            <w:pPr>
              <w:pStyle w:val="TableText"/>
              <w:keepNext w:val="0"/>
              <w:widowControl/>
              <w:jc w:val="left"/>
            </w:pPr>
            <w:r>
              <w:rPr>
                <w:b w:val="0"/>
                <w:sz w:val="17"/>
              </w:rPr>
              <w:t>Baseline</w:t>
            </w:r>
          </w:p>
        </w:tc>
        <w:tc>
          <w:tcPr>
            <w:tcW w:type="dxa" w:w="794"/>
            <w:vAlign w:val="center"/>
            <w:tcMar>
              <w:top w:w="65" w:type="dxa"/>
              <w:left w:w="65" w:type="dxa"/>
              <w:bottom w:w="65" w:type="dxa"/>
              <w:right w:w="65" w:type="dxa"/>
            </w:tcMar>
          </w:tcPr>
          <w:p>
            <w:pPr>
              <w:pStyle w:val="TableText"/>
              <w:keepNext w:val="0"/>
              <w:widowControl/>
              <w:jc w:val="left"/>
            </w:pPr>
            <w:r>
              <w:rPr>
                <w:b w:val="0"/>
                <w:sz w:val="17"/>
              </w:rPr>
              <w:t>GPT</w:t>
            </w:r>
          </w:p>
        </w:tc>
        <w:tc>
          <w:tcPr>
            <w:tcW w:type="dxa" w:w="737"/>
            <w:vAlign w:val="center"/>
            <w:tcMar>
              <w:top w:w="65" w:type="dxa"/>
              <w:left w:w="65" w:type="dxa"/>
              <w:bottom w:w="65" w:type="dxa"/>
              <w:right w:w="65" w:type="dxa"/>
            </w:tcMar>
          </w:tcPr>
          <w:p>
            <w:pPr>
              <w:pStyle w:val="TableText"/>
              <w:keepNext w:val="0"/>
              <w:widowControl/>
              <w:jc w:val="left"/>
            </w:pPr>
            <w:r>
              <w:rPr>
                <w:b w:val="0"/>
                <w:sz w:val="17"/>
              </w:rPr>
              <w:t>BINF</w:t>
            </w:r>
          </w:p>
        </w:tc>
        <w:tc>
          <w:tcPr>
            <w:tcW w:type="dxa" w:w="1757"/>
            <w:vAlign w:val="center"/>
            <w:tcMar>
              <w:top w:w="65" w:type="dxa"/>
              <w:left w:w="65" w:type="dxa"/>
              <w:bottom w:w="65" w:type="dxa"/>
              <w:right w:w="65" w:type="dxa"/>
            </w:tcMar>
          </w:tcPr>
          <w:p>
            <w:pPr>
              <w:pStyle w:val="TableText"/>
              <w:keepNext w:val="0"/>
              <w:widowControl/>
              <w:jc w:val="left"/>
            </w:pPr>
            <w:r>
              <w:rPr>
                <w:b w:val="0"/>
                <w:sz w:val="17"/>
              </w:rPr>
              <w:t>+0.1472</w:t>
            </w:r>
          </w:p>
        </w:tc>
        <w:tc>
          <w:tcPr>
            <w:tcW w:type="dxa" w:w="1757"/>
            <w:vAlign w:val="center"/>
            <w:tcMar>
              <w:top w:w="65" w:type="dxa"/>
              <w:left w:w="65" w:type="dxa"/>
              <w:bottom w:w="65" w:type="dxa"/>
              <w:right w:w="65" w:type="dxa"/>
            </w:tcMar>
          </w:tcPr>
          <w:p>
            <w:pPr>
              <w:pStyle w:val="TableText"/>
              <w:keepNext w:val="0"/>
              <w:widowControl/>
              <w:jc w:val="left"/>
            </w:pPr>
            <w:r>
              <w:rPr>
                <w:b w:val="0"/>
                <w:sz w:val="17"/>
              </w:rPr>
              <w:t>+0.1111</w:t>
            </w:r>
          </w:p>
        </w:tc>
        <w:tc>
          <w:tcPr>
            <w:tcW w:type="dxa" w:w="1701"/>
            <w:vAlign w:val="center"/>
            <w:tcMar>
              <w:top w:w="65" w:type="dxa"/>
              <w:left w:w="65" w:type="dxa"/>
              <w:bottom w:w="65" w:type="dxa"/>
              <w:right w:w="65" w:type="dxa"/>
            </w:tcMar>
          </w:tcPr>
          <w:p>
            <w:pPr>
              <w:pStyle w:val="TableText"/>
              <w:keepNext w:val="0"/>
              <w:widowControl/>
              <w:jc w:val="left"/>
            </w:pPr>
            <w:r>
              <w:rPr>
                <w:b w:val="0"/>
                <w:sz w:val="17"/>
              </w:rPr>
              <w:t>0.216</w:t>
            </w:r>
          </w:p>
        </w:tc>
      </w:tr>
      <w:tr>
        <w:trPr>
          <w:cantSplit/>
        </w:trPr>
        <w:tc>
          <w:tcPr>
            <w:tcW w:type="dxa" w:w="1191"/>
            <w:vAlign w:val="center"/>
            <w:tcMar>
              <w:top w:w="65" w:type="dxa"/>
              <w:left w:w="65" w:type="dxa"/>
              <w:bottom w:w="65" w:type="dxa"/>
              <w:right w:w="65" w:type="dxa"/>
            </w:tcMar>
          </w:tcPr>
          <w:p>
            <w:pPr>
              <w:pStyle w:val="TableText"/>
              <w:keepNext w:val="0"/>
              <w:widowControl/>
              <w:jc w:val="left"/>
            </w:pPr>
            <w:r>
              <w:rPr>
                <w:b w:val="0"/>
                <w:sz w:val="17"/>
              </w:rPr>
              <w:t>High</w:t>
            </w:r>
          </w:p>
        </w:tc>
        <w:tc>
          <w:tcPr>
            <w:tcW w:type="dxa" w:w="794"/>
            <w:vAlign w:val="center"/>
            <w:tcMar>
              <w:top w:w="65" w:type="dxa"/>
              <w:left w:w="65" w:type="dxa"/>
              <w:bottom w:w="65" w:type="dxa"/>
              <w:right w:w="65" w:type="dxa"/>
            </w:tcMar>
          </w:tcPr>
          <w:p>
            <w:pPr>
              <w:pStyle w:val="TableText"/>
              <w:keepNext w:val="0"/>
              <w:widowControl/>
              <w:jc w:val="left"/>
            </w:pPr>
            <w:r>
              <w:rPr>
                <w:b w:val="0"/>
                <w:sz w:val="17"/>
              </w:rPr>
              <w:t>Gemini</w:t>
            </w:r>
          </w:p>
        </w:tc>
        <w:tc>
          <w:tcPr>
            <w:tcW w:type="dxa" w:w="737"/>
            <w:vAlign w:val="center"/>
            <w:tcMar>
              <w:top w:w="65" w:type="dxa"/>
              <w:left w:w="65" w:type="dxa"/>
              <w:bottom w:w="65" w:type="dxa"/>
              <w:right w:w="65" w:type="dxa"/>
            </w:tcMar>
          </w:tcPr>
          <w:p>
            <w:pPr>
              <w:pStyle w:val="TableText"/>
              <w:keepNext w:val="0"/>
              <w:widowControl/>
              <w:jc w:val="left"/>
            </w:pPr>
            <w:r>
              <w:rPr>
                <w:b w:val="0"/>
                <w:sz w:val="17"/>
              </w:rPr>
              <w:t>B1</w:t>
            </w:r>
          </w:p>
        </w:tc>
        <w:tc>
          <w:tcPr>
            <w:tcW w:type="dxa" w:w="1757"/>
            <w:vAlign w:val="center"/>
            <w:tcMar>
              <w:top w:w="65" w:type="dxa"/>
              <w:left w:w="65" w:type="dxa"/>
              <w:bottom w:w="65" w:type="dxa"/>
              <w:right w:w="65" w:type="dxa"/>
            </w:tcMar>
          </w:tcPr>
          <w:p>
            <w:pPr>
              <w:pStyle w:val="TableText"/>
              <w:keepNext w:val="0"/>
              <w:widowControl/>
              <w:jc w:val="left"/>
            </w:pPr>
            <w:r>
              <w:rPr>
                <w:b w:val="0"/>
                <w:sz w:val="17"/>
              </w:rPr>
              <w:t>+0.0897</w:t>
            </w:r>
          </w:p>
        </w:tc>
        <w:tc>
          <w:tcPr>
            <w:tcW w:type="dxa" w:w="1757"/>
            <w:vAlign w:val="center"/>
            <w:tcMar>
              <w:top w:w="65" w:type="dxa"/>
              <w:left w:w="65" w:type="dxa"/>
              <w:bottom w:w="65" w:type="dxa"/>
              <w:right w:w="65" w:type="dxa"/>
            </w:tcMar>
          </w:tcPr>
          <w:p>
            <w:pPr>
              <w:pStyle w:val="TableText"/>
              <w:keepNext w:val="0"/>
              <w:widowControl/>
              <w:jc w:val="left"/>
            </w:pPr>
            <w:r>
              <w:rPr>
                <w:b w:val="0"/>
                <w:sz w:val="17"/>
              </w:rPr>
              <w:t>+0.0653</w:t>
            </w:r>
          </w:p>
        </w:tc>
        <w:tc>
          <w:tcPr>
            <w:tcW w:type="dxa" w:w="1701"/>
            <w:vAlign w:val="center"/>
            <w:tcMar>
              <w:top w:w="65" w:type="dxa"/>
              <w:left w:w="65" w:type="dxa"/>
              <w:bottom w:w="65" w:type="dxa"/>
              <w:right w:w="65" w:type="dxa"/>
            </w:tcMar>
          </w:tcPr>
          <w:p>
            <w:pPr>
              <w:pStyle w:val="TableText"/>
              <w:keepNext w:val="0"/>
              <w:widowControl/>
              <w:jc w:val="left"/>
            </w:pPr>
            <w:r>
              <w:rPr>
                <w:b w:val="0"/>
                <w:sz w:val="17"/>
              </w:rPr>
              <w:t>0.064</w:t>
            </w:r>
          </w:p>
        </w:tc>
      </w:tr>
      <w:tr>
        <w:trPr>
          <w:cantSplit/>
        </w:trPr>
        <w:tc>
          <w:tcPr>
            <w:tcW w:type="dxa" w:w="1191"/>
            <w:vAlign w:val="center"/>
            <w:tcMar>
              <w:top w:w="65" w:type="dxa"/>
              <w:left w:w="65" w:type="dxa"/>
              <w:bottom w:w="65" w:type="dxa"/>
              <w:right w:w="65" w:type="dxa"/>
            </w:tcMar>
          </w:tcPr>
          <w:p>
            <w:pPr>
              <w:pStyle w:val="TableText"/>
              <w:keepNext w:val="0"/>
              <w:widowControl/>
              <w:jc w:val="left"/>
            </w:pPr>
            <w:r>
              <w:rPr>
                <w:b w:val="0"/>
                <w:sz w:val="17"/>
              </w:rPr>
              <w:t>High</w:t>
            </w:r>
          </w:p>
        </w:tc>
        <w:tc>
          <w:tcPr>
            <w:tcW w:type="dxa" w:w="794"/>
            <w:vAlign w:val="center"/>
            <w:tcMar>
              <w:top w:w="65" w:type="dxa"/>
              <w:left w:w="65" w:type="dxa"/>
              <w:bottom w:w="65" w:type="dxa"/>
              <w:right w:w="65" w:type="dxa"/>
            </w:tcMar>
          </w:tcPr>
          <w:p>
            <w:pPr>
              <w:pStyle w:val="TableText"/>
              <w:keepNext w:val="0"/>
              <w:widowControl/>
              <w:jc w:val="left"/>
            </w:pPr>
            <w:r>
              <w:rPr>
                <w:b w:val="0"/>
                <w:sz w:val="17"/>
              </w:rPr>
              <w:t>Gemini</w:t>
            </w:r>
          </w:p>
        </w:tc>
        <w:tc>
          <w:tcPr>
            <w:tcW w:type="dxa" w:w="737"/>
            <w:vAlign w:val="center"/>
            <w:tcMar>
              <w:top w:w="65" w:type="dxa"/>
              <w:left w:w="65" w:type="dxa"/>
              <w:bottom w:w="65" w:type="dxa"/>
              <w:right w:w="65" w:type="dxa"/>
            </w:tcMar>
          </w:tcPr>
          <w:p>
            <w:pPr>
              <w:pStyle w:val="TableText"/>
              <w:keepNext w:val="0"/>
              <w:widowControl/>
              <w:jc w:val="left"/>
            </w:pPr>
            <w:r>
              <w:rPr>
                <w:b w:val="0"/>
                <w:sz w:val="17"/>
              </w:rPr>
              <w:t>BINF</w:t>
            </w:r>
          </w:p>
        </w:tc>
        <w:tc>
          <w:tcPr>
            <w:tcW w:type="dxa" w:w="1757"/>
            <w:vAlign w:val="center"/>
            <w:tcMar>
              <w:top w:w="65" w:type="dxa"/>
              <w:left w:w="65" w:type="dxa"/>
              <w:bottom w:w="65" w:type="dxa"/>
              <w:right w:w="65" w:type="dxa"/>
            </w:tcMar>
          </w:tcPr>
          <w:p>
            <w:pPr>
              <w:pStyle w:val="TableText"/>
              <w:keepNext w:val="0"/>
              <w:widowControl/>
              <w:jc w:val="left"/>
            </w:pPr>
            <w:r>
              <w:rPr>
                <w:b w:val="0"/>
                <w:sz w:val="17"/>
              </w:rPr>
              <w:t>+0.0431</w:t>
            </w:r>
          </w:p>
        </w:tc>
        <w:tc>
          <w:tcPr>
            <w:tcW w:type="dxa" w:w="1757"/>
            <w:vAlign w:val="center"/>
            <w:tcMar>
              <w:top w:w="65" w:type="dxa"/>
              <w:left w:w="65" w:type="dxa"/>
              <w:bottom w:w="65" w:type="dxa"/>
              <w:right w:w="65" w:type="dxa"/>
            </w:tcMar>
          </w:tcPr>
          <w:p>
            <w:pPr>
              <w:pStyle w:val="TableText"/>
              <w:keepNext w:val="0"/>
              <w:widowControl/>
              <w:jc w:val="left"/>
            </w:pPr>
            <w:r>
              <w:rPr>
                <w:b w:val="0"/>
                <w:sz w:val="17"/>
              </w:rPr>
              <w:t>-0.0022</w:t>
            </w:r>
          </w:p>
        </w:tc>
        <w:tc>
          <w:tcPr>
            <w:tcW w:type="dxa" w:w="1701"/>
            <w:vAlign w:val="center"/>
            <w:tcMar>
              <w:top w:w="65" w:type="dxa"/>
              <w:left w:w="65" w:type="dxa"/>
              <w:bottom w:w="65" w:type="dxa"/>
              <w:right w:w="65" w:type="dxa"/>
            </w:tcMar>
          </w:tcPr>
          <w:p>
            <w:pPr>
              <w:pStyle w:val="TableText"/>
              <w:keepNext w:val="0"/>
              <w:widowControl/>
              <w:jc w:val="left"/>
            </w:pPr>
            <w:r>
              <w:rPr>
                <w:b w:val="0"/>
                <w:sz w:val="17"/>
              </w:rPr>
              <w:t>0.059</w:t>
            </w:r>
          </w:p>
        </w:tc>
      </w:tr>
      <w:tr>
        <w:trPr>
          <w:cantSplit/>
        </w:trPr>
        <w:tc>
          <w:tcPr>
            <w:tcW w:type="dxa" w:w="1191"/>
            <w:vAlign w:val="center"/>
            <w:tcMar>
              <w:top w:w="65" w:type="dxa"/>
              <w:left w:w="65" w:type="dxa"/>
              <w:bottom w:w="65" w:type="dxa"/>
              <w:right w:w="65" w:type="dxa"/>
            </w:tcMar>
          </w:tcPr>
          <w:p>
            <w:pPr>
              <w:pStyle w:val="TableText"/>
              <w:keepNext w:val="0"/>
              <w:widowControl/>
              <w:jc w:val="left"/>
            </w:pPr>
            <w:r>
              <w:rPr>
                <w:b w:val="0"/>
                <w:sz w:val="17"/>
              </w:rPr>
              <w:t>High</w:t>
            </w:r>
          </w:p>
        </w:tc>
        <w:tc>
          <w:tcPr>
            <w:tcW w:type="dxa" w:w="794"/>
            <w:vAlign w:val="center"/>
            <w:tcMar>
              <w:top w:w="65" w:type="dxa"/>
              <w:left w:w="65" w:type="dxa"/>
              <w:bottom w:w="65" w:type="dxa"/>
              <w:right w:w="65" w:type="dxa"/>
            </w:tcMar>
          </w:tcPr>
          <w:p>
            <w:pPr>
              <w:pStyle w:val="TableText"/>
              <w:keepNext w:val="0"/>
              <w:widowControl/>
              <w:jc w:val="left"/>
            </w:pPr>
            <w:r>
              <w:rPr>
                <w:b w:val="0"/>
                <w:sz w:val="17"/>
              </w:rPr>
              <w:t>GPT</w:t>
            </w:r>
          </w:p>
        </w:tc>
        <w:tc>
          <w:tcPr>
            <w:tcW w:type="dxa" w:w="737"/>
            <w:vAlign w:val="center"/>
            <w:tcMar>
              <w:top w:w="65" w:type="dxa"/>
              <w:left w:w="65" w:type="dxa"/>
              <w:bottom w:w="65" w:type="dxa"/>
              <w:right w:w="65" w:type="dxa"/>
            </w:tcMar>
          </w:tcPr>
          <w:p>
            <w:pPr>
              <w:pStyle w:val="TableText"/>
              <w:keepNext w:val="0"/>
              <w:widowControl/>
              <w:jc w:val="left"/>
            </w:pPr>
            <w:r>
              <w:rPr>
                <w:b w:val="0"/>
                <w:sz w:val="17"/>
              </w:rPr>
              <w:t>B1</w:t>
            </w:r>
          </w:p>
        </w:tc>
        <w:tc>
          <w:tcPr>
            <w:tcW w:type="dxa" w:w="1757"/>
            <w:vAlign w:val="center"/>
            <w:tcMar>
              <w:top w:w="65" w:type="dxa"/>
              <w:left w:w="65" w:type="dxa"/>
              <w:bottom w:w="65" w:type="dxa"/>
              <w:right w:w="65" w:type="dxa"/>
            </w:tcMar>
          </w:tcPr>
          <w:p>
            <w:pPr>
              <w:pStyle w:val="TableText"/>
              <w:keepNext w:val="0"/>
              <w:widowControl/>
              <w:jc w:val="left"/>
            </w:pPr>
            <w:r>
              <w:rPr>
                <w:b w:val="0"/>
                <w:sz w:val="17"/>
              </w:rPr>
              <w:t>+0.1003</w:t>
            </w:r>
          </w:p>
        </w:tc>
        <w:tc>
          <w:tcPr>
            <w:tcW w:type="dxa" w:w="1757"/>
            <w:vAlign w:val="center"/>
            <w:tcMar>
              <w:top w:w="65" w:type="dxa"/>
              <w:left w:w="65" w:type="dxa"/>
              <w:bottom w:w="65" w:type="dxa"/>
              <w:right w:w="65" w:type="dxa"/>
            </w:tcMar>
          </w:tcPr>
          <w:p>
            <w:pPr>
              <w:pStyle w:val="TableText"/>
              <w:keepNext w:val="0"/>
              <w:widowControl/>
              <w:jc w:val="left"/>
            </w:pPr>
            <w:r>
              <w:rPr>
                <w:b w:val="0"/>
                <w:sz w:val="17"/>
              </w:rPr>
              <w:t>+0.0978</w:t>
            </w:r>
          </w:p>
        </w:tc>
        <w:tc>
          <w:tcPr>
            <w:tcW w:type="dxa" w:w="1701"/>
            <w:vAlign w:val="center"/>
            <w:tcMar>
              <w:top w:w="65" w:type="dxa"/>
              <w:left w:w="65" w:type="dxa"/>
              <w:bottom w:w="65" w:type="dxa"/>
              <w:right w:w="65" w:type="dxa"/>
            </w:tcMar>
          </w:tcPr>
          <w:p>
            <w:pPr>
              <w:pStyle w:val="TableText"/>
              <w:keepNext w:val="0"/>
              <w:widowControl/>
              <w:jc w:val="left"/>
            </w:pPr>
            <w:r>
              <w:rPr>
                <w:b w:val="0"/>
                <w:sz w:val="17"/>
              </w:rPr>
              <w:t>0.210</w:t>
            </w:r>
          </w:p>
        </w:tc>
      </w:tr>
      <w:tr>
        <w:trPr>
          <w:cantSplit/>
        </w:trPr>
        <w:tc>
          <w:tcPr>
            <w:tcW w:type="dxa" w:w="1191"/>
            <w:vAlign w:val="center"/>
            <w:tcMar>
              <w:top w:w="65" w:type="dxa"/>
              <w:left w:w="65" w:type="dxa"/>
              <w:bottom w:w="65" w:type="dxa"/>
              <w:right w:w="65" w:type="dxa"/>
            </w:tcMar>
          </w:tcPr>
          <w:p>
            <w:pPr>
              <w:pStyle w:val="TableText"/>
              <w:keepNext w:val="0"/>
              <w:widowControl/>
              <w:jc w:val="left"/>
            </w:pPr>
            <w:r>
              <w:rPr>
                <w:b w:val="0"/>
                <w:sz w:val="17"/>
              </w:rPr>
              <w:t>High</w:t>
            </w:r>
          </w:p>
        </w:tc>
        <w:tc>
          <w:tcPr>
            <w:tcW w:type="dxa" w:w="794"/>
            <w:vAlign w:val="center"/>
            <w:tcMar>
              <w:top w:w="65" w:type="dxa"/>
              <w:left w:w="65" w:type="dxa"/>
              <w:bottom w:w="65" w:type="dxa"/>
              <w:right w:w="65" w:type="dxa"/>
            </w:tcMar>
          </w:tcPr>
          <w:p>
            <w:pPr>
              <w:pStyle w:val="TableText"/>
              <w:keepNext w:val="0"/>
              <w:widowControl/>
              <w:jc w:val="left"/>
            </w:pPr>
            <w:r>
              <w:rPr>
                <w:b w:val="0"/>
                <w:sz w:val="17"/>
              </w:rPr>
              <w:t>GPT</w:t>
            </w:r>
          </w:p>
        </w:tc>
        <w:tc>
          <w:tcPr>
            <w:tcW w:type="dxa" w:w="737"/>
            <w:vAlign w:val="center"/>
            <w:tcMar>
              <w:top w:w="65" w:type="dxa"/>
              <w:left w:w="65" w:type="dxa"/>
              <w:bottom w:w="65" w:type="dxa"/>
              <w:right w:w="65" w:type="dxa"/>
            </w:tcMar>
          </w:tcPr>
          <w:p>
            <w:pPr>
              <w:pStyle w:val="TableText"/>
              <w:keepNext w:val="0"/>
              <w:widowControl/>
              <w:jc w:val="left"/>
            </w:pPr>
            <w:r>
              <w:rPr>
                <w:b w:val="0"/>
                <w:sz w:val="17"/>
              </w:rPr>
              <w:t>BINF</w:t>
            </w:r>
          </w:p>
        </w:tc>
        <w:tc>
          <w:tcPr>
            <w:tcW w:type="dxa" w:w="1757"/>
            <w:vAlign w:val="center"/>
            <w:tcMar>
              <w:top w:w="65" w:type="dxa"/>
              <w:left w:w="65" w:type="dxa"/>
              <w:bottom w:w="65" w:type="dxa"/>
              <w:right w:w="65" w:type="dxa"/>
            </w:tcMar>
          </w:tcPr>
          <w:p>
            <w:pPr>
              <w:pStyle w:val="TableText"/>
              <w:keepNext w:val="0"/>
              <w:widowControl/>
              <w:jc w:val="left"/>
            </w:pPr>
            <w:r>
              <w:rPr>
                <w:b w:val="0"/>
                <w:sz w:val="17"/>
              </w:rPr>
              <w:t>+0.2142</w:t>
            </w:r>
          </w:p>
        </w:tc>
        <w:tc>
          <w:tcPr>
            <w:tcW w:type="dxa" w:w="1757"/>
            <w:vAlign w:val="center"/>
            <w:tcMar>
              <w:top w:w="65" w:type="dxa"/>
              <w:left w:w="65" w:type="dxa"/>
              <w:bottom w:w="65" w:type="dxa"/>
              <w:right w:w="65" w:type="dxa"/>
            </w:tcMar>
          </w:tcPr>
          <w:p>
            <w:pPr>
              <w:pStyle w:val="TableText"/>
              <w:keepNext w:val="0"/>
              <w:widowControl/>
              <w:jc w:val="left"/>
            </w:pPr>
            <w:r>
              <w:rPr>
                <w:b w:val="0"/>
                <w:sz w:val="17"/>
              </w:rPr>
              <w:t>+0.1889</w:t>
            </w:r>
          </w:p>
        </w:tc>
        <w:tc>
          <w:tcPr>
            <w:tcW w:type="dxa" w:w="1701"/>
            <w:vAlign w:val="center"/>
            <w:tcMar>
              <w:top w:w="65" w:type="dxa"/>
              <w:left w:w="65" w:type="dxa"/>
              <w:bottom w:w="65" w:type="dxa"/>
              <w:right w:w="65" w:type="dxa"/>
            </w:tcMar>
          </w:tcPr>
          <w:p>
            <w:pPr>
              <w:pStyle w:val="TableText"/>
              <w:keepNext w:val="0"/>
              <w:widowControl/>
              <w:jc w:val="left"/>
            </w:pPr>
            <w:r>
              <w:rPr>
                <w:b w:val="0"/>
                <w:sz w:val="17"/>
              </w:rPr>
              <w:t>0.294</w:t>
            </w:r>
          </w:p>
        </w:tc>
      </w:tr>
    </w:tbl>
    <w:p>
      <w:pPr>
        <w:pStyle w:val="SourceNote"/>
        <w:widowControl/>
      </w:pPr>
      <w:r>
        <w:t>자료: 각 Run의 자기 C4에서 분기한 결과를 같은 575개 기업으로 연결. ρ는 절대 Oracle 점수가 아니라 기업별 C6-E−C4R의 Spearman 상관이다.</w:t>
      </w:r>
    </w:p>
    <w:p>
      <w:pPr>
        <w:widowControl/>
      </w:pPr>
      <w:r>
        <w:t>High B1의 학습참조 평균효과는 Gemini에서 +0.089722와 +0.065302, GPT에서 +0.100324와 +0.097807이다. 평균의 양의 방향은 반복되지만 기업별 증분효과 순위상관은 각각 약 0.064와 0.210이다. 따라서 집단 평균에서 도움이 된다는 사실과 어떤 기업이 더 도움을 받는지 안정적으로 예측할 수 있다는 주장은 다르다.</w:t>
      </w:r>
    </w:p>
    <w:p>
      <w:pPr>
        <w:widowControl/>
      </w:pPr>
      <w:r>
        <w:t>Gemini BINF의 참조 평균은 +0.043085에서 −0.002234로 바뀌고 증분효과 순위상관도 약 0.059이다. GPT BINF는 +0.214199와 +0.188950, 순위상관 약 0.294이다. 작은 순효과가 부호를 바꾼 경우와 비교적 큰 양의 평균이 반복된 경우를 모두 남겨 조건별 차이를 보여준다. Run2를 더 좋은 값만 선택하는 용도로 사용하지 않는다.</w:t>
      </w:r>
    </w:p>
    <w:p>
      <w:bookmarkStart w:id="169" w:name="head_116"/>
      <w:pPr>
        <w:pStyle w:val="3"/>
        <w:widowControl/>
      </w:pPr>
      <w:r>
        <w:t>6.7.2 실제 행동벡터의 반복성</w:t>
      </w:r>
      <w:bookmarkEnd w:id="169"/>
    </w:p>
    <w:p>
      <w:bookmarkStart w:id="170" w:name="cap_54"/>
      <w:pPr>
        <w:pStyle w:val="af"/>
        <w:widowControl/>
      </w:pPr>
      <w:r>
        <w:t>표 6-17. High 자유작성의 실제 8차원 행동 반복성</w:t>
      </w:r>
      <w:bookmarkEnd w:id="170"/>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737"/>
        <w:gridCol w:w="624"/>
        <w:gridCol w:w="964"/>
        <w:gridCol w:w="1701"/>
        <w:gridCol w:w="1984"/>
        <w:gridCol w:w="1928"/>
      </w:tblGrid>
      <w:tr>
        <w:trPr>
          <w:cantSplit/>
          <w:tblHeader/>
        </w:trPr>
        <w:tc>
          <w:tcPr>
            <w:tcW w:type="dxa" w:w="737"/>
            <w:vAlign w:val="center"/>
            <w:shd w:fill="F1F1F1"/>
            <w:tcMar>
              <w:top w:w="65" w:type="dxa"/>
              <w:left w:w="65" w:type="dxa"/>
              <w:bottom w:w="65" w:type="dxa"/>
              <w:right w:w="65" w:type="dxa"/>
            </w:tcMar>
          </w:tcPr>
          <w:p>
            <w:pPr>
              <w:pStyle w:val="TableText"/>
              <w:keepNext/>
              <w:widowControl/>
              <w:jc w:val="center"/>
            </w:pPr>
            <w:r>
              <w:rPr>
                <w:b/>
                <w:sz w:val="17"/>
              </w:rPr>
              <w:t>모델</w:t>
            </w:r>
          </w:p>
        </w:tc>
        <w:tc>
          <w:tcPr>
            <w:tcW w:type="dxa" w:w="624"/>
            <w:vAlign w:val="center"/>
            <w:shd w:fill="F1F1F1"/>
            <w:tcMar>
              <w:top w:w="65" w:type="dxa"/>
              <w:left w:w="65" w:type="dxa"/>
              <w:bottom w:w="65" w:type="dxa"/>
              <w:right w:w="65" w:type="dxa"/>
            </w:tcMar>
          </w:tcPr>
          <w:p>
            <w:pPr>
              <w:pStyle w:val="TableText"/>
              <w:keepNext/>
              <w:widowControl/>
              <w:jc w:val="center"/>
            </w:pPr>
            <w:r>
              <w:rPr>
                <w:b/>
                <w:sz w:val="17"/>
              </w:rPr>
              <w:t>예산</w:t>
            </w:r>
          </w:p>
        </w:tc>
        <w:tc>
          <w:tcPr>
            <w:tcW w:type="dxa" w:w="964"/>
            <w:vAlign w:val="center"/>
            <w:shd w:fill="F1F1F1"/>
            <w:tcMar>
              <w:top w:w="65" w:type="dxa"/>
              <w:left w:w="65" w:type="dxa"/>
              <w:bottom w:w="65" w:type="dxa"/>
              <w:right w:w="65" w:type="dxa"/>
            </w:tcMar>
          </w:tcPr>
          <w:p>
            <w:pPr>
              <w:pStyle w:val="TableText"/>
              <w:keepNext/>
              <w:widowControl/>
              <w:jc w:val="center"/>
            </w:pPr>
            <w:r>
              <w:rPr>
                <w:b/>
                <w:sz w:val="17"/>
              </w:rPr>
              <w:t>정책</w:t>
            </w:r>
          </w:p>
        </w:tc>
        <w:tc>
          <w:tcPr>
            <w:tcW w:type="dxa" w:w="1701"/>
            <w:vAlign w:val="center"/>
            <w:shd w:fill="F1F1F1"/>
            <w:tcMar>
              <w:top w:w="65" w:type="dxa"/>
              <w:left w:w="65" w:type="dxa"/>
              <w:bottom w:w="65" w:type="dxa"/>
              <w:right w:w="65" w:type="dxa"/>
            </w:tcMar>
          </w:tcPr>
          <w:p>
            <w:pPr>
              <w:pStyle w:val="TableText"/>
              <w:keepNext/>
              <w:widowControl/>
              <w:jc w:val="center"/>
            </w:pPr>
            <w:r>
              <w:rPr>
                <w:b/>
                <w:sz w:val="17"/>
              </w:rPr>
              <w:t>공통 수용 N</w:t>
            </w:r>
          </w:p>
        </w:tc>
        <w:tc>
          <w:tcPr>
            <w:tcW w:type="dxa" w:w="1984"/>
            <w:vAlign w:val="center"/>
            <w:shd w:fill="F1F1F1"/>
            <w:tcMar>
              <w:top w:w="65" w:type="dxa"/>
              <w:left w:w="65" w:type="dxa"/>
              <w:bottom w:w="65" w:type="dxa"/>
              <w:right w:w="65" w:type="dxa"/>
            </w:tcMar>
          </w:tcPr>
          <w:p>
            <w:pPr>
              <w:pStyle w:val="TableText"/>
              <w:keepNext/>
              <w:widowControl/>
              <w:jc w:val="center"/>
            </w:pPr>
            <w:r>
              <w:rPr>
                <w:b/>
                <w:sz w:val="17"/>
              </w:rPr>
              <w:t>벡터 일치율</w:t>
            </w:r>
          </w:p>
        </w:tc>
        <w:tc>
          <w:tcPr>
            <w:tcW w:type="dxa" w:w="1928"/>
            <w:vAlign w:val="center"/>
            <w:shd w:fill="F1F1F1"/>
            <w:tcMar>
              <w:top w:w="65" w:type="dxa"/>
              <w:left w:w="65" w:type="dxa"/>
              <w:bottom w:w="65" w:type="dxa"/>
              <w:right w:w="65" w:type="dxa"/>
            </w:tcMar>
          </w:tcPr>
          <w:p>
            <w:pPr>
              <w:pStyle w:val="TableText"/>
              <w:keepNext/>
              <w:widowControl/>
              <w:jc w:val="center"/>
            </w:pPr>
            <w:r>
              <w:rPr>
                <w:b/>
                <w:sz w:val="17"/>
              </w:rPr>
              <w:t>평균 거리</w:t>
            </w:r>
          </w:p>
        </w:tc>
      </w:tr>
      <w:tr>
        <w:trPr>
          <w:cantSplit/>
        </w:trPr>
        <w:tc>
          <w:tcPr>
            <w:tcW w:type="dxa" w:w="737"/>
            <w:vAlign w:val="center"/>
            <w:tcMar>
              <w:top w:w="65" w:type="dxa"/>
              <w:left w:w="65" w:type="dxa"/>
              <w:bottom w:w="65" w:type="dxa"/>
              <w:right w:w="65" w:type="dxa"/>
            </w:tcMar>
          </w:tcPr>
          <w:p>
            <w:pPr>
              <w:pStyle w:val="TableText"/>
              <w:keepNext/>
              <w:widowControl/>
              <w:jc w:val="left"/>
            </w:pPr>
            <w:r>
              <w:rPr>
                <w:b w:val="0"/>
                <w:sz w:val="17"/>
              </w:rPr>
              <w:t>Gemini</w:t>
            </w:r>
          </w:p>
        </w:tc>
        <w:tc>
          <w:tcPr>
            <w:tcW w:type="dxa" w:w="624"/>
            <w:vAlign w:val="center"/>
            <w:tcMar>
              <w:top w:w="65" w:type="dxa"/>
              <w:left w:w="65" w:type="dxa"/>
              <w:bottom w:w="65" w:type="dxa"/>
              <w:right w:w="65" w:type="dxa"/>
            </w:tcMar>
          </w:tcPr>
          <w:p>
            <w:pPr>
              <w:pStyle w:val="TableText"/>
              <w:keepNext/>
              <w:widowControl/>
              <w:jc w:val="left"/>
            </w:pPr>
            <w:r>
              <w:rPr>
                <w:b w:val="0"/>
                <w:sz w:val="17"/>
              </w:rPr>
              <w:t>B1</w:t>
            </w:r>
          </w:p>
        </w:tc>
        <w:tc>
          <w:tcPr>
            <w:tcW w:type="dxa" w:w="964"/>
            <w:vAlign w:val="center"/>
            <w:tcMar>
              <w:top w:w="65" w:type="dxa"/>
              <w:left w:w="65" w:type="dxa"/>
              <w:bottom w:w="65" w:type="dxa"/>
              <w:right w:w="65" w:type="dxa"/>
            </w:tcMar>
          </w:tcPr>
          <w:p>
            <w:pPr>
              <w:pStyle w:val="TableText"/>
              <w:keepNext/>
              <w:widowControl/>
              <w:jc w:val="left"/>
            </w:pPr>
            <w:r>
              <w:rPr>
                <w:b w:val="0"/>
                <w:sz w:val="17"/>
              </w:rPr>
              <w:t>C4</w:t>
            </w:r>
          </w:p>
        </w:tc>
        <w:tc>
          <w:tcPr>
            <w:tcW w:type="dxa" w:w="1701"/>
            <w:vAlign w:val="center"/>
            <w:tcMar>
              <w:top w:w="65" w:type="dxa"/>
              <w:left w:w="65" w:type="dxa"/>
              <w:bottom w:w="65" w:type="dxa"/>
              <w:right w:w="65" w:type="dxa"/>
            </w:tcMar>
          </w:tcPr>
          <w:p>
            <w:pPr>
              <w:pStyle w:val="TableText"/>
              <w:keepNext/>
              <w:widowControl/>
              <w:jc w:val="left"/>
            </w:pPr>
            <w:r>
              <w:rPr>
                <w:b w:val="0"/>
                <w:sz w:val="17"/>
              </w:rPr>
              <w:t>561</w:t>
            </w:r>
          </w:p>
        </w:tc>
        <w:tc>
          <w:tcPr>
            <w:tcW w:type="dxa" w:w="1984"/>
            <w:vAlign w:val="center"/>
            <w:tcMar>
              <w:top w:w="65" w:type="dxa"/>
              <w:left w:w="65" w:type="dxa"/>
              <w:bottom w:w="65" w:type="dxa"/>
              <w:right w:w="65" w:type="dxa"/>
            </w:tcMar>
          </w:tcPr>
          <w:p>
            <w:pPr>
              <w:pStyle w:val="TableText"/>
              <w:keepNext/>
              <w:widowControl/>
              <w:jc w:val="left"/>
            </w:pPr>
            <w:r>
              <w:rPr>
                <w:b w:val="0"/>
                <w:sz w:val="17"/>
              </w:rPr>
              <w:t>7.5%</w:t>
            </w:r>
          </w:p>
        </w:tc>
        <w:tc>
          <w:tcPr>
            <w:tcW w:type="dxa" w:w="1928"/>
            <w:vAlign w:val="center"/>
            <w:tcMar>
              <w:top w:w="65" w:type="dxa"/>
              <w:left w:w="65" w:type="dxa"/>
              <w:bottom w:w="65" w:type="dxa"/>
              <w:right w:w="65" w:type="dxa"/>
            </w:tcMar>
          </w:tcPr>
          <w:p>
            <w:pPr>
              <w:pStyle w:val="TableText"/>
              <w:keepNext/>
              <w:widowControl/>
              <w:jc w:val="left"/>
            </w:pPr>
            <w:r>
              <w:rPr>
                <w:b w:val="0"/>
                <w:sz w:val="17"/>
              </w:rPr>
              <w:t>0.553</w:t>
            </w:r>
          </w:p>
        </w:tc>
      </w:tr>
      <w:tr>
        <w:trPr>
          <w:cantSplit/>
        </w:trPr>
        <w:tc>
          <w:tcPr>
            <w:tcW w:type="dxa" w:w="737"/>
            <w:vAlign w:val="center"/>
            <w:tcMar>
              <w:top w:w="65" w:type="dxa"/>
              <w:left w:w="65" w:type="dxa"/>
              <w:bottom w:w="65" w:type="dxa"/>
              <w:right w:w="65" w:type="dxa"/>
            </w:tcMar>
          </w:tcPr>
          <w:p>
            <w:pPr>
              <w:pStyle w:val="TableText"/>
              <w:keepNext w:val="0"/>
              <w:widowControl/>
              <w:jc w:val="left"/>
            </w:pPr>
            <w:r>
              <w:rPr>
                <w:b w:val="0"/>
                <w:sz w:val="17"/>
              </w:rPr>
              <w:t>Gemini</w:t>
            </w:r>
          </w:p>
        </w:tc>
        <w:tc>
          <w:tcPr>
            <w:tcW w:type="dxa" w:w="624"/>
            <w:vAlign w:val="center"/>
            <w:tcMar>
              <w:top w:w="65" w:type="dxa"/>
              <w:left w:w="65" w:type="dxa"/>
              <w:bottom w:w="65" w:type="dxa"/>
              <w:right w:w="65" w:type="dxa"/>
            </w:tcMar>
          </w:tcPr>
          <w:p>
            <w:pPr>
              <w:pStyle w:val="TableText"/>
              <w:keepNext w:val="0"/>
              <w:widowControl/>
              <w:jc w:val="left"/>
            </w:pPr>
            <w:r>
              <w:rPr>
                <w:b w:val="0"/>
                <w:sz w:val="17"/>
              </w:rPr>
              <w:t>B1</w:t>
            </w:r>
          </w:p>
        </w:tc>
        <w:tc>
          <w:tcPr>
            <w:tcW w:type="dxa" w:w="964"/>
            <w:vAlign w:val="center"/>
            <w:tcMar>
              <w:top w:w="65" w:type="dxa"/>
              <w:left w:w="65" w:type="dxa"/>
              <w:bottom w:w="65" w:type="dxa"/>
              <w:right w:w="65" w:type="dxa"/>
            </w:tcMar>
          </w:tcPr>
          <w:p>
            <w:pPr>
              <w:pStyle w:val="TableText"/>
              <w:keepNext w:val="0"/>
              <w:widowControl/>
              <w:jc w:val="left"/>
            </w:pPr>
            <w:r>
              <w:rPr>
                <w:b w:val="0"/>
                <w:sz w:val="17"/>
              </w:rPr>
              <w:t>C4R</w:t>
            </w:r>
          </w:p>
        </w:tc>
        <w:tc>
          <w:tcPr>
            <w:tcW w:type="dxa" w:w="1701"/>
            <w:vAlign w:val="center"/>
            <w:tcMar>
              <w:top w:w="65" w:type="dxa"/>
              <w:left w:w="65" w:type="dxa"/>
              <w:bottom w:w="65" w:type="dxa"/>
              <w:right w:w="65" w:type="dxa"/>
            </w:tcMar>
          </w:tcPr>
          <w:p>
            <w:pPr>
              <w:pStyle w:val="TableText"/>
              <w:keepNext w:val="0"/>
              <w:widowControl/>
              <w:jc w:val="left"/>
            </w:pPr>
            <w:r>
              <w:rPr>
                <w:b w:val="0"/>
                <w:sz w:val="17"/>
              </w:rPr>
              <w:t>559</w:t>
            </w:r>
          </w:p>
        </w:tc>
        <w:tc>
          <w:tcPr>
            <w:tcW w:type="dxa" w:w="1984"/>
            <w:vAlign w:val="center"/>
            <w:tcMar>
              <w:top w:w="65" w:type="dxa"/>
              <w:left w:w="65" w:type="dxa"/>
              <w:bottom w:w="65" w:type="dxa"/>
              <w:right w:w="65" w:type="dxa"/>
            </w:tcMar>
          </w:tcPr>
          <w:p>
            <w:pPr>
              <w:pStyle w:val="TableText"/>
              <w:keepNext w:val="0"/>
              <w:widowControl/>
              <w:jc w:val="left"/>
            </w:pPr>
            <w:r>
              <w:rPr>
                <w:b w:val="0"/>
                <w:sz w:val="17"/>
              </w:rPr>
              <w:t>6.3%</w:t>
            </w:r>
          </w:p>
        </w:tc>
        <w:tc>
          <w:tcPr>
            <w:tcW w:type="dxa" w:w="1928"/>
            <w:vAlign w:val="center"/>
            <w:tcMar>
              <w:top w:w="65" w:type="dxa"/>
              <w:left w:w="65" w:type="dxa"/>
              <w:bottom w:w="65" w:type="dxa"/>
              <w:right w:w="65" w:type="dxa"/>
            </w:tcMar>
          </w:tcPr>
          <w:p>
            <w:pPr>
              <w:pStyle w:val="TableText"/>
              <w:keepNext w:val="0"/>
              <w:widowControl/>
              <w:jc w:val="left"/>
            </w:pPr>
            <w:r>
              <w:rPr>
                <w:b w:val="0"/>
                <w:sz w:val="17"/>
              </w:rPr>
              <w:t>0.525</w:t>
            </w:r>
          </w:p>
        </w:tc>
      </w:tr>
      <w:tr>
        <w:trPr>
          <w:cantSplit/>
        </w:trPr>
        <w:tc>
          <w:tcPr>
            <w:tcW w:type="dxa" w:w="737"/>
            <w:vAlign w:val="center"/>
            <w:tcMar>
              <w:top w:w="65" w:type="dxa"/>
              <w:left w:w="65" w:type="dxa"/>
              <w:bottom w:w="65" w:type="dxa"/>
              <w:right w:w="65" w:type="dxa"/>
            </w:tcMar>
          </w:tcPr>
          <w:p>
            <w:pPr>
              <w:pStyle w:val="TableText"/>
              <w:keepNext w:val="0"/>
              <w:widowControl/>
              <w:jc w:val="left"/>
            </w:pPr>
            <w:r>
              <w:rPr>
                <w:b w:val="0"/>
                <w:sz w:val="17"/>
              </w:rPr>
              <w:t>Gemini</w:t>
            </w:r>
          </w:p>
        </w:tc>
        <w:tc>
          <w:tcPr>
            <w:tcW w:type="dxa" w:w="624"/>
            <w:vAlign w:val="center"/>
            <w:tcMar>
              <w:top w:w="65" w:type="dxa"/>
              <w:left w:w="65" w:type="dxa"/>
              <w:bottom w:w="65" w:type="dxa"/>
              <w:right w:w="65" w:type="dxa"/>
            </w:tcMar>
          </w:tcPr>
          <w:p>
            <w:pPr>
              <w:pStyle w:val="TableText"/>
              <w:keepNext w:val="0"/>
              <w:widowControl/>
              <w:jc w:val="left"/>
            </w:pPr>
            <w:r>
              <w:rPr>
                <w:b w:val="0"/>
                <w:sz w:val="17"/>
              </w:rPr>
              <w:t>B1</w:t>
            </w:r>
          </w:p>
        </w:tc>
        <w:tc>
          <w:tcPr>
            <w:tcW w:type="dxa" w:w="964"/>
            <w:vAlign w:val="center"/>
            <w:tcMar>
              <w:top w:w="65" w:type="dxa"/>
              <w:left w:w="65" w:type="dxa"/>
              <w:bottom w:w="65" w:type="dxa"/>
              <w:right w:w="65" w:type="dxa"/>
            </w:tcMar>
          </w:tcPr>
          <w:p>
            <w:pPr>
              <w:pStyle w:val="TableText"/>
              <w:keepNext w:val="0"/>
              <w:widowControl/>
              <w:jc w:val="left"/>
            </w:pPr>
            <w:r>
              <w:rPr>
                <w:b w:val="0"/>
                <w:sz w:val="17"/>
              </w:rPr>
              <w:t>C6-E</w:t>
            </w:r>
          </w:p>
        </w:tc>
        <w:tc>
          <w:tcPr>
            <w:tcW w:type="dxa" w:w="1701"/>
            <w:vAlign w:val="center"/>
            <w:tcMar>
              <w:top w:w="65" w:type="dxa"/>
              <w:left w:w="65" w:type="dxa"/>
              <w:bottom w:w="65" w:type="dxa"/>
              <w:right w:w="65" w:type="dxa"/>
            </w:tcMar>
          </w:tcPr>
          <w:p>
            <w:pPr>
              <w:pStyle w:val="TableText"/>
              <w:keepNext w:val="0"/>
              <w:widowControl/>
              <w:jc w:val="left"/>
            </w:pPr>
            <w:r>
              <w:rPr>
                <w:b w:val="0"/>
                <w:sz w:val="17"/>
              </w:rPr>
              <w:t>554</w:t>
            </w:r>
          </w:p>
        </w:tc>
        <w:tc>
          <w:tcPr>
            <w:tcW w:type="dxa" w:w="1984"/>
            <w:vAlign w:val="center"/>
            <w:tcMar>
              <w:top w:w="65" w:type="dxa"/>
              <w:left w:w="65" w:type="dxa"/>
              <w:bottom w:w="65" w:type="dxa"/>
              <w:right w:w="65" w:type="dxa"/>
            </w:tcMar>
          </w:tcPr>
          <w:p>
            <w:pPr>
              <w:pStyle w:val="TableText"/>
              <w:keepNext w:val="0"/>
              <w:widowControl/>
              <w:jc w:val="left"/>
            </w:pPr>
            <w:r>
              <w:rPr>
                <w:b w:val="0"/>
                <w:sz w:val="17"/>
              </w:rPr>
              <w:t>11.2%</w:t>
            </w:r>
          </w:p>
        </w:tc>
        <w:tc>
          <w:tcPr>
            <w:tcW w:type="dxa" w:w="1928"/>
            <w:vAlign w:val="center"/>
            <w:tcMar>
              <w:top w:w="65" w:type="dxa"/>
              <w:left w:w="65" w:type="dxa"/>
              <w:bottom w:w="65" w:type="dxa"/>
              <w:right w:w="65" w:type="dxa"/>
            </w:tcMar>
          </w:tcPr>
          <w:p>
            <w:pPr>
              <w:pStyle w:val="TableText"/>
              <w:keepNext w:val="0"/>
              <w:widowControl/>
              <w:jc w:val="left"/>
            </w:pPr>
            <w:r>
              <w:rPr>
                <w:b w:val="0"/>
                <w:sz w:val="17"/>
              </w:rPr>
              <w:t>0.477</w:t>
            </w:r>
          </w:p>
        </w:tc>
      </w:tr>
      <w:tr>
        <w:trPr>
          <w:cantSplit/>
        </w:trPr>
        <w:tc>
          <w:tcPr>
            <w:tcW w:type="dxa" w:w="737"/>
            <w:vAlign w:val="center"/>
            <w:tcMar>
              <w:top w:w="65" w:type="dxa"/>
              <w:left w:w="65" w:type="dxa"/>
              <w:bottom w:w="65" w:type="dxa"/>
              <w:right w:w="65" w:type="dxa"/>
            </w:tcMar>
          </w:tcPr>
          <w:p>
            <w:pPr>
              <w:pStyle w:val="TableText"/>
              <w:keepNext w:val="0"/>
              <w:widowControl/>
              <w:jc w:val="left"/>
            </w:pPr>
            <w:r>
              <w:rPr>
                <w:b w:val="0"/>
                <w:sz w:val="17"/>
              </w:rPr>
              <w:t>Gemini</w:t>
            </w:r>
          </w:p>
        </w:tc>
        <w:tc>
          <w:tcPr>
            <w:tcW w:type="dxa" w:w="624"/>
            <w:vAlign w:val="center"/>
            <w:tcMar>
              <w:top w:w="65" w:type="dxa"/>
              <w:left w:w="65" w:type="dxa"/>
              <w:bottom w:w="65" w:type="dxa"/>
              <w:right w:w="65" w:type="dxa"/>
            </w:tcMar>
          </w:tcPr>
          <w:p>
            <w:pPr>
              <w:pStyle w:val="TableText"/>
              <w:keepNext w:val="0"/>
              <w:widowControl/>
              <w:jc w:val="left"/>
            </w:pPr>
            <w:r>
              <w:rPr>
                <w:b w:val="0"/>
                <w:sz w:val="17"/>
              </w:rPr>
              <w:t>BINF</w:t>
            </w:r>
          </w:p>
        </w:tc>
        <w:tc>
          <w:tcPr>
            <w:tcW w:type="dxa" w:w="964"/>
            <w:vAlign w:val="center"/>
            <w:tcMar>
              <w:top w:w="65" w:type="dxa"/>
              <w:left w:w="65" w:type="dxa"/>
              <w:bottom w:w="65" w:type="dxa"/>
              <w:right w:w="65" w:type="dxa"/>
            </w:tcMar>
          </w:tcPr>
          <w:p>
            <w:pPr>
              <w:pStyle w:val="TableText"/>
              <w:keepNext w:val="0"/>
              <w:widowControl/>
              <w:jc w:val="left"/>
            </w:pPr>
            <w:r>
              <w:rPr>
                <w:b w:val="0"/>
                <w:sz w:val="17"/>
              </w:rPr>
              <w:t>C4</w:t>
            </w:r>
          </w:p>
        </w:tc>
        <w:tc>
          <w:tcPr>
            <w:tcW w:type="dxa" w:w="1701"/>
            <w:vAlign w:val="center"/>
            <w:tcMar>
              <w:top w:w="65" w:type="dxa"/>
              <w:left w:w="65" w:type="dxa"/>
              <w:bottom w:w="65" w:type="dxa"/>
              <w:right w:w="65" w:type="dxa"/>
            </w:tcMar>
          </w:tcPr>
          <w:p>
            <w:pPr>
              <w:pStyle w:val="TableText"/>
              <w:keepNext w:val="0"/>
              <w:widowControl/>
              <w:jc w:val="left"/>
            </w:pPr>
            <w:r>
              <w:rPr>
                <w:b w:val="0"/>
                <w:sz w:val="17"/>
              </w:rPr>
              <w:t>575</w:t>
            </w:r>
          </w:p>
        </w:tc>
        <w:tc>
          <w:tcPr>
            <w:tcW w:type="dxa" w:w="1984"/>
            <w:vAlign w:val="center"/>
            <w:tcMar>
              <w:top w:w="65" w:type="dxa"/>
              <w:left w:w="65" w:type="dxa"/>
              <w:bottom w:w="65" w:type="dxa"/>
              <w:right w:w="65" w:type="dxa"/>
            </w:tcMar>
          </w:tcPr>
          <w:p>
            <w:pPr>
              <w:pStyle w:val="TableText"/>
              <w:keepNext w:val="0"/>
              <w:widowControl/>
              <w:jc w:val="left"/>
            </w:pPr>
            <w:r>
              <w:rPr>
                <w:b w:val="0"/>
                <w:sz w:val="17"/>
              </w:rPr>
              <w:t>9.2%</w:t>
            </w:r>
          </w:p>
        </w:tc>
        <w:tc>
          <w:tcPr>
            <w:tcW w:type="dxa" w:w="1928"/>
            <w:vAlign w:val="center"/>
            <w:tcMar>
              <w:top w:w="65" w:type="dxa"/>
              <w:left w:w="65" w:type="dxa"/>
              <w:bottom w:w="65" w:type="dxa"/>
              <w:right w:w="65" w:type="dxa"/>
            </w:tcMar>
          </w:tcPr>
          <w:p>
            <w:pPr>
              <w:pStyle w:val="TableText"/>
              <w:keepNext w:val="0"/>
              <w:widowControl/>
              <w:jc w:val="left"/>
            </w:pPr>
            <w:r>
              <w:rPr>
                <w:b w:val="0"/>
                <w:sz w:val="17"/>
              </w:rPr>
              <w:t>0.787</w:t>
            </w:r>
          </w:p>
        </w:tc>
      </w:tr>
      <w:tr>
        <w:trPr>
          <w:cantSplit/>
        </w:trPr>
        <w:tc>
          <w:tcPr>
            <w:tcW w:type="dxa" w:w="737"/>
            <w:vAlign w:val="center"/>
            <w:tcMar>
              <w:top w:w="65" w:type="dxa"/>
              <w:left w:w="65" w:type="dxa"/>
              <w:bottom w:w="65" w:type="dxa"/>
              <w:right w:w="65" w:type="dxa"/>
            </w:tcMar>
          </w:tcPr>
          <w:p>
            <w:pPr>
              <w:pStyle w:val="TableText"/>
              <w:keepNext w:val="0"/>
              <w:widowControl/>
              <w:jc w:val="left"/>
            </w:pPr>
            <w:r>
              <w:rPr>
                <w:b w:val="0"/>
                <w:sz w:val="17"/>
              </w:rPr>
              <w:t>Gemini</w:t>
            </w:r>
          </w:p>
        </w:tc>
        <w:tc>
          <w:tcPr>
            <w:tcW w:type="dxa" w:w="624"/>
            <w:vAlign w:val="center"/>
            <w:tcMar>
              <w:top w:w="65" w:type="dxa"/>
              <w:left w:w="65" w:type="dxa"/>
              <w:bottom w:w="65" w:type="dxa"/>
              <w:right w:w="65" w:type="dxa"/>
            </w:tcMar>
          </w:tcPr>
          <w:p>
            <w:pPr>
              <w:pStyle w:val="TableText"/>
              <w:keepNext w:val="0"/>
              <w:widowControl/>
              <w:jc w:val="left"/>
            </w:pPr>
            <w:r>
              <w:rPr>
                <w:b w:val="0"/>
                <w:sz w:val="17"/>
              </w:rPr>
              <w:t>BINF</w:t>
            </w:r>
          </w:p>
        </w:tc>
        <w:tc>
          <w:tcPr>
            <w:tcW w:type="dxa" w:w="964"/>
            <w:vAlign w:val="center"/>
            <w:tcMar>
              <w:top w:w="65" w:type="dxa"/>
              <w:left w:w="65" w:type="dxa"/>
              <w:bottom w:w="65" w:type="dxa"/>
              <w:right w:w="65" w:type="dxa"/>
            </w:tcMar>
          </w:tcPr>
          <w:p>
            <w:pPr>
              <w:pStyle w:val="TableText"/>
              <w:keepNext w:val="0"/>
              <w:widowControl/>
              <w:jc w:val="left"/>
            </w:pPr>
            <w:r>
              <w:rPr>
                <w:b w:val="0"/>
                <w:sz w:val="17"/>
              </w:rPr>
              <w:t>C4R</w:t>
            </w:r>
          </w:p>
        </w:tc>
        <w:tc>
          <w:tcPr>
            <w:tcW w:type="dxa" w:w="1701"/>
            <w:vAlign w:val="center"/>
            <w:tcMar>
              <w:top w:w="65" w:type="dxa"/>
              <w:left w:w="65" w:type="dxa"/>
              <w:bottom w:w="65" w:type="dxa"/>
              <w:right w:w="65" w:type="dxa"/>
            </w:tcMar>
          </w:tcPr>
          <w:p>
            <w:pPr>
              <w:pStyle w:val="TableText"/>
              <w:keepNext w:val="0"/>
              <w:widowControl/>
              <w:jc w:val="left"/>
            </w:pPr>
            <w:r>
              <w:rPr>
                <w:b w:val="0"/>
                <w:sz w:val="17"/>
              </w:rPr>
              <w:t>575</w:t>
            </w:r>
          </w:p>
        </w:tc>
        <w:tc>
          <w:tcPr>
            <w:tcW w:type="dxa" w:w="1984"/>
            <w:vAlign w:val="center"/>
            <w:tcMar>
              <w:top w:w="65" w:type="dxa"/>
              <w:left w:w="65" w:type="dxa"/>
              <w:bottom w:w="65" w:type="dxa"/>
              <w:right w:w="65" w:type="dxa"/>
            </w:tcMar>
          </w:tcPr>
          <w:p>
            <w:pPr>
              <w:pStyle w:val="TableText"/>
              <w:keepNext w:val="0"/>
              <w:widowControl/>
              <w:jc w:val="left"/>
            </w:pPr>
            <w:r>
              <w:rPr>
                <w:b w:val="0"/>
                <w:sz w:val="17"/>
              </w:rPr>
              <w:t>8.2%</w:t>
            </w:r>
          </w:p>
        </w:tc>
        <w:tc>
          <w:tcPr>
            <w:tcW w:type="dxa" w:w="1928"/>
            <w:vAlign w:val="center"/>
            <w:tcMar>
              <w:top w:w="65" w:type="dxa"/>
              <w:left w:w="65" w:type="dxa"/>
              <w:bottom w:w="65" w:type="dxa"/>
              <w:right w:w="65" w:type="dxa"/>
            </w:tcMar>
          </w:tcPr>
          <w:p>
            <w:pPr>
              <w:pStyle w:val="TableText"/>
              <w:keepNext w:val="0"/>
              <w:widowControl/>
              <w:jc w:val="left"/>
            </w:pPr>
            <w:r>
              <w:rPr>
                <w:b w:val="0"/>
                <w:sz w:val="17"/>
              </w:rPr>
              <w:t>0.831</w:t>
            </w:r>
          </w:p>
        </w:tc>
      </w:tr>
      <w:tr>
        <w:trPr>
          <w:cantSplit/>
        </w:trPr>
        <w:tc>
          <w:tcPr>
            <w:tcW w:type="dxa" w:w="737"/>
            <w:vAlign w:val="center"/>
            <w:tcMar>
              <w:top w:w="65" w:type="dxa"/>
              <w:left w:w="65" w:type="dxa"/>
              <w:bottom w:w="65" w:type="dxa"/>
              <w:right w:w="65" w:type="dxa"/>
            </w:tcMar>
          </w:tcPr>
          <w:p>
            <w:pPr>
              <w:pStyle w:val="TableText"/>
              <w:keepNext w:val="0"/>
              <w:widowControl/>
              <w:jc w:val="left"/>
            </w:pPr>
            <w:r>
              <w:rPr>
                <w:b w:val="0"/>
                <w:sz w:val="17"/>
              </w:rPr>
              <w:t>Gemini</w:t>
            </w:r>
          </w:p>
        </w:tc>
        <w:tc>
          <w:tcPr>
            <w:tcW w:type="dxa" w:w="624"/>
            <w:vAlign w:val="center"/>
            <w:tcMar>
              <w:top w:w="65" w:type="dxa"/>
              <w:left w:w="65" w:type="dxa"/>
              <w:bottom w:w="65" w:type="dxa"/>
              <w:right w:w="65" w:type="dxa"/>
            </w:tcMar>
          </w:tcPr>
          <w:p>
            <w:pPr>
              <w:pStyle w:val="TableText"/>
              <w:keepNext w:val="0"/>
              <w:widowControl/>
              <w:jc w:val="left"/>
            </w:pPr>
            <w:r>
              <w:rPr>
                <w:b w:val="0"/>
                <w:sz w:val="17"/>
              </w:rPr>
              <w:t>BINF</w:t>
            </w:r>
          </w:p>
        </w:tc>
        <w:tc>
          <w:tcPr>
            <w:tcW w:type="dxa" w:w="964"/>
            <w:vAlign w:val="center"/>
            <w:tcMar>
              <w:top w:w="65" w:type="dxa"/>
              <w:left w:w="65" w:type="dxa"/>
              <w:bottom w:w="65" w:type="dxa"/>
              <w:right w:w="65" w:type="dxa"/>
            </w:tcMar>
          </w:tcPr>
          <w:p>
            <w:pPr>
              <w:pStyle w:val="TableText"/>
              <w:keepNext w:val="0"/>
              <w:widowControl/>
              <w:jc w:val="left"/>
            </w:pPr>
            <w:r>
              <w:rPr>
                <w:b w:val="0"/>
                <w:sz w:val="17"/>
              </w:rPr>
              <w:t>C6-E</w:t>
            </w:r>
          </w:p>
        </w:tc>
        <w:tc>
          <w:tcPr>
            <w:tcW w:type="dxa" w:w="1701"/>
            <w:vAlign w:val="center"/>
            <w:tcMar>
              <w:top w:w="65" w:type="dxa"/>
              <w:left w:w="65" w:type="dxa"/>
              <w:bottom w:w="65" w:type="dxa"/>
              <w:right w:w="65" w:type="dxa"/>
            </w:tcMar>
          </w:tcPr>
          <w:p>
            <w:pPr>
              <w:pStyle w:val="TableText"/>
              <w:keepNext w:val="0"/>
              <w:widowControl/>
              <w:jc w:val="left"/>
            </w:pPr>
            <w:r>
              <w:rPr>
                <w:b w:val="0"/>
                <w:sz w:val="17"/>
              </w:rPr>
              <w:t>575</w:t>
            </w:r>
          </w:p>
        </w:tc>
        <w:tc>
          <w:tcPr>
            <w:tcW w:type="dxa" w:w="1984"/>
            <w:vAlign w:val="center"/>
            <w:tcMar>
              <w:top w:w="65" w:type="dxa"/>
              <w:left w:w="65" w:type="dxa"/>
              <w:bottom w:w="65" w:type="dxa"/>
              <w:right w:w="65" w:type="dxa"/>
            </w:tcMar>
          </w:tcPr>
          <w:p>
            <w:pPr>
              <w:pStyle w:val="TableText"/>
              <w:keepNext w:val="0"/>
              <w:widowControl/>
              <w:jc w:val="left"/>
            </w:pPr>
            <w:r>
              <w:rPr>
                <w:b w:val="0"/>
                <w:sz w:val="17"/>
              </w:rPr>
              <w:t>6.8%</w:t>
            </w:r>
          </w:p>
        </w:tc>
        <w:tc>
          <w:tcPr>
            <w:tcW w:type="dxa" w:w="1928"/>
            <w:vAlign w:val="center"/>
            <w:tcMar>
              <w:top w:w="65" w:type="dxa"/>
              <w:left w:w="65" w:type="dxa"/>
              <w:bottom w:w="65" w:type="dxa"/>
              <w:right w:w="65" w:type="dxa"/>
            </w:tcMar>
          </w:tcPr>
          <w:p>
            <w:pPr>
              <w:pStyle w:val="TableText"/>
              <w:keepNext w:val="0"/>
              <w:widowControl/>
              <w:jc w:val="left"/>
            </w:pPr>
            <w:r>
              <w:rPr>
                <w:b w:val="0"/>
                <w:sz w:val="17"/>
              </w:rPr>
              <w:t>0.706</w:t>
            </w:r>
          </w:p>
        </w:tc>
      </w:tr>
      <w:tr>
        <w:trPr>
          <w:cantSplit/>
        </w:trPr>
        <w:tc>
          <w:tcPr>
            <w:tcW w:type="dxa" w:w="737"/>
            <w:vAlign w:val="center"/>
            <w:tcMar>
              <w:top w:w="65" w:type="dxa"/>
              <w:left w:w="65" w:type="dxa"/>
              <w:bottom w:w="65" w:type="dxa"/>
              <w:right w:w="65" w:type="dxa"/>
            </w:tcMar>
          </w:tcPr>
          <w:p>
            <w:pPr>
              <w:pStyle w:val="TableText"/>
              <w:keepNext w:val="0"/>
              <w:widowControl/>
              <w:jc w:val="left"/>
            </w:pPr>
            <w:r>
              <w:rPr>
                <w:b w:val="0"/>
                <w:sz w:val="17"/>
              </w:rPr>
              <w:t>GPT</w:t>
            </w:r>
          </w:p>
        </w:tc>
        <w:tc>
          <w:tcPr>
            <w:tcW w:type="dxa" w:w="624"/>
            <w:vAlign w:val="center"/>
            <w:tcMar>
              <w:top w:w="65" w:type="dxa"/>
              <w:left w:w="65" w:type="dxa"/>
              <w:bottom w:w="65" w:type="dxa"/>
              <w:right w:w="65" w:type="dxa"/>
            </w:tcMar>
          </w:tcPr>
          <w:p>
            <w:pPr>
              <w:pStyle w:val="TableText"/>
              <w:keepNext w:val="0"/>
              <w:widowControl/>
              <w:jc w:val="left"/>
            </w:pPr>
            <w:r>
              <w:rPr>
                <w:b w:val="0"/>
                <w:sz w:val="17"/>
              </w:rPr>
              <w:t>B1</w:t>
            </w:r>
          </w:p>
        </w:tc>
        <w:tc>
          <w:tcPr>
            <w:tcW w:type="dxa" w:w="964"/>
            <w:vAlign w:val="center"/>
            <w:tcMar>
              <w:top w:w="65" w:type="dxa"/>
              <w:left w:w="65" w:type="dxa"/>
              <w:bottom w:w="65" w:type="dxa"/>
              <w:right w:w="65" w:type="dxa"/>
            </w:tcMar>
          </w:tcPr>
          <w:p>
            <w:pPr>
              <w:pStyle w:val="TableText"/>
              <w:keepNext w:val="0"/>
              <w:widowControl/>
              <w:jc w:val="left"/>
            </w:pPr>
            <w:r>
              <w:rPr>
                <w:b w:val="0"/>
                <w:sz w:val="17"/>
              </w:rPr>
              <w:t>C4</w:t>
            </w:r>
          </w:p>
        </w:tc>
        <w:tc>
          <w:tcPr>
            <w:tcW w:type="dxa" w:w="1701"/>
            <w:vAlign w:val="center"/>
            <w:tcMar>
              <w:top w:w="65" w:type="dxa"/>
              <w:left w:w="65" w:type="dxa"/>
              <w:bottom w:w="65" w:type="dxa"/>
              <w:right w:w="65" w:type="dxa"/>
            </w:tcMar>
          </w:tcPr>
          <w:p>
            <w:pPr>
              <w:pStyle w:val="TableText"/>
              <w:keepNext w:val="0"/>
              <w:widowControl/>
              <w:jc w:val="left"/>
            </w:pPr>
            <w:r>
              <w:rPr>
                <w:b w:val="0"/>
                <w:sz w:val="17"/>
              </w:rPr>
              <w:t>543</w:t>
            </w:r>
          </w:p>
        </w:tc>
        <w:tc>
          <w:tcPr>
            <w:tcW w:type="dxa" w:w="1984"/>
            <w:vAlign w:val="center"/>
            <w:tcMar>
              <w:top w:w="65" w:type="dxa"/>
              <w:left w:w="65" w:type="dxa"/>
              <w:bottom w:w="65" w:type="dxa"/>
              <w:right w:w="65" w:type="dxa"/>
            </w:tcMar>
          </w:tcPr>
          <w:p>
            <w:pPr>
              <w:pStyle w:val="TableText"/>
              <w:keepNext w:val="0"/>
              <w:widowControl/>
              <w:jc w:val="left"/>
            </w:pPr>
            <w:r>
              <w:rPr>
                <w:b w:val="0"/>
                <w:sz w:val="17"/>
              </w:rPr>
              <w:t>48.6%</w:t>
            </w:r>
          </w:p>
        </w:tc>
        <w:tc>
          <w:tcPr>
            <w:tcW w:type="dxa" w:w="1928"/>
            <w:vAlign w:val="center"/>
            <w:tcMar>
              <w:top w:w="65" w:type="dxa"/>
              <w:left w:w="65" w:type="dxa"/>
              <w:bottom w:w="65" w:type="dxa"/>
              <w:right w:w="65" w:type="dxa"/>
            </w:tcMar>
          </w:tcPr>
          <w:p>
            <w:pPr>
              <w:pStyle w:val="TableText"/>
              <w:keepNext w:val="0"/>
              <w:widowControl/>
              <w:jc w:val="left"/>
            </w:pPr>
            <w:r>
              <w:rPr>
                <w:b w:val="0"/>
                <w:sz w:val="17"/>
              </w:rPr>
              <w:t>0.438</w:t>
            </w:r>
          </w:p>
        </w:tc>
      </w:tr>
      <w:tr>
        <w:trPr>
          <w:cantSplit/>
        </w:trPr>
        <w:tc>
          <w:tcPr>
            <w:tcW w:type="dxa" w:w="737"/>
            <w:vAlign w:val="center"/>
            <w:tcMar>
              <w:top w:w="65" w:type="dxa"/>
              <w:left w:w="65" w:type="dxa"/>
              <w:bottom w:w="65" w:type="dxa"/>
              <w:right w:w="65" w:type="dxa"/>
            </w:tcMar>
          </w:tcPr>
          <w:p>
            <w:pPr>
              <w:pStyle w:val="TableText"/>
              <w:keepNext w:val="0"/>
              <w:widowControl/>
              <w:jc w:val="left"/>
            </w:pPr>
            <w:r>
              <w:rPr>
                <w:b w:val="0"/>
                <w:sz w:val="17"/>
              </w:rPr>
              <w:t>GPT</w:t>
            </w:r>
          </w:p>
        </w:tc>
        <w:tc>
          <w:tcPr>
            <w:tcW w:type="dxa" w:w="624"/>
            <w:vAlign w:val="center"/>
            <w:tcMar>
              <w:top w:w="65" w:type="dxa"/>
              <w:left w:w="65" w:type="dxa"/>
              <w:bottom w:w="65" w:type="dxa"/>
              <w:right w:w="65" w:type="dxa"/>
            </w:tcMar>
          </w:tcPr>
          <w:p>
            <w:pPr>
              <w:pStyle w:val="TableText"/>
              <w:keepNext w:val="0"/>
              <w:widowControl/>
              <w:jc w:val="left"/>
            </w:pPr>
            <w:r>
              <w:rPr>
                <w:b w:val="0"/>
                <w:sz w:val="17"/>
              </w:rPr>
              <w:t>B1</w:t>
            </w:r>
          </w:p>
        </w:tc>
        <w:tc>
          <w:tcPr>
            <w:tcW w:type="dxa" w:w="964"/>
            <w:vAlign w:val="center"/>
            <w:tcMar>
              <w:top w:w="65" w:type="dxa"/>
              <w:left w:w="65" w:type="dxa"/>
              <w:bottom w:w="65" w:type="dxa"/>
              <w:right w:w="65" w:type="dxa"/>
            </w:tcMar>
          </w:tcPr>
          <w:p>
            <w:pPr>
              <w:pStyle w:val="TableText"/>
              <w:keepNext w:val="0"/>
              <w:widowControl/>
              <w:jc w:val="left"/>
            </w:pPr>
            <w:r>
              <w:rPr>
                <w:b w:val="0"/>
                <w:sz w:val="17"/>
              </w:rPr>
              <w:t>C4R</w:t>
            </w:r>
          </w:p>
        </w:tc>
        <w:tc>
          <w:tcPr>
            <w:tcW w:type="dxa" w:w="1701"/>
            <w:vAlign w:val="center"/>
            <w:tcMar>
              <w:top w:w="65" w:type="dxa"/>
              <w:left w:w="65" w:type="dxa"/>
              <w:bottom w:w="65" w:type="dxa"/>
              <w:right w:w="65" w:type="dxa"/>
            </w:tcMar>
          </w:tcPr>
          <w:p>
            <w:pPr>
              <w:pStyle w:val="TableText"/>
              <w:keepNext w:val="0"/>
              <w:widowControl/>
              <w:jc w:val="left"/>
            </w:pPr>
            <w:r>
              <w:rPr>
                <w:b w:val="0"/>
                <w:sz w:val="17"/>
              </w:rPr>
              <w:t>560</w:t>
            </w:r>
          </w:p>
        </w:tc>
        <w:tc>
          <w:tcPr>
            <w:tcW w:type="dxa" w:w="1984"/>
            <w:vAlign w:val="center"/>
            <w:tcMar>
              <w:top w:w="65" w:type="dxa"/>
              <w:left w:w="65" w:type="dxa"/>
              <w:bottom w:w="65" w:type="dxa"/>
              <w:right w:w="65" w:type="dxa"/>
            </w:tcMar>
          </w:tcPr>
          <w:p>
            <w:pPr>
              <w:pStyle w:val="TableText"/>
              <w:keepNext w:val="0"/>
              <w:widowControl/>
              <w:jc w:val="left"/>
            </w:pPr>
            <w:r>
              <w:rPr>
                <w:b w:val="0"/>
                <w:sz w:val="17"/>
              </w:rPr>
              <w:t>48.8%</w:t>
            </w:r>
          </w:p>
        </w:tc>
        <w:tc>
          <w:tcPr>
            <w:tcW w:type="dxa" w:w="1928"/>
            <w:vAlign w:val="center"/>
            <w:tcMar>
              <w:top w:w="65" w:type="dxa"/>
              <w:left w:w="65" w:type="dxa"/>
              <w:bottom w:w="65" w:type="dxa"/>
              <w:right w:w="65" w:type="dxa"/>
            </w:tcMar>
          </w:tcPr>
          <w:p>
            <w:pPr>
              <w:pStyle w:val="TableText"/>
              <w:keepNext w:val="0"/>
              <w:widowControl/>
              <w:jc w:val="left"/>
            </w:pPr>
            <w:r>
              <w:rPr>
                <w:b w:val="0"/>
                <w:sz w:val="17"/>
              </w:rPr>
              <w:t>0.436</w:t>
            </w:r>
          </w:p>
        </w:tc>
      </w:tr>
      <w:tr>
        <w:trPr>
          <w:cantSplit/>
        </w:trPr>
        <w:tc>
          <w:tcPr>
            <w:tcW w:type="dxa" w:w="737"/>
            <w:vAlign w:val="center"/>
            <w:tcMar>
              <w:top w:w="65" w:type="dxa"/>
              <w:left w:w="65" w:type="dxa"/>
              <w:bottom w:w="65" w:type="dxa"/>
              <w:right w:w="65" w:type="dxa"/>
            </w:tcMar>
          </w:tcPr>
          <w:p>
            <w:pPr>
              <w:pStyle w:val="TableText"/>
              <w:keepNext w:val="0"/>
              <w:widowControl/>
              <w:jc w:val="left"/>
            </w:pPr>
            <w:r>
              <w:rPr>
                <w:b w:val="0"/>
                <w:sz w:val="17"/>
              </w:rPr>
              <w:t>GPT</w:t>
            </w:r>
          </w:p>
        </w:tc>
        <w:tc>
          <w:tcPr>
            <w:tcW w:type="dxa" w:w="624"/>
            <w:vAlign w:val="center"/>
            <w:tcMar>
              <w:top w:w="65" w:type="dxa"/>
              <w:left w:w="65" w:type="dxa"/>
              <w:bottom w:w="65" w:type="dxa"/>
              <w:right w:w="65" w:type="dxa"/>
            </w:tcMar>
          </w:tcPr>
          <w:p>
            <w:pPr>
              <w:pStyle w:val="TableText"/>
              <w:keepNext w:val="0"/>
              <w:widowControl/>
              <w:jc w:val="left"/>
            </w:pPr>
            <w:r>
              <w:rPr>
                <w:b w:val="0"/>
                <w:sz w:val="17"/>
              </w:rPr>
              <w:t>B1</w:t>
            </w:r>
          </w:p>
        </w:tc>
        <w:tc>
          <w:tcPr>
            <w:tcW w:type="dxa" w:w="964"/>
            <w:vAlign w:val="center"/>
            <w:tcMar>
              <w:top w:w="65" w:type="dxa"/>
              <w:left w:w="65" w:type="dxa"/>
              <w:bottom w:w="65" w:type="dxa"/>
              <w:right w:w="65" w:type="dxa"/>
            </w:tcMar>
          </w:tcPr>
          <w:p>
            <w:pPr>
              <w:pStyle w:val="TableText"/>
              <w:keepNext w:val="0"/>
              <w:widowControl/>
              <w:jc w:val="left"/>
            </w:pPr>
            <w:r>
              <w:rPr>
                <w:b w:val="0"/>
                <w:sz w:val="17"/>
              </w:rPr>
              <w:t>C6-E</w:t>
            </w:r>
          </w:p>
        </w:tc>
        <w:tc>
          <w:tcPr>
            <w:tcW w:type="dxa" w:w="1701"/>
            <w:vAlign w:val="center"/>
            <w:tcMar>
              <w:top w:w="65" w:type="dxa"/>
              <w:left w:w="65" w:type="dxa"/>
              <w:bottom w:w="65" w:type="dxa"/>
              <w:right w:w="65" w:type="dxa"/>
            </w:tcMar>
          </w:tcPr>
          <w:p>
            <w:pPr>
              <w:pStyle w:val="TableText"/>
              <w:keepNext w:val="0"/>
              <w:widowControl/>
              <w:jc w:val="left"/>
            </w:pPr>
            <w:r>
              <w:rPr>
                <w:b w:val="0"/>
                <w:sz w:val="17"/>
              </w:rPr>
              <w:t>556</w:t>
            </w:r>
          </w:p>
        </w:tc>
        <w:tc>
          <w:tcPr>
            <w:tcW w:type="dxa" w:w="1984"/>
            <w:vAlign w:val="center"/>
            <w:tcMar>
              <w:top w:w="65" w:type="dxa"/>
              <w:left w:w="65" w:type="dxa"/>
              <w:bottom w:w="65" w:type="dxa"/>
              <w:right w:w="65" w:type="dxa"/>
            </w:tcMar>
          </w:tcPr>
          <w:p>
            <w:pPr>
              <w:pStyle w:val="TableText"/>
              <w:keepNext w:val="0"/>
              <w:widowControl/>
              <w:jc w:val="left"/>
            </w:pPr>
            <w:r>
              <w:rPr>
                <w:b w:val="0"/>
                <w:sz w:val="17"/>
              </w:rPr>
              <w:t>57.6%</w:t>
            </w:r>
          </w:p>
        </w:tc>
        <w:tc>
          <w:tcPr>
            <w:tcW w:type="dxa" w:w="1928"/>
            <w:vAlign w:val="center"/>
            <w:tcMar>
              <w:top w:w="65" w:type="dxa"/>
              <w:left w:w="65" w:type="dxa"/>
              <w:bottom w:w="65" w:type="dxa"/>
              <w:right w:w="65" w:type="dxa"/>
            </w:tcMar>
          </w:tcPr>
          <w:p>
            <w:pPr>
              <w:pStyle w:val="TableText"/>
              <w:keepNext w:val="0"/>
              <w:widowControl/>
              <w:jc w:val="left"/>
            </w:pPr>
            <w:r>
              <w:rPr>
                <w:b w:val="0"/>
                <w:sz w:val="17"/>
              </w:rPr>
              <w:t>0.356</w:t>
            </w:r>
          </w:p>
        </w:tc>
      </w:tr>
      <w:tr>
        <w:trPr>
          <w:cantSplit/>
        </w:trPr>
        <w:tc>
          <w:tcPr>
            <w:tcW w:type="dxa" w:w="737"/>
            <w:vAlign w:val="center"/>
            <w:tcMar>
              <w:top w:w="65" w:type="dxa"/>
              <w:left w:w="65" w:type="dxa"/>
              <w:bottom w:w="65" w:type="dxa"/>
              <w:right w:w="65" w:type="dxa"/>
            </w:tcMar>
          </w:tcPr>
          <w:p>
            <w:pPr>
              <w:pStyle w:val="TableText"/>
              <w:keepNext w:val="0"/>
              <w:widowControl/>
              <w:jc w:val="left"/>
            </w:pPr>
            <w:r>
              <w:rPr>
                <w:b w:val="0"/>
                <w:sz w:val="17"/>
              </w:rPr>
              <w:t>GPT</w:t>
            </w:r>
          </w:p>
        </w:tc>
        <w:tc>
          <w:tcPr>
            <w:tcW w:type="dxa" w:w="624"/>
            <w:vAlign w:val="center"/>
            <w:tcMar>
              <w:top w:w="65" w:type="dxa"/>
              <w:left w:w="65" w:type="dxa"/>
              <w:bottom w:w="65" w:type="dxa"/>
              <w:right w:w="65" w:type="dxa"/>
            </w:tcMar>
          </w:tcPr>
          <w:p>
            <w:pPr>
              <w:pStyle w:val="TableText"/>
              <w:keepNext w:val="0"/>
              <w:widowControl/>
              <w:jc w:val="left"/>
            </w:pPr>
            <w:r>
              <w:rPr>
                <w:b w:val="0"/>
                <w:sz w:val="17"/>
              </w:rPr>
              <w:t>BINF</w:t>
            </w:r>
          </w:p>
        </w:tc>
        <w:tc>
          <w:tcPr>
            <w:tcW w:type="dxa" w:w="964"/>
            <w:vAlign w:val="center"/>
            <w:tcMar>
              <w:top w:w="65" w:type="dxa"/>
              <w:left w:w="65" w:type="dxa"/>
              <w:bottom w:w="65" w:type="dxa"/>
              <w:right w:w="65" w:type="dxa"/>
            </w:tcMar>
          </w:tcPr>
          <w:p>
            <w:pPr>
              <w:pStyle w:val="TableText"/>
              <w:keepNext w:val="0"/>
              <w:widowControl/>
              <w:jc w:val="left"/>
            </w:pPr>
            <w:r>
              <w:rPr>
                <w:b w:val="0"/>
                <w:sz w:val="17"/>
              </w:rPr>
              <w:t>C4</w:t>
            </w:r>
          </w:p>
        </w:tc>
        <w:tc>
          <w:tcPr>
            <w:tcW w:type="dxa" w:w="1701"/>
            <w:vAlign w:val="center"/>
            <w:tcMar>
              <w:top w:w="65" w:type="dxa"/>
              <w:left w:w="65" w:type="dxa"/>
              <w:bottom w:w="65" w:type="dxa"/>
              <w:right w:w="65" w:type="dxa"/>
            </w:tcMar>
          </w:tcPr>
          <w:p>
            <w:pPr>
              <w:pStyle w:val="TableText"/>
              <w:keepNext w:val="0"/>
              <w:widowControl/>
              <w:jc w:val="left"/>
            </w:pPr>
            <w:r>
              <w:rPr>
                <w:b w:val="0"/>
                <w:sz w:val="17"/>
              </w:rPr>
              <w:t>565</w:t>
            </w:r>
          </w:p>
        </w:tc>
        <w:tc>
          <w:tcPr>
            <w:tcW w:type="dxa" w:w="1984"/>
            <w:vAlign w:val="center"/>
            <w:tcMar>
              <w:top w:w="65" w:type="dxa"/>
              <w:left w:w="65" w:type="dxa"/>
              <w:bottom w:w="65" w:type="dxa"/>
              <w:right w:w="65" w:type="dxa"/>
            </w:tcMar>
          </w:tcPr>
          <w:p>
            <w:pPr>
              <w:pStyle w:val="TableText"/>
              <w:keepNext w:val="0"/>
              <w:widowControl/>
              <w:jc w:val="left"/>
            </w:pPr>
            <w:r>
              <w:rPr>
                <w:b w:val="0"/>
                <w:sz w:val="17"/>
              </w:rPr>
              <w:t>27.1%</w:t>
            </w:r>
          </w:p>
        </w:tc>
        <w:tc>
          <w:tcPr>
            <w:tcW w:type="dxa" w:w="1928"/>
            <w:vAlign w:val="center"/>
            <w:tcMar>
              <w:top w:w="65" w:type="dxa"/>
              <w:left w:w="65" w:type="dxa"/>
              <w:bottom w:w="65" w:type="dxa"/>
              <w:right w:w="65" w:type="dxa"/>
            </w:tcMar>
          </w:tcPr>
          <w:p>
            <w:pPr>
              <w:pStyle w:val="TableText"/>
              <w:keepNext w:val="0"/>
              <w:widowControl/>
              <w:jc w:val="left"/>
            </w:pPr>
            <w:r>
              <w:rPr>
                <w:b w:val="0"/>
                <w:sz w:val="17"/>
              </w:rPr>
              <w:t>0.537</w:t>
            </w:r>
          </w:p>
        </w:tc>
      </w:tr>
      <w:tr>
        <w:trPr>
          <w:cantSplit/>
        </w:trPr>
        <w:tc>
          <w:tcPr>
            <w:tcW w:type="dxa" w:w="737"/>
            <w:vAlign w:val="center"/>
            <w:tcMar>
              <w:top w:w="65" w:type="dxa"/>
              <w:left w:w="65" w:type="dxa"/>
              <w:bottom w:w="65" w:type="dxa"/>
              <w:right w:w="65" w:type="dxa"/>
            </w:tcMar>
          </w:tcPr>
          <w:p>
            <w:pPr>
              <w:pStyle w:val="TableText"/>
              <w:keepNext w:val="0"/>
              <w:widowControl/>
              <w:jc w:val="left"/>
            </w:pPr>
            <w:r>
              <w:rPr>
                <w:b w:val="0"/>
                <w:sz w:val="17"/>
              </w:rPr>
              <w:t>GPT</w:t>
            </w:r>
          </w:p>
        </w:tc>
        <w:tc>
          <w:tcPr>
            <w:tcW w:type="dxa" w:w="624"/>
            <w:vAlign w:val="center"/>
            <w:tcMar>
              <w:top w:w="65" w:type="dxa"/>
              <w:left w:w="65" w:type="dxa"/>
              <w:bottom w:w="65" w:type="dxa"/>
              <w:right w:w="65" w:type="dxa"/>
            </w:tcMar>
          </w:tcPr>
          <w:p>
            <w:pPr>
              <w:pStyle w:val="TableText"/>
              <w:keepNext w:val="0"/>
              <w:widowControl/>
              <w:jc w:val="left"/>
            </w:pPr>
            <w:r>
              <w:rPr>
                <w:b w:val="0"/>
                <w:sz w:val="17"/>
              </w:rPr>
              <w:t>BINF</w:t>
            </w:r>
          </w:p>
        </w:tc>
        <w:tc>
          <w:tcPr>
            <w:tcW w:type="dxa" w:w="964"/>
            <w:vAlign w:val="center"/>
            <w:tcMar>
              <w:top w:w="65" w:type="dxa"/>
              <w:left w:w="65" w:type="dxa"/>
              <w:bottom w:w="65" w:type="dxa"/>
              <w:right w:w="65" w:type="dxa"/>
            </w:tcMar>
          </w:tcPr>
          <w:p>
            <w:pPr>
              <w:pStyle w:val="TableText"/>
              <w:keepNext w:val="0"/>
              <w:widowControl/>
              <w:jc w:val="left"/>
            </w:pPr>
            <w:r>
              <w:rPr>
                <w:b w:val="0"/>
                <w:sz w:val="17"/>
              </w:rPr>
              <w:t>C4R</w:t>
            </w:r>
          </w:p>
        </w:tc>
        <w:tc>
          <w:tcPr>
            <w:tcW w:type="dxa" w:w="1701"/>
            <w:vAlign w:val="center"/>
            <w:tcMar>
              <w:top w:w="65" w:type="dxa"/>
              <w:left w:w="65" w:type="dxa"/>
              <w:bottom w:w="65" w:type="dxa"/>
              <w:right w:w="65" w:type="dxa"/>
            </w:tcMar>
          </w:tcPr>
          <w:p>
            <w:pPr>
              <w:pStyle w:val="TableText"/>
              <w:keepNext w:val="0"/>
              <w:widowControl/>
              <w:jc w:val="left"/>
            </w:pPr>
            <w:r>
              <w:rPr>
                <w:b w:val="0"/>
                <w:sz w:val="17"/>
              </w:rPr>
              <w:t>574</w:t>
            </w:r>
          </w:p>
        </w:tc>
        <w:tc>
          <w:tcPr>
            <w:tcW w:type="dxa" w:w="1984"/>
            <w:vAlign w:val="center"/>
            <w:tcMar>
              <w:top w:w="65" w:type="dxa"/>
              <w:left w:w="65" w:type="dxa"/>
              <w:bottom w:w="65" w:type="dxa"/>
              <w:right w:w="65" w:type="dxa"/>
            </w:tcMar>
          </w:tcPr>
          <w:p>
            <w:pPr>
              <w:pStyle w:val="TableText"/>
              <w:keepNext w:val="0"/>
              <w:widowControl/>
              <w:jc w:val="left"/>
            </w:pPr>
            <w:r>
              <w:rPr>
                <w:b w:val="0"/>
                <w:sz w:val="17"/>
              </w:rPr>
              <w:t>30.8%</w:t>
            </w:r>
          </w:p>
        </w:tc>
        <w:tc>
          <w:tcPr>
            <w:tcW w:type="dxa" w:w="1928"/>
            <w:vAlign w:val="center"/>
            <w:tcMar>
              <w:top w:w="65" w:type="dxa"/>
              <w:left w:w="65" w:type="dxa"/>
              <w:bottom w:w="65" w:type="dxa"/>
              <w:right w:w="65" w:type="dxa"/>
            </w:tcMar>
          </w:tcPr>
          <w:p>
            <w:pPr>
              <w:pStyle w:val="TableText"/>
              <w:keepNext w:val="0"/>
              <w:widowControl/>
              <w:jc w:val="left"/>
            </w:pPr>
            <w:r>
              <w:rPr>
                <w:b w:val="0"/>
                <w:sz w:val="17"/>
              </w:rPr>
              <w:t>0.542</w:t>
            </w:r>
          </w:p>
        </w:tc>
      </w:tr>
      <w:tr>
        <w:trPr>
          <w:cantSplit/>
        </w:trPr>
        <w:tc>
          <w:tcPr>
            <w:tcW w:type="dxa" w:w="737"/>
            <w:vAlign w:val="center"/>
            <w:tcMar>
              <w:top w:w="65" w:type="dxa"/>
              <w:left w:w="65" w:type="dxa"/>
              <w:bottom w:w="65" w:type="dxa"/>
              <w:right w:w="65" w:type="dxa"/>
            </w:tcMar>
          </w:tcPr>
          <w:p>
            <w:pPr>
              <w:pStyle w:val="TableText"/>
              <w:keepNext w:val="0"/>
              <w:widowControl/>
              <w:jc w:val="left"/>
            </w:pPr>
            <w:r>
              <w:rPr>
                <w:b w:val="0"/>
                <w:sz w:val="17"/>
              </w:rPr>
              <w:t>GPT</w:t>
            </w:r>
          </w:p>
        </w:tc>
        <w:tc>
          <w:tcPr>
            <w:tcW w:type="dxa" w:w="624"/>
            <w:vAlign w:val="center"/>
            <w:tcMar>
              <w:top w:w="65" w:type="dxa"/>
              <w:left w:w="65" w:type="dxa"/>
              <w:bottom w:w="65" w:type="dxa"/>
              <w:right w:w="65" w:type="dxa"/>
            </w:tcMar>
          </w:tcPr>
          <w:p>
            <w:pPr>
              <w:pStyle w:val="TableText"/>
              <w:keepNext w:val="0"/>
              <w:widowControl/>
              <w:jc w:val="left"/>
            </w:pPr>
            <w:r>
              <w:rPr>
                <w:b w:val="0"/>
                <w:sz w:val="17"/>
              </w:rPr>
              <w:t>BINF</w:t>
            </w:r>
          </w:p>
        </w:tc>
        <w:tc>
          <w:tcPr>
            <w:tcW w:type="dxa" w:w="964"/>
            <w:vAlign w:val="center"/>
            <w:tcMar>
              <w:top w:w="65" w:type="dxa"/>
              <w:left w:w="65" w:type="dxa"/>
              <w:bottom w:w="65" w:type="dxa"/>
              <w:right w:w="65" w:type="dxa"/>
            </w:tcMar>
          </w:tcPr>
          <w:p>
            <w:pPr>
              <w:pStyle w:val="TableText"/>
              <w:keepNext w:val="0"/>
              <w:widowControl/>
              <w:jc w:val="left"/>
            </w:pPr>
            <w:r>
              <w:rPr>
                <w:b w:val="0"/>
                <w:sz w:val="17"/>
              </w:rPr>
              <w:t>C6-E</w:t>
            </w:r>
          </w:p>
        </w:tc>
        <w:tc>
          <w:tcPr>
            <w:tcW w:type="dxa" w:w="1701"/>
            <w:vAlign w:val="center"/>
            <w:tcMar>
              <w:top w:w="65" w:type="dxa"/>
              <w:left w:w="65" w:type="dxa"/>
              <w:bottom w:w="65" w:type="dxa"/>
              <w:right w:w="65" w:type="dxa"/>
            </w:tcMar>
          </w:tcPr>
          <w:p>
            <w:pPr>
              <w:pStyle w:val="TableText"/>
              <w:keepNext w:val="0"/>
              <w:widowControl/>
              <w:jc w:val="left"/>
            </w:pPr>
            <w:r>
              <w:rPr>
                <w:b w:val="0"/>
                <w:sz w:val="17"/>
              </w:rPr>
              <w:t>561</w:t>
            </w:r>
          </w:p>
        </w:tc>
        <w:tc>
          <w:tcPr>
            <w:tcW w:type="dxa" w:w="1984"/>
            <w:vAlign w:val="center"/>
            <w:tcMar>
              <w:top w:w="65" w:type="dxa"/>
              <w:left w:w="65" w:type="dxa"/>
              <w:bottom w:w="65" w:type="dxa"/>
              <w:right w:w="65" w:type="dxa"/>
            </w:tcMar>
          </w:tcPr>
          <w:p>
            <w:pPr>
              <w:pStyle w:val="TableText"/>
              <w:keepNext w:val="0"/>
              <w:widowControl/>
              <w:jc w:val="left"/>
            </w:pPr>
            <w:r>
              <w:rPr>
                <w:b w:val="0"/>
                <w:sz w:val="17"/>
              </w:rPr>
              <w:t>47.1%</w:t>
            </w:r>
          </w:p>
        </w:tc>
        <w:tc>
          <w:tcPr>
            <w:tcW w:type="dxa" w:w="1928"/>
            <w:vAlign w:val="center"/>
            <w:tcMar>
              <w:top w:w="65" w:type="dxa"/>
              <w:left w:w="65" w:type="dxa"/>
              <w:bottom w:w="65" w:type="dxa"/>
              <w:right w:w="65" w:type="dxa"/>
            </w:tcMar>
          </w:tcPr>
          <w:p>
            <w:pPr>
              <w:pStyle w:val="TableText"/>
              <w:keepNext w:val="0"/>
              <w:widowControl/>
              <w:jc w:val="left"/>
            </w:pPr>
            <w:r>
              <w:rPr>
                <w:b w:val="0"/>
                <w:sz w:val="17"/>
              </w:rPr>
              <w:t>0.411</w:t>
            </w:r>
          </w:p>
        </w:tc>
      </w:tr>
    </w:tbl>
    <w:p>
      <w:pPr>
        <w:pStyle w:val="SourceNote"/>
        <w:widowControl/>
      </w:pPr>
      <w:r>
        <w:t>자료: 두 Run 모두 strict usable인 기업의 raw action vector. 벡터 일치는 각 축 절대오차≤10⁻⁹, 거리=Σ|a_Run1−a_Run2|/sⱼ이다. free8의 결측 candidate_id 일치를 행동일치로 세지 않았다.</w:t>
      </w:r>
    </w:p>
    <w:p>
      <w:pPr>
        <w:widowControl/>
      </w:pPr>
      <w:r>
        <w:t>High B1에서 실제 행동벡터의 일치율은 Gemini C4 7.5%, C4R 6.3%, C6-E 11.2%인 반면 GPT는 각각 48.6%, 48.8%, 57.6%이다. 높은 수용률과 비슷한 평균가치가 반드시 같은 기업에 같은 수치행동을 생성한다는 뜻은 아니다. 활성 차원집합이 같더라도 강도가 다를 수 있으므로 벡터 일치와 차원집합 일치도 구분한다.</w:t>
      </w:r>
    </w:p>
    <w:p>
      <w:pPr>
        <w:widowControl/>
      </w:pPr>
      <w:r>
        <w:t>이 비교 역시 정상응답 교집합에 조건부이다. 불용 응답을 모두 0으로 바꾼 뒤 두 0이 같다는 이유로 안정성이 높다고 계산하지 않았다. 또한 소수점 값의 정확일치는 엄격한 지표이므로 작은 수치차이까지 다른 행동으로 분류할 수 있다. 따라서 일치율과 함께 연속적인 정규화 거리를 제공한다.</w:t>
      </w:r>
    </w:p>
    <w:p>
      <w:pPr>
        <w:widowControl/>
      </w:pPr>
      <w:r>
        <w:t>두 번의 반복은 제한적인 반복성 진단이다. 장기간의 모델 업데이트나 프롬프트 수정, 새로운 기업으로 확장한 안정성을 입증하지 않는다. 본 연구에서는 평균적 정책평가와 개별 권고의 반복성을 별도의 검증단계로 두어야 한다는 근거로 사용한다.</w:t>
      </w:r>
    </w:p>
    <w:p>
      <w:bookmarkStart w:id="171" w:name="head_117"/>
      <w:pPr>
        <w:pStyle w:val="2"/>
        <w:widowControl/>
      </w:pPr>
      <w:r>
        <w:t>6.8 API 비용과 운영적 비용효율</w:t>
      </w:r>
      <w:bookmarkEnd w:id="171"/>
    </w:p>
    <w:p>
      <w:bookmarkStart w:id="172" w:name="head_118"/>
      <w:pPr>
        <w:pStyle w:val="3"/>
        <w:widowControl/>
      </w:pPr>
      <w:r>
        <w:t>6.8.1 대시보드 귀속가정</w:t>
      </w:r>
      <w:bookmarkEnd w:id="172"/>
    </w:p>
    <w:p>
      <w:pPr>
        <w:widowControl/>
      </w:pPr>
      <w:r>
        <w:t>비용분석은 이번 실행에서 확인한 대시보드 지출을 다음과 같이 귀속한다는 가정에 따른다. OpenAI 총액 $128.85 중 Baseline $19.57, High $109.28로 나누고, Gemini는 먼저 보인 약 ₩12,900을 Baseline, 누적 ₩54,730에서 이를 뺀 약 ₩41,830을 High로 둔다. Gemini의 posting delay 때문에 화면상 금액이 서로 다른 시점에 반영되었다는 사용자 제공 가정을 명시적으로 사용한 것이다.</w:t>
      </w:r>
    </w:p>
    <w:p>
      <w:pPr>
        <w:widowControl/>
      </w:pPr>
      <w:r>
        <w:t>이 값은 요청별 완결된 청구명세와 모두 대사한 확정 회계원장이 아니다. 다른 기간·호출이 포함되어 있을 가능성, 세금과 표시단위의 반올림 및 지연 반영을 고려해야 한다. 공급자별 원 통화를 유지하고 임의의 환율로 합계나 직접 가격비율을 만들지 않았다.</w:t>
      </w:r>
    </w:p>
    <w:p>
      <w:bookmarkStart w:id="173" w:name="cap_55"/>
      <w:pPr>
        <w:pStyle w:val="af"/>
        <w:widowControl/>
      </w:pPr>
      <w:r>
        <w:t>표 6-18. 가정에 따른 공급자·regime별 지출과 단가</w:t>
      </w:r>
      <w:bookmarkEnd w:id="173"/>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737"/>
        <w:gridCol w:w="1134"/>
        <w:gridCol w:w="1757"/>
        <w:gridCol w:w="1134"/>
        <w:gridCol w:w="1531"/>
        <w:gridCol w:w="1644"/>
      </w:tblGrid>
      <w:tr>
        <w:trPr>
          <w:cantSplit/>
          <w:tblHeader/>
        </w:trPr>
        <w:tc>
          <w:tcPr>
            <w:tcW w:type="dxa" w:w="737"/>
            <w:vAlign w:val="center"/>
            <w:shd w:fill="F1F1F1"/>
            <w:tcMar>
              <w:top w:w="65" w:type="dxa"/>
              <w:left w:w="65" w:type="dxa"/>
              <w:bottom w:w="65" w:type="dxa"/>
              <w:right w:w="65" w:type="dxa"/>
            </w:tcMar>
          </w:tcPr>
          <w:p>
            <w:pPr>
              <w:pStyle w:val="TableText"/>
              <w:keepNext/>
              <w:widowControl/>
              <w:jc w:val="center"/>
            </w:pPr>
            <w:r>
              <w:rPr>
                <w:b/>
                <w:sz w:val="17"/>
              </w:rPr>
              <w:t>모델</w:t>
            </w:r>
          </w:p>
        </w:tc>
        <w:tc>
          <w:tcPr>
            <w:tcW w:type="dxa" w:w="1134"/>
            <w:vAlign w:val="center"/>
            <w:shd w:fill="F1F1F1"/>
            <w:tcMar>
              <w:top w:w="65" w:type="dxa"/>
              <w:left w:w="65" w:type="dxa"/>
              <w:bottom w:w="65" w:type="dxa"/>
              <w:right w:w="65" w:type="dxa"/>
            </w:tcMar>
          </w:tcPr>
          <w:p>
            <w:pPr>
              <w:pStyle w:val="TableText"/>
              <w:keepNext/>
              <w:widowControl/>
              <w:jc w:val="center"/>
            </w:pPr>
            <w:r>
              <w:rPr>
                <w:b/>
                <w:sz w:val="17"/>
              </w:rPr>
              <w:t>Regime</w:t>
            </w:r>
          </w:p>
        </w:tc>
        <w:tc>
          <w:tcPr>
            <w:tcW w:type="dxa" w:w="1757"/>
            <w:vAlign w:val="center"/>
            <w:shd w:fill="F1F1F1"/>
            <w:tcMar>
              <w:top w:w="65" w:type="dxa"/>
              <w:left w:w="65" w:type="dxa"/>
              <w:bottom w:w="65" w:type="dxa"/>
              <w:right w:w="65" w:type="dxa"/>
            </w:tcMar>
          </w:tcPr>
          <w:p>
            <w:pPr>
              <w:pStyle w:val="TableText"/>
              <w:keepNext/>
              <w:widowControl/>
              <w:jc w:val="center"/>
            </w:pPr>
            <w:r>
              <w:rPr>
                <w:b/>
                <w:sz w:val="17"/>
              </w:rPr>
              <w:t>총 귀속비용</w:t>
            </w:r>
          </w:p>
        </w:tc>
        <w:tc>
          <w:tcPr>
            <w:tcW w:type="dxa" w:w="1134"/>
            <w:vAlign w:val="center"/>
            <w:shd w:fill="F1F1F1"/>
            <w:tcMar>
              <w:top w:w="65" w:type="dxa"/>
              <w:left w:w="65" w:type="dxa"/>
              <w:bottom w:w="65" w:type="dxa"/>
              <w:right w:w="65" w:type="dxa"/>
            </w:tcMar>
          </w:tcPr>
          <w:p>
            <w:pPr>
              <w:pStyle w:val="TableText"/>
              <w:keepNext/>
              <w:widowControl/>
              <w:jc w:val="center"/>
            </w:pPr>
            <w:r>
              <w:rPr>
                <w:b/>
                <w:sz w:val="17"/>
              </w:rPr>
              <w:t>요청 수</w:t>
            </w:r>
          </w:p>
        </w:tc>
        <w:tc>
          <w:tcPr>
            <w:tcW w:type="dxa" w:w="1531"/>
            <w:vAlign w:val="center"/>
            <w:shd w:fill="F1F1F1"/>
            <w:tcMar>
              <w:top w:w="65" w:type="dxa"/>
              <w:left w:w="65" w:type="dxa"/>
              <w:bottom w:w="65" w:type="dxa"/>
              <w:right w:w="65" w:type="dxa"/>
            </w:tcMar>
          </w:tcPr>
          <w:p>
            <w:pPr>
              <w:pStyle w:val="TableText"/>
              <w:keepNext/>
              <w:widowControl/>
              <w:jc w:val="center"/>
            </w:pPr>
            <w:r>
              <w:rPr>
                <w:b/>
                <w:sz w:val="17"/>
              </w:rPr>
              <w:t>요청당 비용</w:t>
            </w:r>
          </w:p>
        </w:tc>
        <w:tc>
          <w:tcPr>
            <w:tcW w:type="dxa" w:w="1644"/>
            <w:vAlign w:val="center"/>
            <w:shd w:fill="F1F1F1"/>
            <w:tcMar>
              <w:top w:w="65" w:type="dxa"/>
              <w:left w:w="65" w:type="dxa"/>
              <w:bottom w:w="65" w:type="dxa"/>
              <w:right w:w="65" w:type="dxa"/>
            </w:tcMar>
          </w:tcPr>
          <w:p>
            <w:pPr>
              <w:pStyle w:val="TableText"/>
              <w:keepNext/>
              <w:widowControl/>
              <w:jc w:val="center"/>
            </w:pPr>
            <w:r>
              <w:rPr>
                <w:b/>
                <w:sz w:val="17"/>
              </w:rPr>
              <w:t>수용행동당 비용</w:t>
            </w:r>
          </w:p>
        </w:tc>
      </w:tr>
      <w:tr>
        <w:trPr>
          <w:cantSplit/>
        </w:trPr>
        <w:tc>
          <w:tcPr>
            <w:tcW w:type="dxa" w:w="737"/>
            <w:vAlign w:val="center"/>
            <w:tcMar>
              <w:top w:w="65" w:type="dxa"/>
              <w:left w:w="65" w:type="dxa"/>
              <w:bottom w:w="65" w:type="dxa"/>
              <w:right w:w="65" w:type="dxa"/>
            </w:tcMar>
          </w:tcPr>
          <w:p>
            <w:pPr>
              <w:pStyle w:val="TableText"/>
              <w:keepNext/>
              <w:widowControl/>
              <w:jc w:val="left"/>
            </w:pPr>
            <w:r>
              <w:rPr>
                <w:b w:val="0"/>
                <w:sz w:val="17"/>
              </w:rPr>
              <w:t>Gemini</w:t>
            </w:r>
          </w:p>
        </w:tc>
        <w:tc>
          <w:tcPr>
            <w:tcW w:type="dxa" w:w="1134"/>
            <w:vAlign w:val="center"/>
            <w:tcMar>
              <w:top w:w="65" w:type="dxa"/>
              <w:left w:w="65" w:type="dxa"/>
              <w:bottom w:w="65" w:type="dxa"/>
              <w:right w:w="65" w:type="dxa"/>
            </w:tcMar>
          </w:tcPr>
          <w:p>
            <w:pPr>
              <w:pStyle w:val="TableText"/>
              <w:keepNext/>
              <w:widowControl/>
              <w:jc w:val="left"/>
            </w:pPr>
            <w:r>
              <w:rPr>
                <w:b w:val="0"/>
                <w:sz w:val="17"/>
              </w:rPr>
              <w:t>Baseline</w:t>
            </w:r>
          </w:p>
        </w:tc>
        <w:tc>
          <w:tcPr>
            <w:tcW w:type="dxa" w:w="1757"/>
            <w:vAlign w:val="center"/>
            <w:tcMar>
              <w:top w:w="65" w:type="dxa"/>
              <w:left w:w="65" w:type="dxa"/>
              <w:bottom w:w="65" w:type="dxa"/>
              <w:right w:w="65" w:type="dxa"/>
            </w:tcMar>
          </w:tcPr>
          <w:p>
            <w:pPr>
              <w:pStyle w:val="TableText"/>
              <w:keepNext/>
              <w:widowControl/>
              <w:jc w:val="left"/>
            </w:pPr>
            <w:r>
              <w:rPr>
                <w:b w:val="0"/>
                <w:sz w:val="17"/>
              </w:rPr>
              <w:t>₩12,900</w:t>
            </w:r>
          </w:p>
        </w:tc>
        <w:tc>
          <w:tcPr>
            <w:tcW w:type="dxa" w:w="1134"/>
            <w:vAlign w:val="center"/>
            <w:tcMar>
              <w:top w:w="65" w:type="dxa"/>
              <w:left w:w="65" w:type="dxa"/>
              <w:bottom w:w="65" w:type="dxa"/>
              <w:right w:w="65" w:type="dxa"/>
            </w:tcMar>
          </w:tcPr>
          <w:p>
            <w:pPr>
              <w:pStyle w:val="TableText"/>
              <w:keepNext/>
              <w:widowControl/>
              <w:jc w:val="left"/>
            </w:pPr>
            <w:r>
              <w:rPr>
                <w:b w:val="0"/>
                <w:sz w:val="17"/>
              </w:rPr>
              <w:t>12,075</w:t>
            </w:r>
          </w:p>
        </w:tc>
        <w:tc>
          <w:tcPr>
            <w:tcW w:type="dxa" w:w="1531"/>
            <w:vAlign w:val="center"/>
            <w:tcMar>
              <w:top w:w="65" w:type="dxa"/>
              <w:left w:w="65" w:type="dxa"/>
              <w:bottom w:w="65" w:type="dxa"/>
              <w:right w:w="65" w:type="dxa"/>
            </w:tcMar>
          </w:tcPr>
          <w:p>
            <w:pPr>
              <w:pStyle w:val="TableText"/>
              <w:keepNext/>
              <w:widowControl/>
              <w:jc w:val="left"/>
            </w:pPr>
            <w:r>
              <w:rPr>
                <w:b w:val="0"/>
                <w:sz w:val="17"/>
              </w:rPr>
              <w:t>₩1.0683</w:t>
            </w:r>
          </w:p>
        </w:tc>
        <w:tc>
          <w:tcPr>
            <w:tcW w:type="dxa" w:w="1644"/>
            <w:vAlign w:val="center"/>
            <w:tcMar>
              <w:top w:w="65" w:type="dxa"/>
              <w:left w:w="65" w:type="dxa"/>
              <w:bottom w:w="65" w:type="dxa"/>
              <w:right w:w="65" w:type="dxa"/>
            </w:tcMar>
          </w:tcPr>
          <w:p>
            <w:pPr>
              <w:pStyle w:val="TableText"/>
              <w:keepNext/>
              <w:widowControl/>
              <w:jc w:val="left"/>
            </w:pPr>
            <w:r>
              <w:rPr>
                <w:b w:val="0"/>
                <w:sz w:val="17"/>
              </w:rPr>
              <w:t>₩1.7771</w:t>
            </w:r>
          </w:p>
        </w:tc>
      </w:tr>
      <w:tr>
        <w:trPr>
          <w:cantSplit/>
        </w:trPr>
        <w:tc>
          <w:tcPr>
            <w:tcW w:type="dxa" w:w="737"/>
            <w:vAlign w:val="center"/>
            <w:tcMar>
              <w:top w:w="65" w:type="dxa"/>
              <w:left w:w="65" w:type="dxa"/>
              <w:bottom w:w="65" w:type="dxa"/>
              <w:right w:w="65" w:type="dxa"/>
            </w:tcMar>
          </w:tcPr>
          <w:p>
            <w:pPr>
              <w:pStyle w:val="TableText"/>
              <w:keepNext w:val="0"/>
              <w:widowControl/>
              <w:jc w:val="left"/>
            </w:pPr>
            <w:r>
              <w:rPr>
                <w:b w:val="0"/>
                <w:sz w:val="17"/>
              </w:rPr>
              <w:t>Gemini</w:t>
            </w:r>
          </w:p>
        </w:tc>
        <w:tc>
          <w:tcPr>
            <w:tcW w:type="dxa" w:w="1134"/>
            <w:vAlign w:val="center"/>
            <w:tcMar>
              <w:top w:w="65" w:type="dxa"/>
              <w:left w:w="65" w:type="dxa"/>
              <w:bottom w:w="65" w:type="dxa"/>
              <w:right w:w="65" w:type="dxa"/>
            </w:tcMar>
          </w:tcPr>
          <w:p>
            <w:pPr>
              <w:pStyle w:val="TableText"/>
              <w:keepNext w:val="0"/>
              <w:widowControl/>
              <w:jc w:val="left"/>
            </w:pPr>
            <w:r>
              <w:rPr>
                <w:b w:val="0"/>
                <w:sz w:val="17"/>
              </w:rPr>
              <w:t>High</w:t>
            </w:r>
          </w:p>
        </w:tc>
        <w:tc>
          <w:tcPr>
            <w:tcW w:type="dxa" w:w="1757"/>
            <w:vAlign w:val="center"/>
            <w:tcMar>
              <w:top w:w="65" w:type="dxa"/>
              <w:left w:w="65" w:type="dxa"/>
              <w:bottom w:w="65" w:type="dxa"/>
              <w:right w:w="65" w:type="dxa"/>
            </w:tcMar>
          </w:tcPr>
          <w:p>
            <w:pPr>
              <w:pStyle w:val="TableText"/>
              <w:keepNext w:val="0"/>
              <w:widowControl/>
              <w:jc w:val="left"/>
            </w:pPr>
            <w:r>
              <w:rPr>
                <w:b w:val="0"/>
                <w:sz w:val="17"/>
              </w:rPr>
              <w:t>₩41,830</w:t>
            </w:r>
          </w:p>
        </w:tc>
        <w:tc>
          <w:tcPr>
            <w:tcW w:type="dxa" w:w="1134"/>
            <w:vAlign w:val="center"/>
            <w:tcMar>
              <w:top w:w="65" w:type="dxa"/>
              <w:left w:w="65" w:type="dxa"/>
              <w:bottom w:w="65" w:type="dxa"/>
              <w:right w:w="65" w:type="dxa"/>
            </w:tcMar>
          </w:tcPr>
          <w:p>
            <w:pPr>
              <w:pStyle w:val="TableText"/>
              <w:keepNext w:val="0"/>
              <w:widowControl/>
              <w:jc w:val="left"/>
            </w:pPr>
            <w:r>
              <w:rPr>
                <w:b w:val="0"/>
                <w:sz w:val="17"/>
              </w:rPr>
              <w:t>12,075</w:t>
            </w:r>
          </w:p>
        </w:tc>
        <w:tc>
          <w:tcPr>
            <w:tcW w:type="dxa" w:w="1531"/>
            <w:vAlign w:val="center"/>
            <w:tcMar>
              <w:top w:w="65" w:type="dxa"/>
              <w:left w:w="65" w:type="dxa"/>
              <w:bottom w:w="65" w:type="dxa"/>
              <w:right w:w="65" w:type="dxa"/>
            </w:tcMar>
          </w:tcPr>
          <w:p>
            <w:pPr>
              <w:pStyle w:val="TableText"/>
              <w:keepNext w:val="0"/>
              <w:widowControl/>
              <w:jc w:val="left"/>
            </w:pPr>
            <w:r>
              <w:rPr>
                <w:b w:val="0"/>
                <w:sz w:val="17"/>
              </w:rPr>
              <w:t>₩3.4642</w:t>
            </w:r>
          </w:p>
        </w:tc>
        <w:tc>
          <w:tcPr>
            <w:tcW w:type="dxa" w:w="1644"/>
            <w:vAlign w:val="center"/>
            <w:tcMar>
              <w:top w:w="65" w:type="dxa"/>
              <w:left w:w="65" w:type="dxa"/>
              <w:bottom w:w="65" w:type="dxa"/>
              <w:right w:w="65" w:type="dxa"/>
            </w:tcMar>
          </w:tcPr>
          <w:p>
            <w:pPr>
              <w:pStyle w:val="TableText"/>
              <w:keepNext w:val="0"/>
              <w:widowControl/>
              <w:jc w:val="left"/>
            </w:pPr>
            <w:r>
              <w:rPr>
                <w:b w:val="0"/>
                <w:sz w:val="17"/>
              </w:rPr>
              <w:t>₩3.4870</w:t>
            </w:r>
          </w:p>
        </w:tc>
      </w:tr>
      <w:tr>
        <w:trPr>
          <w:cantSplit/>
        </w:trPr>
        <w:tc>
          <w:tcPr>
            <w:tcW w:type="dxa" w:w="737"/>
            <w:vAlign w:val="center"/>
            <w:tcMar>
              <w:top w:w="65" w:type="dxa"/>
              <w:left w:w="65" w:type="dxa"/>
              <w:bottom w:w="65" w:type="dxa"/>
              <w:right w:w="65" w:type="dxa"/>
            </w:tcMar>
          </w:tcPr>
          <w:p>
            <w:pPr>
              <w:pStyle w:val="TableText"/>
              <w:keepNext w:val="0"/>
              <w:widowControl/>
              <w:jc w:val="left"/>
            </w:pPr>
            <w:r>
              <w:rPr>
                <w:b w:val="0"/>
                <w:sz w:val="17"/>
              </w:rPr>
              <w:t>GPT</w:t>
            </w:r>
          </w:p>
        </w:tc>
        <w:tc>
          <w:tcPr>
            <w:tcW w:type="dxa" w:w="1134"/>
            <w:vAlign w:val="center"/>
            <w:tcMar>
              <w:top w:w="65" w:type="dxa"/>
              <w:left w:w="65" w:type="dxa"/>
              <w:bottom w:w="65" w:type="dxa"/>
              <w:right w:w="65" w:type="dxa"/>
            </w:tcMar>
          </w:tcPr>
          <w:p>
            <w:pPr>
              <w:pStyle w:val="TableText"/>
              <w:keepNext w:val="0"/>
              <w:widowControl/>
              <w:jc w:val="left"/>
            </w:pPr>
            <w:r>
              <w:rPr>
                <w:b w:val="0"/>
                <w:sz w:val="17"/>
              </w:rPr>
              <w:t>Baseline</w:t>
            </w:r>
          </w:p>
        </w:tc>
        <w:tc>
          <w:tcPr>
            <w:tcW w:type="dxa" w:w="1757"/>
            <w:vAlign w:val="center"/>
            <w:tcMar>
              <w:top w:w="65" w:type="dxa"/>
              <w:left w:w="65" w:type="dxa"/>
              <w:bottom w:w="65" w:type="dxa"/>
              <w:right w:w="65" w:type="dxa"/>
            </w:tcMar>
          </w:tcPr>
          <w:p>
            <w:pPr>
              <w:pStyle w:val="TableText"/>
              <w:keepNext w:val="0"/>
              <w:widowControl/>
              <w:jc w:val="left"/>
            </w:pPr>
            <w:r>
              <w:rPr>
                <w:b w:val="0"/>
                <w:sz w:val="17"/>
              </w:rPr>
              <w:t>$19.57</w:t>
            </w:r>
          </w:p>
        </w:tc>
        <w:tc>
          <w:tcPr>
            <w:tcW w:type="dxa" w:w="1134"/>
            <w:vAlign w:val="center"/>
            <w:tcMar>
              <w:top w:w="65" w:type="dxa"/>
              <w:left w:w="65" w:type="dxa"/>
              <w:bottom w:w="65" w:type="dxa"/>
              <w:right w:w="65" w:type="dxa"/>
            </w:tcMar>
          </w:tcPr>
          <w:p>
            <w:pPr>
              <w:pStyle w:val="TableText"/>
              <w:keepNext w:val="0"/>
              <w:widowControl/>
              <w:jc w:val="left"/>
            </w:pPr>
            <w:r>
              <w:rPr>
                <w:b w:val="0"/>
                <w:sz w:val="17"/>
              </w:rPr>
              <w:t>12,075</w:t>
            </w:r>
          </w:p>
        </w:tc>
        <w:tc>
          <w:tcPr>
            <w:tcW w:type="dxa" w:w="1531"/>
            <w:vAlign w:val="center"/>
            <w:tcMar>
              <w:top w:w="65" w:type="dxa"/>
              <w:left w:w="65" w:type="dxa"/>
              <w:bottom w:w="65" w:type="dxa"/>
              <w:right w:w="65" w:type="dxa"/>
            </w:tcMar>
          </w:tcPr>
          <w:p>
            <w:pPr>
              <w:pStyle w:val="TableText"/>
              <w:keepNext w:val="0"/>
              <w:widowControl/>
              <w:jc w:val="left"/>
            </w:pPr>
            <w:r>
              <w:rPr>
                <w:b w:val="0"/>
                <w:sz w:val="17"/>
              </w:rPr>
              <w:t>$0.001621</w:t>
            </w:r>
          </w:p>
        </w:tc>
        <w:tc>
          <w:tcPr>
            <w:tcW w:type="dxa" w:w="1644"/>
            <w:vAlign w:val="center"/>
            <w:tcMar>
              <w:top w:w="65" w:type="dxa"/>
              <w:left w:w="65" w:type="dxa"/>
              <w:bottom w:w="65" w:type="dxa"/>
              <w:right w:w="65" w:type="dxa"/>
            </w:tcMar>
          </w:tcPr>
          <w:p>
            <w:pPr>
              <w:pStyle w:val="TableText"/>
              <w:keepNext w:val="0"/>
              <w:widowControl/>
              <w:jc w:val="left"/>
            </w:pPr>
            <w:r>
              <w:rPr>
                <w:b w:val="0"/>
                <w:sz w:val="17"/>
              </w:rPr>
              <w:t>$0.002233</w:t>
            </w:r>
          </w:p>
        </w:tc>
      </w:tr>
      <w:tr>
        <w:trPr>
          <w:cantSplit/>
        </w:trPr>
        <w:tc>
          <w:tcPr>
            <w:tcW w:type="dxa" w:w="737"/>
            <w:vAlign w:val="center"/>
            <w:tcMar>
              <w:top w:w="65" w:type="dxa"/>
              <w:left w:w="65" w:type="dxa"/>
              <w:bottom w:w="65" w:type="dxa"/>
              <w:right w:w="65" w:type="dxa"/>
            </w:tcMar>
          </w:tcPr>
          <w:p>
            <w:pPr>
              <w:pStyle w:val="TableText"/>
              <w:keepNext w:val="0"/>
              <w:widowControl/>
              <w:jc w:val="left"/>
            </w:pPr>
            <w:r>
              <w:rPr>
                <w:b w:val="0"/>
                <w:sz w:val="17"/>
              </w:rPr>
              <w:t>GPT</w:t>
            </w:r>
          </w:p>
        </w:tc>
        <w:tc>
          <w:tcPr>
            <w:tcW w:type="dxa" w:w="1134"/>
            <w:vAlign w:val="center"/>
            <w:tcMar>
              <w:top w:w="65" w:type="dxa"/>
              <w:left w:w="65" w:type="dxa"/>
              <w:bottom w:w="65" w:type="dxa"/>
              <w:right w:w="65" w:type="dxa"/>
            </w:tcMar>
          </w:tcPr>
          <w:p>
            <w:pPr>
              <w:pStyle w:val="TableText"/>
              <w:keepNext w:val="0"/>
              <w:widowControl/>
              <w:jc w:val="left"/>
            </w:pPr>
            <w:r>
              <w:rPr>
                <w:b w:val="0"/>
                <w:sz w:val="17"/>
              </w:rPr>
              <w:t>High</w:t>
            </w:r>
          </w:p>
        </w:tc>
        <w:tc>
          <w:tcPr>
            <w:tcW w:type="dxa" w:w="1757"/>
            <w:vAlign w:val="center"/>
            <w:tcMar>
              <w:top w:w="65" w:type="dxa"/>
              <w:left w:w="65" w:type="dxa"/>
              <w:bottom w:w="65" w:type="dxa"/>
              <w:right w:w="65" w:type="dxa"/>
            </w:tcMar>
          </w:tcPr>
          <w:p>
            <w:pPr>
              <w:pStyle w:val="TableText"/>
              <w:keepNext w:val="0"/>
              <w:widowControl/>
              <w:jc w:val="left"/>
            </w:pPr>
            <w:r>
              <w:rPr>
                <w:b w:val="0"/>
                <w:sz w:val="17"/>
              </w:rPr>
              <w:t>$109.28</w:t>
            </w:r>
          </w:p>
        </w:tc>
        <w:tc>
          <w:tcPr>
            <w:tcW w:type="dxa" w:w="1134"/>
            <w:vAlign w:val="center"/>
            <w:tcMar>
              <w:top w:w="65" w:type="dxa"/>
              <w:left w:w="65" w:type="dxa"/>
              <w:bottom w:w="65" w:type="dxa"/>
              <w:right w:w="65" w:type="dxa"/>
            </w:tcMar>
          </w:tcPr>
          <w:p>
            <w:pPr>
              <w:pStyle w:val="TableText"/>
              <w:keepNext w:val="0"/>
              <w:widowControl/>
              <w:jc w:val="left"/>
            </w:pPr>
            <w:r>
              <w:rPr>
                <w:b w:val="0"/>
                <w:sz w:val="17"/>
              </w:rPr>
              <w:t>12,075</w:t>
            </w:r>
          </w:p>
        </w:tc>
        <w:tc>
          <w:tcPr>
            <w:tcW w:type="dxa" w:w="1531"/>
            <w:vAlign w:val="center"/>
            <w:tcMar>
              <w:top w:w="65" w:type="dxa"/>
              <w:left w:w="65" w:type="dxa"/>
              <w:bottom w:w="65" w:type="dxa"/>
              <w:right w:w="65" w:type="dxa"/>
            </w:tcMar>
          </w:tcPr>
          <w:p>
            <w:pPr>
              <w:pStyle w:val="TableText"/>
              <w:keepNext w:val="0"/>
              <w:widowControl/>
              <w:jc w:val="left"/>
            </w:pPr>
            <w:r>
              <w:rPr>
                <w:b w:val="0"/>
                <w:sz w:val="17"/>
              </w:rPr>
              <w:t>$0.009050</w:t>
            </w:r>
          </w:p>
        </w:tc>
        <w:tc>
          <w:tcPr>
            <w:tcW w:type="dxa" w:w="1644"/>
            <w:vAlign w:val="center"/>
            <w:tcMar>
              <w:top w:w="65" w:type="dxa"/>
              <w:left w:w="65" w:type="dxa"/>
              <w:bottom w:w="65" w:type="dxa"/>
              <w:right w:w="65" w:type="dxa"/>
            </w:tcMar>
          </w:tcPr>
          <w:p>
            <w:pPr>
              <w:pStyle w:val="TableText"/>
              <w:keepNext w:val="0"/>
              <w:widowControl/>
              <w:jc w:val="left"/>
            </w:pPr>
            <w:r>
              <w:rPr>
                <w:b w:val="0"/>
                <w:sz w:val="17"/>
              </w:rPr>
              <w:t>$0.009180</w:t>
            </w:r>
          </w:p>
        </w:tc>
      </w:tr>
    </w:tbl>
    <w:p>
      <w:pPr>
        <w:pStyle w:val="SourceNote"/>
        <w:widowControl/>
      </w:pPr>
      <w:r>
        <w:t>자료: 사용자 제공 대시보드 귀속가정과 최종 canonical strict usable 수. 분모는 Main과 Stability를 포함한 모델·regime별 전체 요청이다. 수용행동당 단가는 전체 응답 schema 적합 또는 최종 2단계 권고 단가와 다르다.</w:t>
      </w:r>
    </w:p>
    <w:p>
      <w:pPr>
        <w:widowControl/>
      </w:pPr>
      <w:r>
        <w:t>동일한 요청 수를 기준으로 High의 평균 요청단가는 GPT에서 Baseline의 약 5.58배, Gemini에서 약 3.24배이다. GPT는 요청당 약 $0.001621에서 $0.009050으로, Gemini는 약 ₩1.0683에서 ₩3.4642로 증가한다. 이는 공급자 안의 regime 비용비교이며 서로 다른 통화의 공급자 간 직접 단가비율이 아니다.</w:t>
      </w:r>
    </w:p>
    <w:p>
      <w:pPr>
        <w:widowControl/>
      </w:pPr>
      <w:r>
        <w:t>Strict 수용행동당 비용은 GPT Baseline 약 $0.002233, High 약 $0.009180이며 Gemini는 약 ₩1.7771와 ₩3.4870이다. High에서는 비용이 늘지만 불용 응답도 줄어드므로 요청당 비용배수와 수용행동당 비용배수는 다르다. 같은 평균 API 단가로 더 많은 usable 행동을 얻었다는 사실과, 더 높은 정책가치를 얻었다는 사실도 별도로 보아야 한다.</w:t>
      </w:r>
    </w:p>
    <w:p>
      <w:bookmarkStart w:id="174" w:name="head_119"/>
      <w:pPr>
        <w:pStyle w:val="3"/>
        <w:widowControl/>
      </w:pPr>
      <w:r>
        <w:t>6.8.2 요청 한 건과 최종 권고 하나의 비용</w:t>
      </w:r>
      <w:bookmarkEnd w:id="174"/>
    </w:p>
    <w:p>
      <w:pPr>
        <w:widowControl/>
      </w:pPr>
      <w:r>
        <w:t>C4는 한 번의 생성으로 직접 권고를 만든다. C4R 또는 C6-E를 처음부터 독립적으로 만들려면 C4 초안과 두 번째 응답이 모두 필요하다. 따라서 최종 권고비용은 부모 초안 생성비와 해당 후속 호출비의 합이다. 실험에서는 같은 C4를 여러 branch에서 공유하므로 셀별 비용을 정확히 배분하려면 부모 비용을 어떤 기준으로 나눌지 정해야 한다.</w:t>
      </w:r>
    </w:p>
    <w:p>
      <w:pPr>
        <w:pStyle w:val="Equation"/>
        <w:keepNext/>
        <w:widowControl/>
      </w:pPr>
      <w:r>
        <w:t>Cost(final C6-E) = Cost(parent C4) + Cost(C6-E call)</w:t>
      </w:r>
    </w:p>
    <w:p>
      <w:pPr>
        <w:widowControl/>
      </w:pPr>
      <w:r>
        <w:t>전체 평균 요청단가만으로는 각 정책의 input 길이, 재검토 초안의 토큰 수 및 reasoning output이 얼마나 달랐는지 알 수 없다. 모든 호출의 단가가 같다고 단순 가정하면 두 요청의 비용이 필요하다는 근사만 가능하며, 이를 실제 C6-E 청구단가로 보고하지 않는다. 이번 표의 행동당 비용은 처리된 요청 한 건에서 나온 수용행동의 비용이다.</w:t>
      </w:r>
    </w:p>
    <w:p>
      <w:pPr>
        <w:widowControl/>
      </w:pPr>
      <w:r>
        <w:t>Repaired는 저장된 응답에 적용하므로 추가 API 생성비는 0이다. 그렇다고 구현·검증·컴퓨팅·사람의 감사비용까지 0이라는 뜻은 아니다. 금융업무에 도입할 때에는 잘못된 수리와 검토시간 및 운영리스크를 포함해야 한다. 본 실험에서는 실제 금융편익이나 심사역의 시간절감이 관측되지 않았으므로 경제적 ROI를 계산하지 않는다.</w:t>
      </w:r>
    </w:p>
    <w:p>
      <w:bookmarkStart w:id="175" w:name="head_120"/>
      <w:pPr>
        <w:pStyle w:val="3"/>
        <w:widowControl/>
      </w:pPr>
      <w:r>
        <w:t>6.8.3 토큰당 비용을 해석하는 한계</w:t>
      </w:r>
      <w:bookmarkEnd w:id="175"/>
    </w:p>
    <w:p>
      <w:pPr>
        <w:widowControl/>
      </w:pPr>
      <w:r>
        <w:t>OpenAI 화면에는 두 regime 합계 요청 24,150건과 약 98,577,154개의 표시 입력토큰이 제시되어 있다. 총 지출을 이 표시 토큰으로 나누면 약 $1.3071/백만 표시 입력토큰이라는 혼합 지출밀도가 나온다. 하지만 총액에는 출력 및 추론 관련 과금이 포함될 수 있으므로 이것은 입력토큰의 공시단가가 아니다. Baseline과 High의 입력·출력·추론·캐시 토큰을 분리한 완결 usage ledger가 없으면 실제 종류별 토큰단가를 역산할 수 없다.</w:t>
      </w:r>
    </w:p>
    <w:p>
      <w:pPr>
        <w:widowControl/>
      </w:pPr>
      <w:r>
        <w:t>Gemini는 같은 범위의 완전한 토큰 분해자료가 이 비용분석에 확보되지 않았다. 따라서 지출에서 추론 토큰 수를 역산해 실제 관측한 thinking token처럼 표기하지 않는다. 논문이 직접 보고할 수 있는 것은 대시보드 귀속가정 아래의 전체 지출과 요청당·수용행동당 비용, 그리고 실제 관찰된 정책가치와 수용률의 차이이다.</w:t>
      </w:r>
    </w:p>
    <w:p>
      <w:bookmarkStart w:id="176" w:name="head_121"/>
      <w:pPr>
        <w:pStyle w:val="2"/>
        <w:widowControl/>
      </w:pPr>
      <w:r>
        <w:t>6.9 소결</w:t>
      </w:r>
      <w:bookmarkEnd w:id="176"/>
    </w:p>
    <w:p>
      <w:pPr>
        <w:widowControl/>
      </w:pPr>
      <w:r>
        <w:t>High 생성조건에서는 B1 행동 수용률이 크게 개선되었고, 같은 B1에서 학습참조를 포함한 C6-E의 자기 재검토 대비 양의 증분가치가 관찰되었다. 그러나 High가 모든 BINF 점수를 높이지는 않았으며, 참조효과가 High에서 유의하다는 사실이 Baseline보다 효과가 유의하게 커졌음을 자동으로 의미하지는 않는다.</w:t>
      </w:r>
    </w:p>
    <w:p>
      <w:pPr>
        <w:widowControl/>
      </w:pPr>
      <w:r>
        <w:t>동일한 원응답에 Repaired 실행규칙을 적용하거나 부모 수용 게이트를 가정하면 Baseline 자기 재검토의 해석이 크게 달라진다. 따라서 관측된 평균차이는 모델의 경제적 판단만이 아니라 불용 초안의 처리와 후속 기회 및 실행규칙에 의존한다. 이는 정책 하네스 전체를 평가단위로 두어야 한다는 실증적 근거이다.</w:t>
      </w:r>
    </w:p>
    <w:p>
      <w:pPr>
        <w:widowControl/>
      </w:pPr>
      <w:r>
        <w:t>평균가치, 기업별 증분효과와 행동의 반복성은 다르며 비용도 regime에 따라 변한다. 실무에서는 생성·검증·실행 조합을 사용목적과 함께 명시해야 한다.</w:t>
      </w:r>
    </w:p>
    <w:p>
      <w:bookmarkStart w:id="177" w:name="head_122"/>
      <w:pPr>
        <w:pStyle w:val="1"/>
        <w:widowControl/>
      </w:pPr>
      <w:r>
        <w:t>제7장 종합 논의와 결론</w:t>
      </w:r>
      <w:bookmarkEnd w:id="177"/>
    </w:p>
    <w:p>
      <w:bookmarkStart w:id="178" w:name="head_123"/>
      <w:pPr>
        <w:pStyle w:val="2"/>
        <w:widowControl/>
      </w:pPr>
      <w:r>
        <w:t>7.1 연구결과의 요약</w:t>
      </w:r>
      <w:bookmarkEnd w:id="178"/>
    </w:p>
    <w:p>
      <w:pPr>
        <w:widowControl/>
      </w:pPr>
      <w:r>
        <w:t>본 연구는 LLM이 생성한 기업 신용등급 개선권고의 실제 효과를 직접 관찰하기 어려운 상황에서, 어떤 평가기반과 생성·실행 조건 아래에서 권고를 비교할 수 있는지를 검토하였다. 평가 하네스와 정책 하네스를 구분하고, 평가기반의 증거 범위를 먼저 정한 뒤 동일한 기업과 행동 의미론에서 정책을 비교하는 검증 우선 접근을 유지하였다.</w:t>
      </w:r>
    </w:p>
    <w:p>
      <w:pPr>
        <w:widowControl/>
      </w:pPr>
      <w:r>
        <w:t>평가기반에서는 개발 단계의 Oracle 정렬성과 Simulator 재현·편향 기록, 최신 의미론 fixture 및 동결된 9후보 payoff를 서로 다른 증거로 나누었다. 회계적 일관성과 제한적인 실제 등급 정렬성이 존재하더라도, 권고를 실제 실행하면 같은 효과가 발생한다는 결론은 얻을 수 없다. 같은 기업의 A0 대비 차이는 공통 수준오차를 줄이는 데 유용하지만 행동에 따라 달라지는 오차까지 자동으로 없애지는 않는다.</w:t>
      </w:r>
    </w:p>
    <w:p>
      <w:pPr>
        <w:widowControl/>
      </w:pPr>
      <w:r>
        <w:t>학습 참조정책 C3-E는 네 configuration과 일곱 matched seed의 28개 actor를 확률평균으로 결합하였다. α에서 평균 절대점수 55.959960, A0 대비 +0.923299, OE 대비 +0.157936을 기록하였다. 그러나 평가모형에 따라 상대가치가 달라지고 개별 손실 사례도 존재한다. 개별 actor의 학습목표와 달리 최종 정책 선택은 2024년의 반복적인 개발·평가와 연결되므로, 선택과정까지 완전히 독립적인 검증정책이라고 주장하지 않았다.</w:t>
      </w:r>
    </w:p>
    <w:p>
      <w:pPr>
        <w:widowControl/>
      </w:pPr>
      <w:r>
        <w:t>Baseline B1에서는 자유작성의 낮은 행동 수용률이 중요한 운영결과였다. C4 수용률은 Gemini 15.3%, GPT 44.3%였으며, 같은 B1에서 후보선택보다 Strict ITT 가치가 낮았다. 진단 지시 C5는 이 Baseline B1에서 양의 효과를 보였지만, 자기 재검토와 학습참조의 증분효과는 모델과 예산에 따라 달랐다. 따라서 구형 원고의 ‘추론 지시는 항상 해롭다’ 또는 ‘자유작성은 항상 우월하다’는 포괄 결론을 유지하지 않았다.</w:t>
      </w:r>
    </w:p>
    <w:p>
      <w:pPr>
        <w:widowControl/>
      </w:pPr>
      <w:r>
        <w:t>High에서는 B1 C4 수용률이 Gemini 99.1%, GPT 97.4%로 높아졌다. High B1의 C6-E−C4R은 각각 +0.0897과 +0.1003으로 양의 증분가치가 관찰되었다. 그러나 High가 BINF의 점수를 항상 높이지 않았고, High의 참조효과가 유의하다는 사실만으로 Baseline보다 효과가 유의하게 커졌다고 결론내릴 수 없었다. C5 프롬프트 유도와 API 추론설정도 다른 변수로 남겼다.</w:t>
      </w:r>
    </w:p>
    <w:p>
      <w:pPr>
        <w:widowControl/>
      </w:pPr>
      <w:r>
        <w:t>결정론적 Repair 또는 부모 수용 게이트를 적용한 민감도에서는 Baseline 자기 재검토의 해석이 크게 달라졌다. GPT B1의 Strict C4R−C4는 +0.1693이지만 Repaired에서는 +0.0047이었다. 이는 자기 재검토의 관측상 이득에 형식·행동제약 위반과 후속 기회 및 실행규칙이 관여함을 보여준다. 다만 이러한 비교는 모델의 숨겨진 의도를 완전하게 복원하거나 내부 판단기제를 인과적으로 분해한 결과가 아니다.</w:t>
      </w:r>
    </w:p>
    <w:p>
      <w:pPr>
        <w:widowControl/>
      </w:pPr>
      <w:r>
        <w:t>마지막으로 평균 정책가치, 기업별 가치의 순서, 수정의 증분효과 및 구체적 행동은 서로 다른 정도로 반복되었다. High B1의 학습참조 평균효과는 두 Run에서 양수였지만 기업별 증분효과의 순위상관은 낮았고, 행동벡터도 항상 같지 않았다. 비용은 High에서 증가했으나 수용률과 가치의 변화는 단순 비용배수와 같지 않았다. 따라서 정책의 실용성은 평균점수 하나가 아니라 유효성, 효과, 반복성과 비용을 함께 평가해야 한다.</w:t>
      </w:r>
    </w:p>
    <w:p>
      <w:bookmarkStart w:id="179" w:name="head_124"/>
      <w:pPr>
        <w:pStyle w:val="2"/>
        <w:widowControl/>
      </w:pPr>
      <w:r>
        <w:t>7.2 연구질문과 가설의 회수</w:t>
      </w:r>
      <w:bookmarkEnd w:id="179"/>
    </w:p>
    <w:p>
      <w:pPr>
        <w:widowControl/>
      </w:pPr>
      <w:r>
        <w:t>연구질문은 원래의 다섯 축을 유지한다. 다만 구형 실행의 가설 판정을 그대로 최신 실험에 옮기지 않고, 실제 실행한 대비와 결과의 범위에 맞추어 회수한다. H1의 프롬프트 추론 유도와 High regime의 추가 계산실험은 같은 가설이 아니며, High·Repaired의 결과는 별도 추가 분석으로 보고한다.</w:t>
      </w:r>
    </w:p>
    <w:p>
      <w:bookmarkStart w:id="180" w:name="cap_56"/>
      <w:pPr>
        <w:pStyle w:val="af"/>
        <w:widowControl/>
      </w:pPr>
      <w:r>
        <w:t>표 7-1. 연구질문·가설별 증거와 결론의 범위</w:t>
      </w:r>
      <w:bookmarkEnd w:id="180"/>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1531"/>
        <w:gridCol w:w="3231"/>
        <w:gridCol w:w="3175"/>
      </w:tblGrid>
      <w:tr>
        <w:trPr>
          <w:cantSplit/>
          <w:tblHeader/>
        </w:trPr>
        <w:tc>
          <w:tcPr>
            <w:tcW w:type="dxa" w:w="1531"/>
            <w:vAlign w:val="center"/>
            <w:shd w:fill="F1F1F1"/>
            <w:tcMar>
              <w:top w:w="65" w:type="dxa"/>
              <w:left w:w="65" w:type="dxa"/>
              <w:bottom w:w="65" w:type="dxa"/>
              <w:right w:w="65" w:type="dxa"/>
            </w:tcMar>
          </w:tcPr>
          <w:p>
            <w:pPr>
              <w:pStyle w:val="TableText"/>
              <w:keepNext/>
              <w:widowControl/>
              <w:jc w:val="center"/>
            </w:pPr>
            <w:r>
              <w:rPr>
                <w:b/>
                <w:sz w:val="18"/>
              </w:rPr>
              <w:t>질문·가설</w:t>
            </w:r>
          </w:p>
        </w:tc>
        <w:tc>
          <w:tcPr>
            <w:tcW w:type="dxa" w:w="3231"/>
            <w:vAlign w:val="center"/>
            <w:shd w:fill="F1F1F1"/>
            <w:tcMar>
              <w:top w:w="65" w:type="dxa"/>
              <w:left w:w="65" w:type="dxa"/>
              <w:bottom w:w="65" w:type="dxa"/>
              <w:right w:w="65" w:type="dxa"/>
            </w:tcMar>
          </w:tcPr>
          <w:p>
            <w:pPr>
              <w:pStyle w:val="TableText"/>
              <w:keepNext/>
              <w:widowControl/>
              <w:jc w:val="center"/>
            </w:pPr>
            <w:r>
              <w:rPr>
                <w:b/>
                <w:sz w:val="18"/>
              </w:rPr>
              <w:t>이번 결과의 회수</w:t>
            </w:r>
          </w:p>
        </w:tc>
        <w:tc>
          <w:tcPr>
            <w:tcW w:type="dxa" w:w="3175"/>
            <w:vAlign w:val="center"/>
            <w:shd w:fill="F1F1F1"/>
            <w:tcMar>
              <w:top w:w="65" w:type="dxa"/>
              <w:left w:w="65" w:type="dxa"/>
              <w:bottom w:w="65" w:type="dxa"/>
              <w:right w:w="65" w:type="dxa"/>
            </w:tcMar>
          </w:tcPr>
          <w:p>
            <w:pPr>
              <w:pStyle w:val="TableText"/>
              <w:keepNext/>
              <w:widowControl/>
              <w:jc w:val="center"/>
            </w:pPr>
            <w:r>
              <w:rPr>
                <w:b/>
                <w:sz w:val="18"/>
              </w:rPr>
              <w:t>해석의 제한</w:t>
            </w:r>
          </w:p>
        </w:tc>
      </w:tr>
      <w:tr>
        <w:trPr>
          <w:cantSplit/>
        </w:trPr>
        <w:tc>
          <w:tcPr>
            <w:tcW w:type="dxa" w:w="1531"/>
            <w:vAlign w:val="center"/>
            <w:tcMar>
              <w:top w:w="65" w:type="dxa"/>
              <w:left w:w="65" w:type="dxa"/>
              <w:bottom w:w="65" w:type="dxa"/>
              <w:right w:w="65" w:type="dxa"/>
            </w:tcMar>
          </w:tcPr>
          <w:p>
            <w:pPr>
              <w:pStyle w:val="TableText"/>
              <w:keepNext/>
              <w:widowControl/>
              <w:jc w:val="left"/>
            </w:pPr>
            <w:r>
              <w:rPr>
                <w:b w:val="0"/>
                <w:sz w:val="18"/>
              </w:rPr>
              <w:t>RQ1 평가기반</w:t>
            </w:r>
          </w:p>
        </w:tc>
        <w:tc>
          <w:tcPr>
            <w:tcW w:type="dxa" w:w="3231"/>
            <w:vAlign w:val="center"/>
            <w:tcMar>
              <w:top w:w="65" w:type="dxa"/>
              <w:left w:w="65" w:type="dxa"/>
              <w:bottom w:w="65" w:type="dxa"/>
              <w:right w:w="65" w:type="dxa"/>
            </w:tcMar>
          </w:tcPr>
          <w:p>
            <w:pPr>
              <w:pStyle w:val="TableText"/>
              <w:keepNext/>
              <w:widowControl/>
              <w:jc w:val="left"/>
            </w:pPr>
            <w:r>
              <w:rPr>
                <w:b w:val="0"/>
                <w:sz w:val="18"/>
              </w:rPr>
              <w:t>개발 검증기록과 현재 의미론·후보평가를 분리하여 제시</w:t>
            </w:r>
          </w:p>
        </w:tc>
        <w:tc>
          <w:tcPr>
            <w:tcW w:type="dxa" w:w="3175"/>
            <w:vAlign w:val="center"/>
            <w:tcMar>
              <w:top w:w="65" w:type="dxa"/>
              <w:left w:w="65" w:type="dxa"/>
              <w:bottom w:w="65" w:type="dxa"/>
              <w:right w:w="65" w:type="dxa"/>
            </w:tcMar>
          </w:tcPr>
          <w:p>
            <w:pPr>
              <w:pStyle w:val="TableText"/>
              <w:keepNext/>
              <w:widowControl/>
              <w:jc w:val="left"/>
            </w:pPr>
            <w:r>
              <w:rPr>
                <w:b w:val="0"/>
                <w:sz w:val="18"/>
              </w:rPr>
              <w:t>현실적 실행효과 및 모든 V4.3 변경 후의 실증 재검증까지 입증하지 않음</w:t>
            </w:r>
          </w:p>
        </w:tc>
      </w:tr>
      <w:tr>
        <w:trPr>
          <w:cantSplit/>
        </w:trPr>
        <w:tc>
          <w:tcPr>
            <w:tcW w:type="dxa" w:w="1531"/>
            <w:vAlign w:val="center"/>
            <w:tcMar>
              <w:top w:w="65" w:type="dxa"/>
              <w:left w:w="65" w:type="dxa"/>
              <w:bottom w:w="65" w:type="dxa"/>
              <w:right w:w="65" w:type="dxa"/>
            </w:tcMar>
          </w:tcPr>
          <w:p>
            <w:pPr>
              <w:pStyle w:val="TableText"/>
              <w:keepNext w:val="0"/>
              <w:widowControl/>
              <w:jc w:val="left"/>
            </w:pPr>
            <w:r>
              <w:rPr>
                <w:b w:val="0"/>
                <w:sz w:val="18"/>
              </w:rPr>
              <w:t>RQ2 행동가치·순위</w:t>
            </w:r>
          </w:p>
        </w:tc>
        <w:tc>
          <w:tcPr>
            <w:tcW w:type="dxa" w:w="3231"/>
            <w:vAlign w:val="center"/>
            <w:tcMar>
              <w:top w:w="65" w:type="dxa"/>
              <w:left w:w="65" w:type="dxa"/>
              <w:bottom w:w="65" w:type="dxa"/>
              <w:right w:w="65" w:type="dxa"/>
            </w:tcMar>
          </w:tcPr>
          <w:p>
            <w:pPr>
              <w:pStyle w:val="TableText"/>
              <w:keepNext w:val="0"/>
              <w:widowControl/>
              <w:jc w:val="left"/>
            </w:pPr>
            <w:r>
              <w:rPr>
                <w:b w:val="0"/>
                <w:sz w:val="18"/>
              </w:rPr>
              <w:t>C3-E α의 OE 대비 +0.1579; 같은 표면의 최신 비교정책 복원</w:t>
            </w:r>
          </w:p>
        </w:tc>
        <w:tc>
          <w:tcPr>
            <w:tcW w:type="dxa" w:w="3175"/>
            <w:vAlign w:val="center"/>
            <w:tcMar>
              <w:top w:w="65" w:type="dxa"/>
              <w:left w:w="65" w:type="dxa"/>
              <w:bottom w:w="65" w:type="dxa"/>
              <w:right w:w="65" w:type="dxa"/>
            </w:tcMar>
          </w:tcPr>
          <w:p>
            <w:pPr>
              <w:pStyle w:val="TableText"/>
              <w:keepNext w:val="0"/>
              <w:widowControl/>
              <w:jc w:val="left"/>
            </w:pPr>
            <w:r>
              <w:rPr>
                <w:b w:val="0"/>
                <w:sz w:val="18"/>
              </w:rPr>
              <w:t>선택된 정책의 기술통계; 모든 Oracle·기업에서 우월하지 않음</w:t>
            </w:r>
          </w:p>
        </w:tc>
      </w:tr>
      <w:tr>
        <w:trPr>
          <w:cantSplit/>
        </w:trPr>
        <w:tc>
          <w:tcPr>
            <w:tcW w:type="dxa" w:w="1531"/>
            <w:vAlign w:val="center"/>
            <w:tcMar>
              <w:top w:w="65" w:type="dxa"/>
              <w:left w:w="65" w:type="dxa"/>
              <w:bottom w:w="65" w:type="dxa"/>
              <w:right w:w="65" w:type="dxa"/>
            </w:tcMar>
          </w:tcPr>
          <w:p>
            <w:pPr>
              <w:pStyle w:val="TableText"/>
              <w:keepNext w:val="0"/>
              <w:widowControl/>
              <w:jc w:val="left"/>
            </w:pPr>
            <w:r>
              <w:rPr>
                <w:b w:val="0"/>
                <w:sz w:val="18"/>
              </w:rPr>
              <w:t>RQ3–H1 진단 유도</w:t>
            </w:r>
          </w:p>
        </w:tc>
        <w:tc>
          <w:tcPr>
            <w:tcW w:type="dxa" w:w="3231"/>
            <w:vAlign w:val="center"/>
            <w:tcMar>
              <w:top w:w="65" w:type="dxa"/>
              <w:left w:w="65" w:type="dxa"/>
              <w:bottom w:w="65" w:type="dxa"/>
              <w:right w:w="65" w:type="dxa"/>
            </w:tcMar>
          </w:tcPr>
          <w:p>
            <w:pPr>
              <w:pStyle w:val="TableText"/>
              <w:keepNext w:val="0"/>
              <w:widowControl/>
              <w:jc w:val="left"/>
            </w:pPr>
            <w:r>
              <w:rPr>
                <w:b w:val="0"/>
                <w:sz w:val="18"/>
              </w:rPr>
              <w:t>Baseline B1 C5−C4는 두 모델에서 양수; BINF 및 High에서는 다름</w:t>
            </w:r>
          </w:p>
        </w:tc>
        <w:tc>
          <w:tcPr>
            <w:tcW w:type="dxa" w:w="3175"/>
            <w:vAlign w:val="center"/>
            <w:tcMar>
              <w:top w:w="65" w:type="dxa"/>
              <w:left w:w="65" w:type="dxa"/>
              <w:bottom w:w="65" w:type="dxa"/>
              <w:right w:w="65" w:type="dxa"/>
            </w:tcMar>
          </w:tcPr>
          <w:p>
            <w:pPr>
              <w:pStyle w:val="TableText"/>
              <w:keepNext w:val="0"/>
              <w:widowControl/>
              <w:jc w:val="left"/>
            </w:pPr>
            <w:r>
              <w:rPr>
                <w:b w:val="0"/>
                <w:sz w:val="18"/>
              </w:rPr>
              <w:t>조건부 지지이며 언제나 유익하거나 해롭다는 결론 아님</w:t>
            </w:r>
          </w:p>
        </w:tc>
      </w:tr>
      <w:tr>
        <w:trPr>
          <w:cantSplit/>
        </w:trPr>
        <w:tc>
          <w:tcPr>
            <w:tcW w:type="dxa" w:w="1531"/>
            <w:vAlign w:val="center"/>
            <w:tcMar>
              <w:top w:w="65" w:type="dxa"/>
              <w:left w:w="65" w:type="dxa"/>
              <w:bottom w:w="65" w:type="dxa"/>
              <w:right w:w="65" w:type="dxa"/>
            </w:tcMar>
          </w:tcPr>
          <w:p>
            <w:pPr>
              <w:pStyle w:val="TableText"/>
              <w:keepNext w:val="0"/>
              <w:widowControl/>
              <w:jc w:val="left"/>
            </w:pPr>
            <w:r>
              <w:rPr>
                <w:b w:val="0"/>
                <w:sz w:val="18"/>
              </w:rPr>
              <w:t>RQ3–H2 행동 변화</w:t>
            </w:r>
          </w:p>
        </w:tc>
        <w:tc>
          <w:tcPr>
            <w:tcW w:type="dxa" w:w="3231"/>
            <w:vAlign w:val="center"/>
            <w:tcMar>
              <w:top w:w="65" w:type="dxa"/>
              <w:left w:w="65" w:type="dxa"/>
              <w:bottom w:w="65" w:type="dxa"/>
              <w:right w:w="65" w:type="dxa"/>
            </w:tcMar>
          </w:tcPr>
          <w:p>
            <w:pPr>
              <w:pStyle w:val="TableText"/>
              <w:keepNext w:val="0"/>
              <w:widowControl/>
              <w:jc w:val="left"/>
            </w:pPr>
            <w:r>
              <w:rPr>
                <w:b w:val="0"/>
                <w:sz w:val="18"/>
              </w:rPr>
              <w:t>생성 regime와 예산에 따라 수용률·강도·활성 차원 차이 확인</w:t>
            </w:r>
          </w:p>
        </w:tc>
        <w:tc>
          <w:tcPr>
            <w:tcW w:type="dxa" w:w="3175"/>
            <w:vAlign w:val="center"/>
            <w:tcMar>
              <w:top w:w="65" w:type="dxa"/>
              <w:left w:w="65" w:type="dxa"/>
              <w:bottom w:w="65" w:type="dxa"/>
              <w:right w:w="65" w:type="dxa"/>
            </w:tcMar>
          </w:tcPr>
          <w:p>
            <w:pPr>
              <w:pStyle w:val="TableText"/>
              <w:keepNext w:val="0"/>
              <w:widowControl/>
              <w:jc w:val="left"/>
            </w:pPr>
            <w:r>
              <w:rPr>
                <w:b w:val="0"/>
                <w:sz w:val="18"/>
              </w:rPr>
              <w:t>구형 nearest-candidate 거리 결과를 최신 정량 근거로 재사용하지 않음</w:t>
            </w:r>
          </w:p>
        </w:tc>
      </w:tr>
      <w:tr>
        <w:trPr>
          <w:cantSplit/>
        </w:trPr>
        <w:tc>
          <w:tcPr>
            <w:tcW w:type="dxa" w:w="1531"/>
            <w:vAlign w:val="center"/>
            <w:tcMar>
              <w:top w:w="65" w:type="dxa"/>
              <w:left w:w="65" w:type="dxa"/>
              <w:bottom w:w="65" w:type="dxa"/>
              <w:right w:w="65" w:type="dxa"/>
            </w:tcMar>
          </w:tcPr>
          <w:p>
            <w:pPr>
              <w:pStyle w:val="TableText"/>
              <w:keepNext w:val="0"/>
              <w:widowControl/>
              <w:jc w:val="left"/>
            </w:pPr>
            <w:r>
              <w:rPr>
                <w:b w:val="0"/>
                <w:sz w:val="18"/>
              </w:rPr>
              <w:t>RQ3–H3 참조 연결</w:t>
            </w:r>
          </w:p>
        </w:tc>
        <w:tc>
          <w:tcPr>
            <w:tcW w:type="dxa" w:w="3231"/>
            <w:vAlign w:val="center"/>
            <w:tcMar>
              <w:top w:w="65" w:type="dxa"/>
              <w:left w:w="65" w:type="dxa"/>
              <w:bottom w:w="65" w:type="dxa"/>
              <w:right w:w="65" w:type="dxa"/>
            </w:tcMar>
          </w:tcPr>
          <w:p>
            <w:pPr>
              <w:pStyle w:val="TableText"/>
              <w:keepNext w:val="0"/>
              <w:widowControl/>
              <w:jc w:val="left"/>
            </w:pPr>
            <w:r>
              <w:rPr>
                <w:b w:val="0"/>
                <w:sz w:val="18"/>
              </w:rPr>
              <w:t>GPT B1에서 C6-E−C6-EX의 양의 차이; Gemini는 불확실</w:t>
            </w:r>
          </w:p>
        </w:tc>
        <w:tc>
          <w:tcPr>
            <w:tcW w:type="dxa" w:w="3175"/>
            <w:vAlign w:val="center"/>
            <w:tcMar>
              <w:top w:w="65" w:type="dxa"/>
              <w:left w:w="65" w:type="dxa"/>
              <w:bottom w:w="65" w:type="dxa"/>
              <w:right w:w="65" w:type="dxa"/>
            </w:tcMar>
          </w:tcPr>
          <w:p>
            <w:pPr>
              <w:pStyle w:val="TableText"/>
              <w:keepNext w:val="0"/>
              <w:widowControl/>
              <w:jc w:val="left"/>
            </w:pPr>
            <w:r>
              <w:rPr>
                <w:b w:val="0"/>
                <w:sz w:val="18"/>
              </w:rPr>
              <w:t>균등 무작위 후보가 아닌 고정 derangement 대조; 모델 간 차이의 직접 검정과 구분</w:t>
            </w:r>
          </w:p>
        </w:tc>
      </w:tr>
      <w:tr>
        <w:trPr>
          <w:cantSplit/>
        </w:trPr>
        <w:tc>
          <w:tcPr>
            <w:tcW w:type="dxa" w:w="1531"/>
            <w:vAlign w:val="center"/>
            <w:tcMar>
              <w:top w:w="65" w:type="dxa"/>
              <w:left w:w="65" w:type="dxa"/>
              <w:bottom w:w="65" w:type="dxa"/>
              <w:right w:w="65" w:type="dxa"/>
            </w:tcMar>
          </w:tcPr>
          <w:p>
            <w:pPr>
              <w:pStyle w:val="TableText"/>
              <w:keepNext w:val="0"/>
              <w:widowControl/>
              <w:jc w:val="left"/>
            </w:pPr>
            <w:r>
              <w:rPr>
                <w:b w:val="0"/>
                <w:sz w:val="18"/>
              </w:rPr>
              <w:t>RQ4–H4-a Oracle</w:t>
            </w:r>
          </w:p>
        </w:tc>
        <w:tc>
          <w:tcPr>
            <w:tcW w:type="dxa" w:w="3231"/>
            <w:vAlign w:val="center"/>
            <w:tcMar>
              <w:top w:w="65" w:type="dxa"/>
              <w:left w:w="65" w:type="dxa"/>
              <w:bottom w:w="65" w:type="dxa"/>
              <w:right w:w="65" w:type="dxa"/>
            </w:tcMar>
          </w:tcPr>
          <w:p>
            <w:pPr>
              <w:pStyle w:val="TableText"/>
              <w:keepNext w:val="0"/>
              <w:widowControl/>
              <w:jc w:val="left"/>
            </w:pPr>
            <w:r>
              <w:rPr>
                <w:b w:val="0"/>
                <w:sz w:val="18"/>
              </w:rPr>
              <w:t>동률·최적행동·참조 대비가 평가자에 따라 달라짐</w:t>
            </w:r>
          </w:p>
        </w:tc>
        <w:tc>
          <w:tcPr>
            <w:tcW w:type="dxa" w:w="3175"/>
            <w:vAlign w:val="center"/>
            <w:tcMar>
              <w:top w:w="65" w:type="dxa"/>
              <w:left w:w="65" w:type="dxa"/>
              <w:bottom w:w="65" w:type="dxa"/>
              <w:right w:w="65" w:type="dxa"/>
            </w:tcMar>
          </w:tcPr>
          <w:p>
            <w:pPr>
              <w:pStyle w:val="TableText"/>
              <w:keepNext w:val="0"/>
              <w:widowControl/>
              <w:jc w:val="left"/>
            </w:pPr>
            <w:r>
              <w:rPr>
                <w:b w:val="0"/>
                <w:sz w:val="18"/>
              </w:rPr>
              <w:t>원점수 통합 금지; 보편적 순위 강건성 주장 불가</w:t>
            </w:r>
          </w:p>
        </w:tc>
      </w:tr>
      <w:tr>
        <w:trPr>
          <w:cantSplit/>
        </w:trPr>
        <w:tc>
          <w:tcPr>
            <w:tcW w:type="dxa" w:w="1531"/>
            <w:vAlign w:val="center"/>
            <w:tcMar>
              <w:top w:w="65" w:type="dxa"/>
              <w:left w:w="65" w:type="dxa"/>
              <w:bottom w:w="65" w:type="dxa"/>
              <w:right w:w="65" w:type="dxa"/>
            </w:tcMar>
          </w:tcPr>
          <w:p>
            <w:pPr>
              <w:pStyle w:val="TableText"/>
              <w:keepNext w:val="0"/>
              <w:widowControl/>
              <w:jc w:val="left"/>
            </w:pPr>
            <w:r>
              <w:rPr>
                <w:b w:val="0"/>
                <w:sz w:val="18"/>
              </w:rPr>
              <w:t>RQ4–H4-b 행동공간</w:t>
            </w:r>
          </w:p>
        </w:tc>
        <w:tc>
          <w:tcPr>
            <w:tcW w:type="dxa" w:w="3231"/>
            <w:vAlign w:val="center"/>
            <w:tcMar>
              <w:top w:w="65" w:type="dxa"/>
              <w:left w:w="65" w:type="dxa"/>
              <w:bottom w:w="65" w:type="dxa"/>
              <w:right w:w="65" w:type="dxa"/>
            </w:tcMar>
          </w:tcPr>
          <w:p>
            <w:pPr>
              <w:pStyle w:val="TableText"/>
              <w:keepNext w:val="0"/>
              <w:widowControl/>
              <w:jc w:val="left"/>
            </w:pPr>
            <w:r>
              <w:rPr>
                <w:b w:val="0"/>
                <w:sz w:val="18"/>
              </w:rPr>
              <w:t>Baseline B1 free8은 candidate9보다 낮음; High에서 격차 축소</w:t>
            </w:r>
          </w:p>
        </w:tc>
        <w:tc>
          <w:tcPr>
            <w:tcW w:type="dxa" w:w="3175"/>
            <w:vAlign w:val="center"/>
            <w:tcMar>
              <w:top w:w="65" w:type="dxa"/>
              <w:left w:w="65" w:type="dxa"/>
              <w:bottom w:w="65" w:type="dxa"/>
              <w:right w:w="65" w:type="dxa"/>
            </w:tcMar>
          </w:tcPr>
          <w:p>
            <w:pPr>
              <w:pStyle w:val="TableText"/>
              <w:keepNext w:val="0"/>
              <w:widowControl/>
              <w:jc w:val="left"/>
            </w:pPr>
            <w:r>
              <w:rPr>
                <w:b w:val="0"/>
                <w:sz w:val="18"/>
              </w:rPr>
              <w:t>자유작성의 무조건적 우위는 지지되지 않음</w:t>
            </w:r>
          </w:p>
        </w:tc>
      </w:tr>
      <w:tr>
        <w:trPr>
          <w:cantSplit/>
        </w:trPr>
        <w:tc>
          <w:tcPr>
            <w:tcW w:type="dxa" w:w="1531"/>
            <w:vAlign w:val="center"/>
            <w:tcMar>
              <w:top w:w="65" w:type="dxa"/>
              <w:left w:w="65" w:type="dxa"/>
              <w:bottom w:w="65" w:type="dxa"/>
              <w:right w:w="65" w:type="dxa"/>
            </w:tcMar>
          </w:tcPr>
          <w:p>
            <w:pPr>
              <w:pStyle w:val="TableText"/>
              <w:keepNext w:val="0"/>
              <w:widowControl/>
              <w:jc w:val="left"/>
            </w:pPr>
            <w:r>
              <w:rPr>
                <w:b w:val="0"/>
                <w:sz w:val="18"/>
              </w:rPr>
              <w:t>RQ5–H5 정보조건</w:t>
            </w:r>
          </w:p>
        </w:tc>
        <w:tc>
          <w:tcPr>
            <w:tcW w:type="dxa" w:w="3231"/>
            <w:vAlign w:val="center"/>
            <w:tcMar>
              <w:top w:w="65" w:type="dxa"/>
              <w:left w:w="65" w:type="dxa"/>
              <w:bottom w:w="65" w:type="dxa"/>
              <w:right w:w="65" w:type="dxa"/>
            </w:tcMar>
          </w:tcPr>
          <w:p>
            <w:pPr>
              <w:pStyle w:val="TableText"/>
              <w:keepNext w:val="0"/>
              <w:widowControl/>
              <w:jc w:val="left"/>
            </w:pPr>
            <w:r>
              <w:rPr>
                <w:b w:val="0"/>
                <w:sz w:val="18"/>
              </w:rPr>
              <w:t>C4/free8/B1의 코드·기업명 추가효과는 명확하지 않음</w:t>
            </w:r>
          </w:p>
        </w:tc>
        <w:tc>
          <w:tcPr>
            <w:tcW w:type="dxa" w:w="3175"/>
            <w:vAlign w:val="center"/>
            <w:tcMar>
              <w:top w:w="65" w:type="dxa"/>
              <w:left w:w="65" w:type="dxa"/>
              <w:bottom w:w="65" w:type="dxa"/>
              <w:right w:w="65" w:type="dxa"/>
            </w:tcMar>
          </w:tcPr>
          <w:p>
            <w:pPr>
              <w:pStyle w:val="TableText"/>
              <w:keepNext w:val="0"/>
              <w:widowControl/>
              <w:jc w:val="left"/>
            </w:pPr>
            <w:r>
              <w:rPr>
                <w:b w:val="0"/>
                <w:sz w:val="18"/>
              </w:rPr>
              <w:t>정보가 무가치하거나 사전학습 개입이 없다는 증명 아님</w:t>
            </w:r>
          </w:p>
        </w:tc>
      </w:tr>
    </w:tbl>
    <w:p>
      <w:pPr>
        <w:pStyle w:val="SourceNote"/>
        <w:widowControl/>
      </w:pPr>
      <w:r>
        <w:t>자료: 제4–6장의 최종 계약 및 Run1 결과. H1–H5의 문제의식과 추가 regime 분석의 시간적 지위를 구분하였다.</w:t>
      </w:r>
    </w:p>
    <w:p>
      <w:pPr>
        <w:widowControl/>
      </w:pPr>
      <w:r>
        <w:t>RQ1은 단순한 통과·실패 판정으로 끝나지 않는다. 평가체계가 어떤 사실을 검증했고 어떤 사실을 검증하지 못했는지를 범위로 정리하는 것이 답이다. RQ2 역시 가장 높은 하나의 숫자만을 고르는 문제가 아니라, 같은 행동집합과 평가자에서 비교정책의 역할을 명확히 하는 문제이다.</w:t>
      </w:r>
    </w:p>
    <w:p>
      <w:pPr>
        <w:widowControl/>
      </w:pPr>
      <w:r>
        <w:t>RQ3에서 확인된 중요한 점은 자기 재검토, 진단 지시, 참조의 존재와 기업별 연결이 서로 다른 비교라는 것이다. C6-E−C4를 모두 외부참조의 효과라고 부를 수 없고 C5와 API High를 같은 추론 조건으로 부를 수도 없다. RQ4와 RQ5는 이 결과가 행동예산과 출력공간, 평가자 및 제한된 정보표현에 조건부임을 보여준다. 이처럼 연구질문의 범위를 명확히 하는 것이 결과를 과장하지 않으면서 의미를 남기는 방법이다.</w:t>
      </w:r>
    </w:p>
    <w:p>
      <w:bookmarkStart w:id="181" w:name="head_125"/>
      <w:pPr>
        <w:pStyle w:val="2"/>
        <w:widowControl/>
      </w:pPr>
      <w:r>
        <w:t>7.3 학술적 기여</w:t>
      </w:r>
      <w:bookmarkEnd w:id="181"/>
    </w:p>
    <w:p>
      <w:pPr>
        <w:widowControl/>
      </w:pPr>
      <w:r>
        <w:t>첫째, 권고의 생성능력과 평가기반의 측정범위를 함께 검토하는 절차를 제시하였다. 기존의 신용상태 예측력만으로 관리행동 비교의 타당성을 가정하지 않고, 실제 등급 정렬, 회계적 전파, 수준오차 및 행동별 점수 구별력을 나누었다. 현실의 권고 실행결과가 없는 상황에서 관측된 정책가치가 어떤 가정과 평가함수에 종속되는지를 공개한 점에 의미가 있다.</w:t>
      </w:r>
    </w:p>
    <w:p>
      <w:pPr>
        <w:widowControl/>
      </w:pPr>
      <w:r>
        <w:t>둘째, 정책 하네스를 모델명 이상의 평가단위로 구체화하였다. 같은 모델에서도 API 추론설정, 진단 프롬프트, 초안의 후속 검토, 참조 배정 및 행동예산이 달라지면 다른 출력과 수용률 및 정책가치가 나타났다. 특히 proposed·accepted·ITT·realized를 구분함으로써 자연어 응답이 경제적 행동으로 전환되는 경로를 평가대상에 포함하였다.</w:t>
      </w:r>
    </w:p>
    <w:p>
      <w:pPr>
        <w:widowControl/>
      </w:pPr>
      <w:r>
        <w:t>셋째, 원응답의 유효성과 실행규칙이 수정효과의 해석에 관여함을 실제 자료로 보여주었다. Baseline 자기 재검토의 큰 ITT 차이가 Repair와 부모 게이트에서 작아지는 현상은, 출력검증을 단순한 전처리로 숨겨서는 안 된다는 근거이다. 이러한 효과를 모델의 순수한 판단능력으로 자동 귀속하지 않고 별도의 실행정책 민감도로 분리하였다.</w:t>
      </w:r>
    </w:p>
    <w:p>
      <w:pPr>
        <w:widowControl/>
      </w:pPr>
      <w:r>
        <w:t>넷째, 평균적인 성과와 개별 권고의 반복성을 다른 수준의 검증으로 다루었다. 기업의 절대 신용평점이 잘 반복된다는 사실과 학습참조의 증분효과가 큰 기업을 안정적으로 식별한다는 사실은 다르다. 실제 자유작성 벡터를 연결하여 결측 후보 ID의 가짜 일치가 아니라 수치행동 자체의 반복성을 측정한 점도 이 구분을 뒷받침한다.</w:t>
      </w:r>
    </w:p>
    <w:p>
      <w:pPr>
        <w:widowControl/>
      </w:pPr>
      <w:r>
        <w:t>이 기여는 새로운 최적화 알고리즘의 보편적 우월성이나 실제 신용등급 개선의 인과적 입증에 있지 않다. 오히려 동일한 연구자료에서도 평가·생성·실행·분석의 정의에 따라 결론이 달라질 수 있음을 구체적인 산출물과 비교절차로 보여준 데 있다.</w:t>
      </w:r>
    </w:p>
    <w:p>
      <w:bookmarkStart w:id="182" w:name="head_126"/>
      <w:pPr>
        <w:pStyle w:val="2"/>
        <w:widowControl/>
      </w:pPr>
      <w:r>
        <w:t>7.4 결과의 이론적 해석</w:t>
      </w:r>
      <w:bookmarkEnd w:id="182"/>
    </w:p>
    <w:p>
      <w:bookmarkStart w:id="183" w:name="head_127"/>
      <w:pPr>
        <w:pStyle w:val="3"/>
        <w:widowControl/>
      </w:pPr>
      <w:r>
        <w:t>7.4.1 추론과 재검토는 같은 개입이 아니다</w:t>
      </w:r>
      <w:bookmarkEnd w:id="183"/>
    </w:p>
    <w:p>
      <w:pPr>
        <w:widowControl/>
      </w:pPr>
      <w:r>
        <w:t>프롬프트로 진단을 유도하는 C5는 첫 번째 응답의 작성방식을 바꾼다. 자기 재검토 C4R은 이미 생성한 구체적인 초안을 다시 읽는 기회를 준다. API High는 공급자 안의 추론 regime와 관련된 생성조건을 바꾼다. 이 셋을 모두 ‘더 많이 생각함’이라는 하나의 설명으로 묶으면 각각의 처리 경로와 증거를 잃는다.</w:t>
      </w:r>
    </w:p>
    <w:p>
      <w:pPr>
        <w:widowControl/>
      </w:pPr>
      <w:r>
        <w:t>High B1에서 C5와 자기 재검토의 추가 평균차이가 작아지는 패턴은 최초 생성의 유효성이 높아졌다는 결과와 함께 해석할 수 있다. 하지만 출력의 유효성이 좋아진 이유가 어떤 내부 탐색이나 계산 때문인지 직접 측정하지 않았으므로, 특정 심리적 또는 추론 기제가 확인되었다고 주장하지 않는다. 본 연구의 확실한 관측은 설정과 출력 및 정책가치의 관계이다.</w:t>
      </w:r>
    </w:p>
    <w:p>
      <w:bookmarkStart w:id="184" w:name="head_128"/>
      <w:pPr>
        <w:pStyle w:val="3"/>
        <w:widowControl/>
      </w:pPr>
      <w:r>
        <w:t>7.4.2 참조의 평균품질과 참조를 쓰는 가치</w:t>
      </w:r>
      <w:bookmarkEnd w:id="184"/>
    </w:p>
    <w:p>
      <w:pPr>
        <w:widowControl/>
      </w:pPr>
      <w:r>
        <w:t>C3-E가 OE보다 높은 α 평균을 가진다는 사실과, C3-E를 보여주면 LLM의 점수가 반드시 높아진다는 사실은 다르다. 참조는 기존 초안과 만나는 정보이며, 제한된 행동예산 안에서는 유리한 새 행동을 넣기 위해 다른 행동을 줄여야 할 수 있다. 또한 LLM은 참조를 그대로 따르거나 일부만 반영하거나 거절할 수 있다.</w:t>
      </w:r>
    </w:p>
    <w:p>
      <w:pPr>
        <w:widowControl/>
      </w:pPr>
      <w:r>
        <w:t>따라서 참조의 가치는 참조정책 자체, 기업별 연결, 최초 초안, 생성 regime와 실행규칙의 결합에서 관찰된다. High B1의 양의 C6-E−C4R은 이 결합의 유용성을 보여주는 제한적 증거이며, 모든 기업에서 참조를 채택하는 것이 최적이라는 결론이 아니다. 정답 정책이나 사후 Oracle 최고값을 제공했다고 설명하지 않는 것도 같은 이유이다.</w:t>
      </w:r>
    </w:p>
    <w:p>
      <w:bookmarkStart w:id="185" w:name="head_129"/>
      <w:pPr>
        <w:pStyle w:val="3"/>
        <w:widowControl/>
      </w:pPr>
      <w:r>
        <w:t>7.4.3 실패 처리도 정책의 일부이다</w:t>
      </w:r>
      <w:bookmarkEnd w:id="185"/>
    </w:p>
    <w:p>
      <w:pPr>
        <w:widowControl/>
      </w:pPr>
      <w:r>
        <w:t>자연어 모델의 응답을 실제 행동으로 바꾸는 시스템에서는 오류를 어떻게 처리하는지가 최종 성과를 바꾼다. 같은 원문을 A0로 처리하는 Strict와 규칙적으로 수리하는 Repaired는 다른 실행정책이다. 평균점수의 차이를 오로지 모델의 금융지식으로 돌리면 이 부분이 사라진다.</w:t>
      </w:r>
    </w:p>
    <w:p>
      <w:pPr>
        <w:widowControl/>
      </w:pPr>
      <w:r>
        <w:t>검증규칙을 엄격하게 하는 것은 오류를 숨기지 않는 장점이 있지만 사용할 수 있었던 일부 행동도 배제할 수 있다. 수리규칙은 더 많은 응답을 활용할 수 있지만 선택·축소·추출의 임의성을 새로 도입할 수 있다. 두 규칙 중 어느 것이 항상 옳다고 정하기보다, 실제로 구현한 규칙과 변경된 행동 및 실패비용을 공개하고 목적에 맞게 평가해야 한다.</w:t>
      </w:r>
    </w:p>
    <w:p>
      <w:bookmarkStart w:id="186" w:name="head_130"/>
      <w:pPr>
        <w:pStyle w:val="2"/>
        <w:widowControl/>
      </w:pPr>
      <w:r>
        <w:t>7.5 실무적·감독적 시사점</w:t>
      </w:r>
      <w:bookmarkEnd w:id="186"/>
    </w:p>
    <w:p>
      <w:bookmarkStart w:id="187" w:name="head_131"/>
      <w:pPr>
        <w:pStyle w:val="3"/>
        <w:widowControl/>
      </w:pPr>
      <w:r>
        <w:t>7.5.1 검토·변경관리의 단위</w:t>
      </w:r>
      <w:bookmarkEnd w:id="187"/>
    </w:p>
    <w:p>
      <w:pPr>
        <w:widowControl/>
      </w:pPr>
      <w:r>
        <w:t>실무의 검토대상은 파운데이션 모델만이 아니라 그 모델이 권고를 만들어 실제 행동값으로 확정하는 전체 구성이다. 같은 모델 ID를 유지해도 추론설정, 최대 출력 토큰, 정보표현, prompt, 참조정책 및 배정, action schema, parser와 fallback 또는 Repair가 달라지면 다른 정책 시스템이 될 수 있다.</w:t>
      </w:r>
    </w:p>
    <w:p>
      <w:pPr>
        <w:widowControl/>
      </w:pPr>
      <w:r>
        <w:t>변경관리에서는 어느 요소가 바뀌었는지와 그 변경이 수용률·정책가치·기업별 손실 및 반복성에 미치는 영향을 함께 확인해야 한다. 모델의 일반 벤치마크가 높다는 사실만으로 특정 여신 또는 기업 신용개선 작업의 실행 신뢰성이 확보되었다고 볼 수 없다. 반대로 한 구성의 높은 오류율을 모델 전체의 영구적인 한계로 단정하지 않는다.</w:t>
      </w:r>
    </w:p>
    <w:p>
      <w:bookmarkStart w:id="188" w:name="cap_57"/>
      <w:pPr>
        <w:pStyle w:val="af"/>
        <w:widowControl/>
      </w:pPr>
      <w:r>
        <w:t>표 7-2. 정책 하네스의 변경요소와 필요한 검증</w:t>
      </w:r>
      <w:bookmarkEnd w:id="188"/>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2041"/>
        <w:gridCol w:w="2891"/>
        <w:gridCol w:w="3005"/>
      </w:tblGrid>
      <w:tr>
        <w:trPr>
          <w:cantSplit/>
          <w:tblHeader/>
        </w:trPr>
        <w:tc>
          <w:tcPr>
            <w:tcW w:type="dxa" w:w="2041"/>
            <w:vAlign w:val="center"/>
            <w:shd w:fill="F1F1F1"/>
            <w:tcMar>
              <w:top w:w="65" w:type="dxa"/>
              <w:left w:w="65" w:type="dxa"/>
              <w:bottom w:w="65" w:type="dxa"/>
              <w:right w:w="65" w:type="dxa"/>
            </w:tcMar>
          </w:tcPr>
          <w:p>
            <w:pPr>
              <w:pStyle w:val="TableText"/>
              <w:keepNext/>
              <w:widowControl/>
              <w:jc w:val="center"/>
            </w:pPr>
            <w:r>
              <w:rPr>
                <w:b/>
                <w:sz w:val="18"/>
              </w:rPr>
              <w:t>변경요소</w:t>
            </w:r>
          </w:p>
        </w:tc>
        <w:tc>
          <w:tcPr>
            <w:tcW w:type="dxa" w:w="2891"/>
            <w:vAlign w:val="center"/>
            <w:shd w:fill="F1F1F1"/>
            <w:tcMar>
              <w:top w:w="65" w:type="dxa"/>
              <w:left w:w="65" w:type="dxa"/>
              <w:bottom w:w="65" w:type="dxa"/>
              <w:right w:w="65" w:type="dxa"/>
            </w:tcMar>
          </w:tcPr>
          <w:p>
            <w:pPr>
              <w:pStyle w:val="TableText"/>
              <w:keepNext/>
              <w:widowControl/>
              <w:jc w:val="center"/>
            </w:pPr>
            <w:r>
              <w:rPr>
                <w:b/>
                <w:sz w:val="18"/>
              </w:rPr>
              <w:t>먼저 확인할 자료</w:t>
            </w:r>
          </w:p>
        </w:tc>
        <w:tc>
          <w:tcPr>
            <w:tcW w:type="dxa" w:w="3005"/>
            <w:vAlign w:val="center"/>
            <w:shd w:fill="F1F1F1"/>
            <w:tcMar>
              <w:top w:w="65" w:type="dxa"/>
              <w:left w:w="65" w:type="dxa"/>
              <w:bottom w:w="65" w:type="dxa"/>
              <w:right w:w="65" w:type="dxa"/>
            </w:tcMar>
          </w:tcPr>
          <w:p>
            <w:pPr>
              <w:pStyle w:val="TableText"/>
              <w:keepNext/>
              <w:widowControl/>
              <w:jc w:val="center"/>
            </w:pPr>
            <w:r>
              <w:rPr>
                <w:b/>
                <w:sz w:val="18"/>
              </w:rPr>
              <w:t>함께 비교할 결과</w:t>
            </w:r>
          </w:p>
        </w:tc>
      </w:tr>
      <w:tr>
        <w:trPr>
          <w:cantSplit/>
        </w:trPr>
        <w:tc>
          <w:tcPr>
            <w:tcW w:type="dxa" w:w="2041"/>
            <w:vAlign w:val="center"/>
            <w:tcMar>
              <w:top w:w="65" w:type="dxa"/>
              <w:left w:w="65" w:type="dxa"/>
              <w:bottom w:w="65" w:type="dxa"/>
              <w:right w:w="65" w:type="dxa"/>
            </w:tcMar>
          </w:tcPr>
          <w:p>
            <w:pPr>
              <w:pStyle w:val="TableText"/>
              <w:keepNext/>
              <w:widowControl/>
              <w:jc w:val="left"/>
            </w:pPr>
            <w:r>
              <w:rPr>
                <w:b w:val="0"/>
                <w:sz w:val="18"/>
              </w:rPr>
              <w:t>모델·추론·출력상한</w:t>
            </w:r>
          </w:p>
        </w:tc>
        <w:tc>
          <w:tcPr>
            <w:tcW w:type="dxa" w:w="2891"/>
            <w:vAlign w:val="center"/>
            <w:tcMar>
              <w:top w:w="65" w:type="dxa"/>
              <w:left w:w="65" w:type="dxa"/>
              <w:bottom w:w="65" w:type="dxa"/>
              <w:right w:w="65" w:type="dxa"/>
            </w:tcMar>
          </w:tcPr>
          <w:p>
            <w:pPr>
              <w:pStyle w:val="TableText"/>
              <w:keepNext/>
              <w:widowControl/>
              <w:jc w:val="left"/>
            </w:pPr>
            <w:r>
              <w:rPr>
                <w:b w:val="0"/>
                <w:sz w:val="18"/>
              </w:rPr>
              <w:t>정확한 모델 ID, 요청 manifest, usage</w:t>
            </w:r>
          </w:p>
        </w:tc>
        <w:tc>
          <w:tcPr>
            <w:tcW w:type="dxa" w:w="3005"/>
            <w:vAlign w:val="center"/>
            <w:tcMar>
              <w:top w:w="65" w:type="dxa"/>
              <w:left w:w="65" w:type="dxa"/>
              <w:bottom w:w="65" w:type="dxa"/>
              <w:right w:w="65" w:type="dxa"/>
            </w:tcMar>
          </w:tcPr>
          <w:p>
            <w:pPr>
              <w:pStyle w:val="TableText"/>
              <w:keepNext/>
              <w:widowControl/>
              <w:jc w:val="left"/>
            </w:pPr>
            <w:r>
              <w:rPr>
                <w:b w:val="0"/>
                <w:sz w:val="18"/>
              </w:rPr>
              <w:t>행동 수용률, 정책가치, 비용</w:t>
            </w:r>
          </w:p>
        </w:tc>
      </w:tr>
      <w:tr>
        <w:trPr>
          <w:cantSplit/>
        </w:trPr>
        <w:tc>
          <w:tcPr>
            <w:tcW w:type="dxa" w:w="2041"/>
            <w:vAlign w:val="center"/>
            <w:tcMar>
              <w:top w:w="65" w:type="dxa"/>
              <w:left w:w="65" w:type="dxa"/>
              <w:bottom w:w="65" w:type="dxa"/>
              <w:right w:w="65" w:type="dxa"/>
            </w:tcMar>
          </w:tcPr>
          <w:p>
            <w:pPr>
              <w:pStyle w:val="TableText"/>
              <w:keepNext w:val="0"/>
              <w:widowControl/>
              <w:jc w:val="left"/>
            </w:pPr>
            <w:r>
              <w:rPr>
                <w:b w:val="0"/>
                <w:sz w:val="18"/>
              </w:rPr>
              <w:t>정보·프롬프트</w:t>
            </w:r>
          </w:p>
        </w:tc>
        <w:tc>
          <w:tcPr>
            <w:tcW w:type="dxa" w:w="2891"/>
            <w:vAlign w:val="center"/>
            <w:tcMar>
              <w:top w:w="65" w:type="dxa"/>
              <w:left w:w="65" w:type="dxa"/>
              <w:bottom w:w="65" w:type="dxa"/>
              <w:right w:w="65" w:type="dxa"/>
            </w:tcMar>
          </w:tcPr>
          <w:p>
            <w:pPr>
              <w:pStyle w:val="TableText"/>
              <w:keepNext w:val="0"/>
              <w:widowControl/>
              <w:jc w:val="left"/>
            </w:pPr>
            <w:r>
              <w:rPr>
                <w:b w:val="0"/>
                <w:sz w:val="18"/>
              </w:rPr>
              <w:t>실제 렌더링 필드, 시점, 부모 원문</w:t>
            </w:r>
          </w:p>
        </w:tc>
        <w:tc>
          <w:tcPr>
            <w:tcW w:type="dxa" w:w="3005"/>
            <w:vAlign w:val="center"/>
            <w:tcMar>
              <w:top w:w="65" w:type="dxa"/>
              <w:left w:w="65" w:type="dxa"/>
              <w:bottom w:w="65" w:type="dxa"/>
              <w:right w:w="65" w:type="dxa"/>
            </w:tcMar>
          </w:tcPr>
          <w:p>
            <w:pPr>
              <w:pStyle w:val="TableText"/>
              <w:keepNext w:val="0"/>
              <w:widowControl/>
              <w:jc w:val="left"/>
            </w:pPr>
            <w:r>
              <w:rPr>
                <w:b w:val="0"/>
                <w:sz w:val="18"/>
              </w:rPr>
              <w:t>결측·정보누출, 행동분포, 정보조건 효과</w:t>
            </w:r>
          </w:p>
        </w:tc>
      </w:tr>
      <w:tr>
        <w:trPr>
          <w:cantSplit/>
        </w:trPr>
        <w:tc>
          <w:tcPr>
            <w:tcW w:type="dxa" w:w="2041"/>
            <w:vAlign w:val="center"/>
            <w:tcMar>
              <w:top w:w="65" w:type="dxa"/>
              <w:left w:w="65" w:type="dxa"/>
              <w:bottom w:w="65" w:type="dxa"/>
              <w:right w:w="65" w:type="dxa"/>
            </w:tcMar>
          </w:tcPr>
          <w:p>
            <w:pPr>
              <w:pStyle w:val="TableText"/>
              <w:keepNext w:val="0"/>
              <w:widowControl/>
              <w:jc w:val="left"/>
            </w:pPr>
            <w:r>
              <w:rPr>
                <w:b w:val="0"/>
                <w:sz w:val="18"/>
              </w:rPr>
              <w:t>참조정책·배정</w:t>
            </w:r>
          </w:p>
        </w:tc>
        <w:tc>
          <w:tcPr>
            <w:tcW w:type="dxa" w:w="2891"/>
            <w:vAlign w:val="center"/>
            <w:tcMar>
              <w:top w:w="65" w:type="dxa"/>
              <w:left w:w="65" w:type="dxa"/>
              <w:bottom w:w="65" w:type="dxa"/>
              <w:right w:w="65" w:type="dxa"/>
            </w:tcMar>
          </w:tcPr>
          <w:p>
            <w:pPr>
              <w:pStyle w:val="TableText"/>
              <w:keepNext w:val="0"/>
              <w:widowControl/>
              <w:jc w:val="left"/>
            </w:pPr>
            <w:r>
              <w:rPr>
                <w:b w:val="0"/>
                <w:sz w:val="18"/>
              </w:rPr>
              <w:t>C3-E hash, donor mapping, 표시내용</w:t>
            </w:r>
          </w:p>
        </w:tc>
        <w:tc>
          <w:tcPr>
            <w:tcW w:type="dxa" w:w="3005"/>
            <w:vAlign w:val="center"/>
            <w:tcMar>
              <w:top w:w="65" w:type="dxa"/>
              <w:left w:w="65" w:type="dxa"/>
              <w:bottom w:w="65" w:type="dxa"/>
              <w:right w:w="65" w:type="dxa"/>
            </w:tcMar>
          </w:tcPr>
          <w:p>
            <w:pPr>
              <w:pStyle w:val="TableText"/>
              <w:keepNext w:val="0"/>
              <w:widowControl/>
              <w:jc w:val="left"/>
            </w:pPr>
            <w:r>
              <w:rPr>
                <w:b w:val="0"/>
                <w:sz w:val="18"/>
              </w:rPr>
              <w:t>참조 대비, 기업별 손실, 배정 민감도</w:t>
            </w:r>
          </w:p>
        </w:tc>
      </w:tr>
      <w:tr>
        <w:trPr>
          <w:cantSplit/>
        </w:trPr>
        <w:tc>
          <w:tcPr>
            <w:tcW w:type="dxa" w:w="2041"/>
            <w:vAlign w:val="center"/>
            <w:tcMar>
              <w:top w:w="65" w:type="dxa"/>
              <w:left w:w="65" w:type="dxa"/>
              <w:bottom w:w="65" w:type="dxa"/>
              <w:right w:w="65" w:type="dxa"/>
            </w:tcMar>
          </w:tcPr>
          <w:p>
            <w:pPr>
              <w:pStyle w:val="TableText"/>
              <w:keepNext w:val="0"/>
              <w:widowControl/>
              <w:jc w:val="left"/>
            </w:pPr>
            <w:r>
              <w:rPr>
                <w:b w:val="0"/>
                <w:sz w:val="18"/>
              </w:rPr>
              <w:t>행동·검증·실행규칙</w:t>
            </w:r>
          </w:p>
        </w:tc>
        <w:tc>
          <w:tcPr>
            <w:tcW w:type="dxa" w:w="2891"/>
            <w:vAlign w:val="center"/>
            <w:tcMar>
              <w:top w:w="65" w:type="dxa"/>
              <w:left w:w="65" w:type="dxa"/>
              <w:bottom w:w="65" w:type="dxa"/>
              <w:right w:w="65" w:type="dxa"/>
            </w:tcMar>
          </w:tcPr>
          <w:p>
            <w:pPr>
              <w:pStyle w:val="TableText"/>
              <w:keepNext w:val="0"/>
              <w:widowControl/>
              <w:jc w:val="left"/>
            </w:pPr>
            <w:r>
              <w:rPr>
                <w:b w:val="0"/>
                <w:sz w:val="18"/>
              </w:rPr>
              <w:t>bounds·scale·mutex, raw/accepted/ITT 연결</w:t>
            </w:r>
          </w:p>
        </w:tc>
        <w:tc>
          <w:tcPr>
            <w:tcW w:type="dxa" w:w="3005"/>
            <w:vAlign w:val="center"/>
            <w:tcMar>
              <w:top w:w="65" w:type="dxa"/>
              <w:left w:w="65" w:type="dxa"/>
              <w:bottom w:w="65" w:type="dxa"/>
              <w:right w:w="65" w:type="dxa"/>
            </w:tcMar>
          </w:tcPr>
          <w:p>
            <w:pPr>
              <w:pStyle w:val="TableText"/>
              <w:keepNext w:val="0"/>
              <w:widowControl/>
              <w:jc w:val="left"/>
            </w:pPr>
            <w:r>
              <w:rPr>
                <w:b w:val="0"/>
                <w:sz w:val="18"/>
              </w:rPr>
              <w:t>Strict/Repaired 차이, 수리사례, 실현효과</w:t>
            </w:r>
          </w:p>
        </w:tc>
      </w:tr>
      <w:tr>
        <w:trPr>
          <w:cantSplit/>
        </w:trPr>
        <w:tc>
          <w:tcPr>
            <w:tcW w:type="dxa" w:w="2041"/>
            <w:vAlign w:val="center"/>
            <w:tcMar>
              <w:top w:w="65" w:type="dxa"/>
              <w:left w:w="65" w:type="dxa"/>
              <w:bottom w:w="65" w:type="dxa"/>
              <w:right w:w="65" w:type="dxa"/>
            </w:tcMar>
          </w:tcPr>
          <w:p>
            <w:pPr>
              <w:pStyle w:val="TableText"/>
              <w:keepNext w:val="0"/>
              <w:widowControl/>
              <w:jc w:val="left"/>
            </w:pPr>
            <w:r>
              <w:rPr>
                <w:b w:val="0"/>
                <w:sz w:val="18"/>
              </w:rPr>
              <w:t>평가기반</w:t>
            </w:r>
          </w:p>
        </w:tc>
        <w:tc>
          <w:tcPr>
            <w:tcW w:type="dxa" w:w="2891"/>
            <w:vAlign w:val="center"/>
            <w:tcMar>
              <w:top w:w="65" w:type="dxa"/>
              <w:left w:w="65" w:type="dxa"/>
              <w:bottom w:w="65" w:type="dxa"/>
              <w:right w:w="65" w:type="dxa"/>
            </w:tcMar>
          </w:tcPr>
          <w:p>
            <w:pPr>
              <w:pStyle w:val="TableText"/>
              <w:keepNext w:val="0"/>
              <w:widowControl/>
              <w:jc w:val="left"/>
            </w:pPr>
            <w:r>
              <w:rPr>
                <w:b w:val="0"/>
                <w:sz w:val="18"/>
              </w:rPr>
              <w:t>Oracle·Simulator 버전과 검증범위</w:t>
            </w:r>
          </w:p>
        </w:tc>
        <w:tc>
          <w:tcPr>
            <w:tcW w:type="dxa" w:w="3005"/>
            <w:vAlign w:val="center"/>
            <w:tcMar>
              <w:top w:w="65" w:type="dxa"/>
              <w:left w:w="65" w:type="dxa"/>
              <w:bottom w:w="65" w:type="dxa"/>
              <w:right w:w="65" w:type="dxa"/>
            </w:tcMar>
          </w:tcPr>
          <w:p>
            <w:pPr>
              <w:pStyle w:val="TableText"/>
              <w:keepNext w:val="0"/>
              <w:widowControl/>
              <w:jc w:val="left"/>
            </w:pPr>
            <w:r>
              <w:rPr>
                <w:b w:val="0"/>
                <w:sz w:val="18"/>
              </w:rPr>
              <w:t>행동별 동률, 평가자 민감도, 현실 타당성</w:t>
            </w:r>
          </w:p>
        </w:tc>
      </w:tr>
    </w:tbl>
    <w:p>
      <w:pPr>
        <w:pStyle w:val="SourceNote"/>
        <w:widowControl/>
      </w:pPr>
      <w:r>
        <w:t>본 연구의 관측 결과에 근거한 운영적 제안이다. 특정 규제기관의 법적 승인요건을 대신하는 표는 아니다.</w:t>
      </w:r>
    </w:p>
    <w:p>
      <w:bookmarkStart w:id="189" w:name="head_132"/>
      <w:pPr>
        <w:pStyle w:val="3"/>
        <w:widowControl/>
      </w:pPr>
      <w:r>
        <w:t>7.5.2 집단 정책평가와 개별 기업 검토</w:t>
      </w:r>
      <w:bookmarkEnd w:id="189"/>
    </w:p>
    <w:p>
      <w:pPr>
        <w:widowControl/>
      </w:pPr>
      <w:r>
        <w:t>정형화된 후보 가운데 하나를 고르는 방식은 출력검증과 일관된 적용이 상대적으로 쉽다. 자유작성은 더 다양한 조합을 제안할 수 있지만 행동제약과 수용률을 함께 확인해야 한다. High나 Repair가 사용 가능한 행동을 늘렸더라도 최종 권고를 사람의 검토 없이 자동으로 확정할 근거가 되지는 않는다.</w:t>
      </w:r>
    </w:p>
    <w:p>
      <w:pPr>
        <w:widowControl/>
      </w:pPr>
      <w:r>
        <w:t>개별 기업에서는 산업환경, 고객·공급업체 관계, 시장상황, 사업계획, 차입약정, 자금조달 여건 및 실행기간을 검토해야 한다. 같은 재고 감축이나 매출채권 회수 권고라도 안정적인 수요가 있는 기업과 공급망 충격을 겪는 기업에서 실행비용과 위험이 다르다. 회계항등식을 지켰다고 사업상 실행가능성까지 확보되는 것은 아니다.</w:t>
      </w:r>
    </w:p>
    <w:p>
      <w:pPr>
        <w:widowControl/>
      </w:pPr>
      <w:r>
        <w:t>집단 수준에서는 평균 정책가치와 손실 분포 및 반복성을 비교하고, 개별 기업 수준에서는 구체적인 제안행동과 근거 및 실현조건을 확인한다. 본 연구의 증거 범위에서 LLM은 최종 처방을 자동 확정하는 체계라기보다 분석가가 검토할 행동조합을 생성하는 도구로 보는 것이 타당하다. 결과를 설명할 때에는 어떤 조건이 최초 초안과 최종 행동을 만들었는지를 추적할 수 있어야 한다.</w:t>
      </w:r>
    </w:p>
    <w:p>
      <w:bookmarkStart w:id="190" w:name="head_133"/>
      <w:pPr>
        <w:pStyle w:val="2"/>
        <w:widowControl/>
      </w:pPr>
      <w:r>
        <w:t>7.6 연구의 한계</w:t>
      </w:r>
      <w:bookmarkEnd w:id="190"/>
    </w:p>
    <w:p>
      <w:pPr>
        <w:widowControl/>
      </w:pPr>
      <w:r>
        <w:t>첫째, 실제 기업이 권고를 실행한 뒤 재무상태와 외부등급이 어떻게 바뀌었는지 관찰하지 못하였다. Simulator와 Oracle의 점수차이는 대리 평가이다. 금리·조달·거래관계·경영진 의사결정 및 외생 충격이 현실에서 미치는 영향을 충분히 반영하지 못하므로, 관측한 α 차이를 실제 등급 상승이나 금전적 편익으로 바꿔 읽을 수 없다.</w:t>
      </w:r>
    </w:p>
    <w:p>
      <w:pPr>
        <w:widowControl/>
      </w:pPr>
      <w:r>
        <w:t>둘째, 평가표면을 반복적으로 검토하여 최종 C3-E를 선택하였다. 따라서 2024년 575개 기업은 untouched holdout이 아니다. 기업 bootstrap은 선택된 정책의 표본평균 불확실성을 요약하지만 encoder·configuration 탐색의 불확실성까지 포함하지 않는다. LLM과의 상대성과를 외부 기업과 미래 시점의 일반적 우월성으로 확대하지 않는다.</w:t>
      </w:r>
    </w:p>
    <w:p>
      <w:pPr>
        <w:widowControl/>
      </w:pPr>
      <w:r>
        <w:t>셋째, 개발 검증자료와 최종 실행코드의 대응이 완전히 닫히지 않았다. 개발 단계 분석기록의 Oracle·Simulator 실증검증은 보존하였으나, 모든 V4.3 의미론 변경 후에 같은 검증을 재수행했다는 증거는 분리되어야 한다. 최종 패키지에 기록된 5개 current-source hash drift도 실제 결과 생성코드와 현재 파일의 동일성에 한계를 남긴다. 본 분석의 재집계 재현과 과거 전 실행의 완전재현을 혼동하지 않는다.</w:t>
      </w:r>
    </w:p>
    <w:p>
      <w:pPr>
        <w:widowControl/>
      </w:pPr>
      <w:r>
        <w:t>넷째, 계획서와 pre-live prompt 명세의 부모 응답 게이트가 다르다. raw-draft 규칙이 실행 전에 존재했다는 증거는 있지만 정식 우선순위·개정 기록이 완결되어 있지 않다. 실제 결과를 보존하고 게이트 민감도를 추가하였으나, 이를 통해 문서관리의 불일치 자체가 없어진 것은 아니다.</w:t>
      </w:r>
    </w:p>
    <w:p>
      <w:pPr>
        <w:widowControl/>
      </w:pPr>
      <w:r>
        <w:t>다섯째, High와 Repair는 Baseline 결과를 본 뒤 추가한 분석이다. High의 출력 토큰 상한과 부모 초안도 바뀌었으므로 순수한 추론 설정 하나의 처치효과가 아니다. Repair도 원래 의도의 완전한 복원이 아니라 추가 실행규칙이다. PP는 strict 수용조건에 따라 선택된 기업집합이므로 무조건부 판단능력을 나타내지 않는다.</w:t>
      </w:r>
    </w:p>
    <w:p>
      <w:pPr>
        <w:widowControl/>
      </w:pPr>
      <w:r>
        <w:t>여섯째, 통계분석은 저장된 대응차이의 bootstrap과 정해진 family 조정을 사용하였다. 본문의 sign-tail 통계량은 정확한 무작위배정 p값과 같지 않으며, 미조정 구간은 동시 구간이 아니다. 한 번의 참조 derangement와 두 번의 반복실행, 두 모델 및 제한된 정보표현은 배정·시간·모델의 모든 불확실성을 포괄하지 못한다.</w:t>
      </w:r>
    </w:p>
    <w:p>
      <w:pPr>
        <w:widowControl/>
      </w:pPr>
      <w:r>
        <w:t>일곱째, API 비용은 대시보드의 잠정 귀속가정에 따른다. 요청별 완전한 token usage와 청구명세, 사람의 검토비용 및 실제 금융편익을 모두 관찰한 것이 아니다. 따라서 비용효율 표는 이번 실행의 운영지표로 제한되며 투자수익률이나 공급자별 보편적 가성비 순위를 입증하지 않는다.</w:t>
      </w:r>
    </w:p>
    <w:p>
      <w:bookmarkStart w:id="191" w:name="head_134"/>
      <w:pPr>
        <w:pStyle w:val="2"/>
        <w:widowControl/>
      </w:pPr>
      <w:r>
        <w:t>7.7 향후 연구</w:t>
      </w:r>
      <w:bookmarkEnd w:id="191"/>
    </w:p>
    <w:p>
      <w:pPr>
        <w:widowControl/>
      </w:pPr>
      <w:r>
        <w:t>후속 연구의 첫 단계는 새 생성실험을 늘리기보다 현재 평가기반과 실행기록의 증거 연결을 닫는 일이다. 생성 당시 코드 스냅샷을 최종 계약과 대조하고, V4.3의 상환·차환·CAPEX 의미론에 따라 Simulator의 과거 재현 및 조달제약 민감도를 다시 확인해야 한다.</w:t>
      </w:r>
    </w:p>
    <w:p>
      <w:pPr>
        <w:widowControl/>
      </w:pPr>
      <w:r>
        <w:t>새로운 평가연도나 독립 기업집합에서는 고정된 C3-E와 LLM 하네스를 변경하지 않고 비교해야 한다. 기업명과 산업정보의 시점을 실제 평가시점에 맞추고, 코드형 산업정보와 설명형 산업정보의 효과도 구분할 수 있다.</w:t>
      </w:r>
    </w:p>
    <w:p>
      <w:pPr>
        <w:widowControl/>
      </w:pPr>
      <w:r>
        <w:t>생성 유효성과 판단효과를 분리하려면 구조화 출력, 결정론적 수리규칙 및 부모 게이트를 사전에 명시하여 비교할 필요가 있다. 유리한 결과만 선택하지 않고 수리된 행동의 크기와 의미 및 실패사례를 공개해야 한다. 추론설정과 출력상한을 분리한 비교도 현재 regime 분석의 해석을 보완한다.</w:t>
      </w:r>
    </w:p>
    <w:p>
      <w:pPr>
        <w:widowControl/>
      </w:pPr>
      <w:r>
        <w:t>실제 심사역과 기업 실무자의 판단을 연결하는 것도 필요하다. 재무적 일관성과 높은 대리점수만으로 권고의 실행가치를 알 수는 없다. 산업·자금조달·계약·실행기간에 대한 사람의 평가와 장기 실행자료를 통해 평가환경과 현실 사이의 두 번째 간극을 줄여야 한다.</w:t>
      </w:r>
    </w:p>
    <w:p>
      <w:bookmarkStart w:id="192" w:name="head_135"/>
      <w:pPr>
        <w:pStyle w:val="2"/>
        <w:widowControl/>
      </w:pPr>
      <w:r>
        <w:t>7.8 결론</w:t>
      </w:r>
      <w:bookmarkEnd w:id="192"/>
    </w:p>
    <w:p>
      <w:pPr>
        <w:widowControl/>
      </w:pPr>
      <w:r>
        <w:t>LLM의 기업 신용등급 개선권고를 평가한다는 것은 가장 높은 평균점수의 모델명을 찾는 일만이 아니다. 어떤 자료와 행동공간에서 권고가 생성되고, 어떤 오류가 수용 또는 배제되며, 어떤 실행규칙과 평가모형을 통해 가치로 변환되는지를 검증하는 일이다.</w:t>
      </w:r>
    </w:p>
    <w:p>
      <w:pPr>
        <w:widowControl/>
      </w:pPr>
      <w:r>
        <w:t>Baseline의 낮은 유효성, High에서의 개선, Repair와 부모 게이트의 민감도 및 제한적인 기업별 반복성은 정책 하네스 전체를 평가해야 함을 보여준다. 다만 선택된 2024년 평가표면과 Oracle–Simulator 안의 결과는 실제 신용등급 상승이나 기업별 최적 권고의 증명이 아니다. 본 연구가 제시하는 것은 자동 처방의 보장이 아니라, 분석가가 검토할 권고를 어떤 조건에서 생성하고 어떤 증거로 비교해야 하는지에 관한 검증 프레임워크이다.</w:t>
      </w:r>
    </w:p>
    <w:p>
      <w:bookmarkStart w:id="193" w:name="head_136"/>
      <w:pPr>
        <w:pStyle w:val="1"/>
        <w:widowControl/>
      </w:pPr>
      <w:r>
        <w:t>참고문헌</w:t>
      </w:r>
      <w:bookmarkEnd w:id="193"/>
    </w:p>
    <w:p>
      <w:pPr>
        <w:widowControl/>
        <w:spacing w:line="300" w:lineRule="auto" w:after="140"/>
        <w:ind w:hanging="283" w:left="283"/>
      </w:pPr>
      <w:r>
        <w:t>Altman, E. I. (1968). Financial ratios, discriminant analysis and the prediction of corporate bankruptcy. Journal of Finance, 23(4), 589–609. https://doi.org/10.1111/j.1540-6261.1968.tb00843.x</w:t>
      </w:r>
    </w:p>
    <w:p>
      <w:pPr>
        <w:widowControl/>
        <w:spacing w:line="300" w:lineRule="auto" w:after="140"/>
        <w:ind w:hanging="283" w:left="283"/>
      </w:pPr>
      <w:r>
        <w:t>Basel Committee on Banking Supervision. (2022). CRE36: IRB approach: minimum requirements to use IRB approach. Bank for International Settlements.</w:t>
      </w:r>
    </w:p>
    <w:p>
      <w:pPr>
        <w:widowControl/>
        <w:spacing w:line="300" w:lineRule="auto" w:after="140"/>
        <w:ind w:hanging="283" w:left="283"/>
      </w:pPr>
      <w:r>
        <w:t>Bean, A. M., Kearns, R. O., Romanou, A., et al. (2025). Measuring what matters: Construct validity in large language model benchmarks. NeurIPS 2025 Datasets and Benchmarks Track. arXiv:2511.04703.</w:t>
      </w:r>
    </w:p>
    <w:p>
      <w:pPr>
        <w:widowControl/>
        <w:spacing w:line="300" w:lineRule="auto" w:after="140"/>
        <w:ind w:hanging="283" w:left="283"/>
      </w:pPr>
      <w:r>
        <w:t>Beaver, W. H. (1966). Financial ratios as predictors of failure. Journal of Accounting Research, 4, 71–111. https://doi.org/10.2307/2490171</w:t>
      </w:r>
    </w:p>
    <w:p>
      <w:pPr>
        <w:widowControl/>
        <w:spacing w:line="300" w:lineRule="auto" w:after="140"/>
        <w:ind w:hanging="283" w:left="283"/>
      </w:pPr>
      <w:r>
        <w:t>Dong, W., Zhang, J., Fu, S., Lin, H., Wang, D., &amp; Hu, L. (2026). Algorithmic recourse of in-context learning for tabular data. arXiv:2605.31272.</w:t>
      </w:r>
    </w:p>
    <w:p>
      <w:pPr>
        <w:widowControl/>
        <w:spacing w:line="300" w:lineRule="auto" w:after="140"/>
        <w:ind w:hanging="283" w:left="283"/>
      </w:pPr>
      <w:r>
        <w:t>Financial Services Commission [금융위원회]. (2026, June 18). Guidelines on artificial intelligence in the financial sector, revised proposal [금융분야 인공지능 가이드라인 개정안] and AI risk-management framework (effective June 22, 2026). FSC. https://www.fsc.go.kr/no010101/87142</w:t>
      </w:r>
    </w:p>
    <w:p>
      <w:pPr>
        <w:widowControl/>
        <w:spacing w:line="300" w:lineRule="auto" w:after="140"/>
        <w:ind w:hanging="283" w:left="283"/>
      </w:pPr>
      <w:r>
        <w:t>Financial Stability Board. (2024). The financial stability implications of artificial intelligence. FSB.</w:t>
      </w:r>
    </w:p>
    <w:p>
      <w:pPr>
        <w:widowControl/>
        <w:spacing w:line="300" w:lineRule="auto" w:after="140"/>
        <w:ind w:hanging="283" w:left="283"/>
      </w:pPr>
      <w:r>
        <w:t>Financial Stability Board. (2026, June 10). Sound practices for responsible adoption of artificial intelligence (AI): Consultation report. FSB. https://www.fsb.org/2026/06/sound-practices-for-responsible-adoption-of-artificial-intelligence-ai-consultation-report/</w:t>
      </w:r>
    </w:p>
    <w:p>
      <w:pPr>
        <w:widowControl/>
        <w:spacing w:line="300" w:lineRule="auto" w:after="140"/>
        <w:ind w:hanging="283" w:left="283"/>
      </w:pPr>
      <w:r>
        <w:t>Framework Act on the Development of Artificial Intelligence and the Establishment of a Foundation of Trust [인공지능 발전과 신뢰 기반 조성 등에 관한 기본법], Act No. 21311 (amended January 20, 2026; effective January 22, 2026). https://www.law.go.kr/lsInfoP.do?ancYnChk=0&amp;lsId=014820</w:t>
      </w:r>
    </w:p>
    <w:p>
      <w:pPr>
        <w:widowControl/>
        <w:spacing w:line="300" w:lineRule="auto" w:after="140"/>
        <w:ind w:hanging="283" w:left="283"/>
      </w:pPr>
      <w:r>
        <w:t>Fujimoto, S., Meger, D., &amp; Precup, D. (2019). Off-policy deep reinforcement learning without exploration. ICML.</w:t>
      </w:r>
    </w:p>
    <w:p>
      <w:pPr>
        <w:widowControl/>
        <w:spacing w:line="300" w:lineRule="auto" w:after="140"/>
        <w:ind w:hanging="283" w:left="283"/>
      </w:pPr>
      <w:r>
        <w:t>Golec, M., &amp; Alabduljalil, M. (2026). Interpretable LLMs for credit risk: A systematic review and taxonomy. Expert Systems with Applications, 306, 130941. https://doi.org/10.1016/j.eswa.2025.130941</w:t>
      </w:r>
    </w:p>
    <w:p>
      <w:pPr>
        <w:widowControl/>
        <w:spacing w:line="300" w:lineRule="auto" w:after="140"/>
        <w:ind w:hanging="283" w:left="283"/>
      </w:pPr>
      <w:r>
        <w:t>Huang, J., Chen, X., Mishra, S., Zheng, H. S., Yu, A. W., Song, X., &amp; Zhou, D. (2024). Large language models cannot self-correct reasoning yet. ICLR. arXiv:2310.01798.</w:t>
      </w:r>
    </w:p>
    <w:p>
      <w:pPr>
        <w:widowControl/>
        <w:spacing w:line="300" w:lineRule="auto" w:after="140"/>
        <w:ind w:hanging="283" w:left="283"/>
      </w:pPr>
      <w:r>
        <w:t>Huang, L., Yu, W., Ma, W., Zhong, W., Feng, Z., Wang, H., Chen, Q., Peng, W., Feng, X., Qin, B., &amp; Liu, T. (2023). A survey on hallucination in large language models: Principles, taxonomy, challenges, and open questions. arXiv:2311.05232.</w:t>
      </w:r>
    </w:p>
    <w:p>
      <w:pPr>
        <w:widowControl/>
        <w:spacing w:line="300" w:lineRule="auto" w:after="140"/>
        <w:ind w:hanging="283" w:left="283"/>
      </w:pPr>
      <w:r>
        <w:t>Jacobs, A. Z., &amp; Wallach, H. (2021). Measurement and fairness. Proceedings of the 2021 ACM Conference on Fairness, Accountability, and Transparency, 375–385. https://doi.org/10.1145/3442188.3445901</w:t>
      </w:r>
    </w:p>
    <w:p>
      <w:pPr>
        <w:widowControl/>
        <w:spacing w:line="300" w:lineRule="auto" w:after="140"/>
        <w:ind w:hanging="283" w:left="283"/>
      </w:pPr>
      <w:r>
        <w:t>Jarrow, R. A., &amp; Turnbull, S. M. (1995). Pricing derivatives on financial securities subject to credit risk. Journal of Finance, 50(1), 53–85. https://doi.org/10.1111/j.1540-6261.1995.tb05167.x</w:t>
      </w:r>
    </w:p>
    <w:p>
      <w:pPr>
        <w:widowControl/>
        <w:spacing w:line="300" w:lineRule="auto" w:after="140"/>
        <w:ind w:hanging="283" w:left="283"/>
      </w:pPr>
      <w:r>
        <w:t>Kamoi, R., Zhang, Y., Zhang, N., Han, J., &amp; Zhang, R. (2024). When can LLMs actually correct their own mistakes? A critical survey of self-correction of LLMs. Transactions of the Association for Computational Linguistics, 12, 1417–1440. https://doi.org/10.1162/tacl_a_00713</w:t>
      </w:r>
    </w:p>
    <w:p>
      <w:pPr>
        <w:widowControl/>
        <w:spacing w:line="300" w:lineRule="auto" w:after="140"/>
        <w:ind w:hanging="283" w:left="283"/>
      </w:pPr>
      <w:r>
        <w:t>Kang, H., &amp; Liu, X.-Y. (2023). Deficiency of large language models in finance: An empirical examination of hallucination. arXiv:2311.15548.</w:t>
      </w:r>
    </w:p>
    <w:p>
      <w:pPr>
        <w:widowControl/>
        <w:spacing w:line="300" w:lineRule="auto" w:after="140"/>
        <w:ind w:hanging="283" w:left="283"/>
      </w:pPr>
      <w:r>
        <w:t>Kapoor, S., et al. (2025). Holistic Agent Leaderboard: The missing infrastructure for AI agent evaluation. arXiv:2510.11977.</w:t>
      </w:r>
    </w:p>
    <w:p>
      <w:pPr>
        <w:widowControl/>
        <w:spacing w:line="300" w:lineRule="auto" w:after="140"/>
        <w:ind w:hanging="283" w:left="283"/>
      </w:pPr>
      <w:r>
        <w:t>Karimi, A.-H., Barthe, G., Balle, B., &amp; Valera, I. (2020a). Model-agnostic counterfactual explanations for consequential decisions. AISTATS.</w:t>
      </w:r>
    </w:p>
    <w:p>
      <w:pPr>
        <w:widowControl/>
        <w:spacing w:line="300" w:lineRule="auto" w:after="140"/>
        <w:ind w:hanging="283" w:left="283"/>
      </w:pPr>
      <w:r>
        <w:t>Karimi, A.-H., von Kügelgen, J., Schölkopf, B., &amp; Valera, I. (2020b). Algorithmic recourse under imperfect causal knowledge: A probabilistic approach. NeurIPS, 33, 265–277.</w:t>
      </w:r>
    </w:p>
    <w:p>
      <w:pPr>
        <w:widowControl/>
        <w:spacing w:line="300" w:lineRule="auto" w:after="140"/>
        <w:ind w:hanging="283" w:left="283"/>
      </w:pPr>
      <w:r>
        <w:t>Karimi, A.-H., Schölkopf, B., &amp; Valera, I. (2021). Algorithmic recourse: From counterfactual explanations to interventions. ACM FAccT. https://doi.org/10.1145/3442188.3445899</w:t>
      </w:r>
    </w:p>
    <w:p>
      <w:pPr>
        <w:widowControl/>
        <w:spacing w:line="300" w:lineRule="auto" w:after="140"/>
        <w:ind w:hanging="283" w:left="283"/>
      </w:pPr>
      <w:r>
        <w:t>Kealhofer, S. (2003). Quantifying credit risk I: Default prediction. Financial Analysts Journal, 59(1), 30–44. https://doi.org/10.2469/faj.v59.n1.2501</w:t>
      </w:r>
    </w:p>
    <w:p>
      <w:pPr>
        <w:widowControl/>
        <w:spacing w:line="300" w:lineRule="auto" w:after="140"/>
        <w:ind w:hanging="283" w:left="283"/>
      </w:pPr>
      <w:r>
        <w:t>Kidambi, R., Rajeswaran, A., Netrapalli, P., &amp; Joachims, T. (2020). MOReL: Model-based offline reinforcement learning. NeurIPS.</w:t>
      </w:r>
    </w:p>
    <w:p>
      <w:pPr>
        <w:widowControl/>
        <w:spacing w:line="300" w:lineRule="auto" w:after="140"/>
        <w:ind w:hanging="283" w:left="283"/>
      </w:pPr>
      <w:r>
        <w:t>Kostrikov, I., Nair, A., &amp; Levine, S. (2022). Offline reinforcement learning with implicit Q-learning. ICLR.</w:t>
      </w:r>
    </w:p>
    <w:p>
      <w:pPr>
        <w:widowControl/>
        <w:spacing w:line="300" w:lineRule="auto" w:after="140"/>
        <w:ind w:hanging="283" w:left="283"/>
      </w:pPr>
      <w:r>
        <w:t>Kumar, A., Fu, J., Tucker, G., &amp; Levine, S. (2019). Stabilizing off-policy Q-learning via bootstrapping error reduction. NeurIPS.</w:t>
      </w:r>
    </w:p>
    <w:p>
      <w:pPr>
        <w:widowControl/>
        <w:spacing w:line="300" w:lineRule="auto" w:after="140"/>
        <w:ind w:hanging="283" w:left="283"/>
      </w:pPr>
      <w:r>
        <w:t>Kumar, A., Zhou, A., Tucker, G., &amp; Levine, S. (2020). Conservative Q-learning for offline reinforcement learning. NeurIPS.</w:t>
      </w:r>
    </w:p>
    <w:p>
      <w:pPr>
        <w:widowControl/>
        <w:spacing w:line="300" w:lineRule="auto" w:after="140"/>
        <w:ind w:hanging="283" w:left="283"/>
      </w:pPr>
      <w:r>
        <w:t>Lashkevich, E., &amp; Zelenkov, Y. (2026). Designing an AI-based financial advisor for distressed firms: A decision support framework for actionable and accounting-consistent algorithmic recourse. IEEE Access, 14, 20084–20099.</w:t>
      </w:r>
    </w:p>
    <w:p>
      <w:pPr>
        <w:widowControl/>
        <w:spacing w:line="300" w:lineRule="auto" w:after="140"/>
        <w:ind w:hanging="283" w:left="283"/>
      </w:pPr>
      <w:r>
        <w:t>Levine, S., Kumar, A., Tucker, G., &amp; Fu, J. (2020). Offline reinforcement learning: Tutorial, review, and perspectives on open problems. arXiv:2005.01643.</w:t>
      </w:r>
    </w:p>
    <w:p>
      <w:pPr>
        <w:widowControl/>
        <w:spacing w:line="300" w:lineRule="auto" w:after="140"/>
        <w:ind w:hanging="283" w:left="283"/>
      </w:pPr>
      <w:r>
        <w:t>Liang, P., Bommasani, R., Lee, T., et al. (2022). Holistic evaluation of language models. arXiv:2211.09110.</w:t>
      </w:r>
    </w:p>
    <w:p>
      <w:pPr>
        <w:widowControl/>
        <w:spacing w:line="300" w:lineRule="auto" w:after="140"/>
        <w:ind w:hanging="283" w:left="283"/>
      </w:pPr>
      <w:r>
        <w:t>Madaan, A., Tandon, N., Gupta, P., Hallinan, S., Gao, L., Wiegreffe, S., Alon, U., Dziri, N., Prabhumoye, S., Yang, Y., Gupta, S., Majumder, B. P., Hermann, K., Welleck, S., Yazdanbakhsh, A., &amp; Clark, P. (2023). Self-Refine: Iterative refinement with self-feedback. Advances in Neural Information Processing Systems, 36.</w:t>
      </w:r>
    </w:p>
    <w:p>
      <w:pPr>
        <w:widowControl/>
        <w:spacing w:line="300" w:lineRule="auto" w:after="140"/>
        <w:ind w:hanging="283" w:left="283"/>
      </w:pPr>
      <w:r>
        <w:t>Merton, R. C. (1974). On the pricing of corporate debt: The risk structure of interest rates. Journal of Finance, 29(2), 449–470. https://doi.org/10.1111/j.1540-6261.1974.tb03058.x</w:t>
      </w:r>
    </w:p>
    <w:p>
      <w:pPr>
        <w:widowControl/>
        <w:spacing w:line="300" w:lineRule="auto" w:after="140"/>
        <w:ind w:hanging="283" w:left="283"/>
      </w:pPr>
      <w:r>
        <w:t>National Institute of Standards and Technology. (2023). Artificial Intelligence Risk Management Framework (AI RMF 1.0) (NIST AI 100-1).</w:t>
      </w:r>
    </w:p>
    <w:p>
      <w:pPr>
        <w:widowControl/>
        <w:spacing w:line="300" w:lineRule="auto" w:after="140"/>
        <w:ind w:hanging="283" w:left="283"/>
      </w:pPr>
      <w:r>
        <w:t>National Institute of Standards and Technology. (2024). Artificial Intelligence Risk Management Framework: Generative Artificial Intelligence Profile (NIST AI 600-1).</w:t>
      </w:r>
    </w:p>
    <w:p>
      <w:pPr>
        <w:widowControl/>
        <w:spacing w:line="300" w:lineRule="auto" w:after="140"/>
        <w:ind w:hanging="283" w:left="283"/>
      </w:pPr>
      <w:r>
        <w:t>Ohlson, J. A. (1980). Financial ratios and the probabilistic prediction of bankruptcy. Journal of Accounting Research, 18(1), 109–131. https://doi.org/10.2307/2490395</w:t>
      </w:r>
    </w:p>
    <w:p>
      <w:pPr>
        <w:widowControl/>
        <w:spacing w:line="300" w:lineRule="auto" w:after="140"/>
        <w:ind w:hanging="283" w:left="283"/>
      </w:pPr>
      <w:r>
        <w:t>Pearl, J. (2009). Causality: Models, reasoning, and inference (2nd ed.). Cambridge University Press.</w:t>
      </w:r>
    </w:p>
    <w:p>
      <w:pPr>
        <w:widowControl/>
        <w:spacing w:line="300" w:lineRule="auto" w:after="140"/>
        <w:ind w:hanging="283" w:left="283"/>
      </w:pPr>
      <w:r>
        <w:t>Pitis, S., Creager, E., &amp; Garg, A. (2020). Counterfactual data augmentation using locally factored dynamics. NeurIPS.</w:t>
      </w:r>
    </w:p>
    <w:p>
      <w:pPr>
        <w:widowControl/>
        <w:spacing w:line="300" w:lineRule="auto" w:after="140"/>
        <w:ind w:hanging="283" w:left="283"/>
      </w:pPr>
      <w:r>
        <w:t>Schall, M., &amp; de Melo, G. (2025). The hidden cost of structure: How constrained decoding affects language model performance. Proceedings of RANLP 2025, 1074–1084.</w:t>
      </w:r>
    </w:p>
    <w:p>
      <w:pPr>
        <w:widowControl/>
        <w:spacing w:line="300" w:lineRule="auto" w:after="140"/>
        <w:ind w:hanging="283" w:left="283"/>
      </w:pPr>
      <w:r>
        <w:t>Sprague, Z., Yin, F., Rodriguez, J. D., Jiang, D., Wadhwa, M., Singhal, P., Zhao, X., Ye, X., Mahowald, K., &amp; Durrett, G. (2024). To CoT or not to CoT? Chain-of-thought helps mainly on math and symbolic reasoning. arXiv:2409.12183.</w:t>
      </w:r>
    </w:p>
    <w:p>
      <w:pPr>
        <w:widowControl/>
        <w:spacing w:line="300" w:lineRule="auto" w:after="140"/>
        <w:ind w:hanging="283" w:left="283"/>
      </w:pPr>
      <w:r>
        <w:t>Tam, Z. R., Wu, C.-K., Tsai, Y.-L., Lin, C.-Y., Lee, H., &amp; Chen, Y.-N. (2024). Let me speak freely? A study on the impact of format restrictions on performance of large language models. arXiv:2408.02442.</w:t>
      </w:r>
    </w:p>
    <w:p>
      <w:pPr>
        <w:widowControl/>
        <w:spacing w:line="300" w:lineRule="auto" w:after="140"/>
        <w:ind w:hanging="283" w:left="283"/>
      </w:pPr>
      <w:r>
        <w:t>Ustun, B., Spangher, A., &amp; Liu, Y. (2019). Actionable recourse in linear classification. ACM FAT*. https://doi.org/10.1145/3287560.3287566</w:t>
      </w:r>
    </w:p>
    <w:p>
      <w:pPr>
        <w:widowControl/>
        <w:spacing w:line="300" w:lineRule="auto" w:after="140"/>
        <w:ind w:hanging="283" w:left="283"/>
      </w:pPr>
      <w:r>
        <w:t>Wachter, S., Mittelstadt, B., &amp; Russell, C. (2017). Counterfactual explanations without opening the black box: Automated decisions and the GDPR. Harvard Journal of Law &amp; Technology, 31(2), 841–887.</w:t>
      </w:r>
    </w:p>
    <w:p>
      <w:pPr>
        <w:widowControl/>
        <w:spacing w:line="300" w:lineRule="auto" w:after="140"/>
        <w:ind w:hanging="283" w:left="283"/>
      </w:pPr>
      <w:r>
        <w:t>Wang, D., Chen, Z., Florescu, I., &amp; Wen, B. (2023). A sparsity algorithm for finding optimal counterfactual explanations: Application to corporate credit rating. Research in International Business and Finance, 64, 101869. https://doi.org/10.1016/j.ribaf.2022.101869</w:t>
      </w:r>
    </w:p>
    <w:p>
      <w:pPr>
        <w:widowControl/>
        <w:spacing w:line="300" w:lineRule="auto" w:after="140"/>
        <w:ind w:hanging="283" w:left="283"/>
      </w:pPr>
      <w:r>
        <w:t>Wang, X., Wei, J., Schuurmans, D., Le, Q., Chi, E., Narang, S., Chowdhery, A., &amp; Zhou, D. (2023). Self-consistency improves chain-of-thought reasoning in language models. ICLR.</w:t>
      </w:r>
    </w:p>
    <w:p>
      <w:pPr>
        <w:widowControl/>
        <w:spacing w:line="300" w:lineRule="auto" w:after="140"/>
        <w:ind w:hanging="283" w:left="283"/>
      </w:pPr>
      <w:r>
        <w:t>Wei, J., Wang, X., Schuurmans, D., Bosma, M., Ichter, B., Xia, F., Chi, E., Le, Q., &amp; Zhou, D. (2022). Chain-of-thought prompting elicits reasoning in large language models. NeurIPS.</w:t>
      </w:r>
    </w:p>
    <w:p>
      <w:pPr>
        <w:widowControl/>
        <w:spacing w:line="300" w:lineRule="auto" w:after="140"/>
        <w:ind w:hanging="283" w:left="283"/>
      </w:pPr>
      <w:r>
        <w:t>Wu, H., Sharma, S., Patra, S., &amp; Gopalakrishnan, S. (2024). SafeAR: Safe algorithmic recourse by risk-aware policies. Proceedings of the AAAI Conference on Artificial Intelligence, 38(14), 15915–15923.</w:t>
      </w:r>
    </w:p>
    <w:p>
      <w:pPr>
        <w:widowControl/>
        <w:spacing w:line="300" w:lineRule="auto" w:after="140"/>
        <w:ind w:hanging="283" w:left="283"/>
      </w:pPr>
      <w:r>
        <w:t>Xuan, Y., Sokol, K., Sanderson, M., &amp; Chan, J. (2025). Perfect counterfactuals in imperfect worlds: Modelling noisy implementation of actions in sequential algorithmic recourse. Machine Learning. https://doi.org/10.1007/s10994-025-06821-1</w:t>
      </w:r>
    </w:p>
    <w:p>
      <w:pPr>
        <w:widowControl/>
        <w:spacing w:line="300" w:lineRule="auto" w:after="140"/>
        <w:ind w:hanging="283" w:left="283"/>
      </w:pPr>
      <w:r>
        <w:t>Yao, S., Zhao, J., Yu, D., Du, N., Shafran, I., Narasimhan, K., &amp; Cao, Y. (2023). ReAct: Synergizing reasoning and acting in language models. ICLR.</w:t>
      </w:r>
    </w:p>
    <w:p>
      <w:pPr>
        <w:widowControl/>
        <w:spacing w:line="300" w:lineRule="auto" w:after="140"/>
        <w:ind w:hanging="283" w:left="283"/>
      </w:pPr>
      <w:r>
        <w:t>Yehudai, A., Eden, L., Li, A., Uziel, G., Zhao, Y., Bar-Haim, R., Cohan, A., &amp; Shmueli-Scheuer, M. (2025; v2 2026). Survey on evaluation of LLM-based agents. arXiv:2503.16416.</w:t>
      </w:r>
    </w:p>
    <w:p>
      <w:pPr>
        <w:widowControl/>
        <w:spacing w:line="300" w:lineRule="auto" w:after="140"/>
        <w:ind w:hanging="283" w:left="283"/>
      </w:pPr>
      <w:r>
        <w:t>Yu, T., Kumar, A., Rafailov, R., Rajeswaran, A., Levine, S., &amp; Finn, C. (2021). COMBO: Conservative offline model-based policy optimization. NeurIPS.</w:t>
      </w:r>
    </w:p>
    <w:p>
      <w:pPr>
        <w:widowControl/>
        <w:spacing w:line="300" w:lineRule="auto" w:after="140"/>
        <w:ind w:hanging="283" w:left="283"/>
      </w:pPr>
      <w:r>
        <w:t>Yu, T., Thomas, G., Yu, L., Ermon, S., Zou, J., Levine, S., Finn, C., &amp; Ma, T. (2020). MOPO: Model-based offline policy optimization. NeurIPS.</w:t>
      </w:r>
    </w:p>
    <w:p>
      <w:pPr>
        <w:widowControl/>
        <w:spacing w:line="300" w:lineRule="auto" w:after="140"/>
        <w:ind w:hanging="283" w:left="283"/>
      </w:pPr>
      <w:r>
        <w:t>Zhu, P., Sun, L., Yu, P. S., &amp; Su, S. (2026). The necessity of a unified framework for LLM-based agent evaluation. arXiv:2602.03238.</w:t>
      </w:r>
    </w:p>
    <w:p>
      <w:bookmarkStart w:id="194" w:name="head_137"/>
      <w:pPr>
        <w:pStyle w:val="1"/>
        <w:widowControl/>
      </w:pPr>
      <w:r>
        <w:t>부록 A. 최종 행동·입력 명세</w:t>
      </w:r>
      <w:bookmarkEnd w:id="194"/>
    </w:p>
    <w:p>
      <w:bookmarkStart w:id="195" w:name="head_138"/>
      <w:pPr>
        <w:pStyle w:val="2"/>
        <w:widowControl/>
      </w:pPr>
      <w:r>
        <w:t>A.1 행동 필드, 단위와 실제 계산값</w:t>
      </w:r>
      <w:bookmarkEnd w:id="195"/>
    </w:p>
    <w:p>
      <w:pPr>
        <w:widowControl/>
      </w:pPr>
      <w:r>
        <w:t>이 부록은 최신 8차원 계약의 원 필드명과 기준을 보존한다. 본문에서는 읽기 쉬운 한글 이름을 사용하고 실제 계산은 아래 순서와 동결 float64 값으로 수행한다. 문서의 반올림 숫자로 원래 입력파일을 덮어쓰지 않는다.</w:t>
      </w:r>
    </w:p>
    <w:p>
      <w:bookmarkStart w:id="196" w:name="head_139"/>
      <w:pPr>
        <w:pStyle w:val="3"/>
        <w:widowControl/>
      </w:pPr>
      <w:r>
        <w:t>A.1.1 성장성 CAPEX 축소율</w:t>
      </w:r>
      <w:bookmarkEnd w:id="196"/>
    </w:p>
    <w:p>
      <w:pPr>
        <w:pStyle w:val="SourceNote"/>
        <w:widowControl/>
      </w:pPr>
      <w:r>
        <w:t>growth_capex_reduction_pct</w:t>
      </w:r>
    </w:p>
    <w:p>
      <w:pPr>
        <w:widowControl/>
      </w:pPr>
      <w:r>
        <w:t>정규화 기준 s=0.6310184441953189; 허용범위 [0, 1].</w:t>
      </w:r>
    </w:p>
    <w:p>
      <w:bookmarkStart w:id="197" w:name="head_140"/>
      <w:pPr>
        <w:pStyle w:val="3"/>
        <w:widowControl/>
      </w:pPr>
      <w:r>
        <w:t>A.1.2 이자부부채 상환율</w:t>
      </w:r>
      <w:bookmarkEnd w:id="197"/>
    </w:p>
    <w:p>
      <w:pPr>
        <w:pStyle w:val="SourceNote"/>
        <w:widowControl/>
      </w:pPr>
      <w:r>
        <w:t>deleveraging_total_debt_pct</w:t>
      </w:r>
    </w:p>
    <w:p>
      <w:pPr>
        <w:widowControl/>
      </w:pPr>
      <w:r>
        <w:t>정규화 기준 s=0.3469549324277901; 허용범위 [0, 1].</w:t>
      </w:r>
    </w:p>
    <w:p>
      <w:bookmarkStart w:id="198" w:name="head_141"/>
      <w:pPr>
        <w:pStyle w:val="3"/>
        <w:widowControl/>
      </w:pPr>
      <w:r>
        <w:t>A.1.3 단기차입 차환율</w:t>
      </w:r>
      <w:bookmarkEnd w:id="198"/>
    </w:p>
    <w:p>
      <w:pPr>
        <w:pStyle w:val="SourceNote"/>
        <w:widowControl/>
      </w:pPr>
      <w:r>
        <w:t>refinancing_short_debt_pct</w:t>
      </w:r>
    </w:p>
    <w:p>
      <w:pPr>
        <w:widowControl/>
      </w:pPr>
      <w:r>
        <w:t>정규화 기준 s=0.4741061962838509; 허용범위 [0, 1].</w:t>
      </w:r>
    </w:p>
    <w:p>
      <w:bookmarkStart w:id="199" w:name="head_142"/>
      <w:pPr>
        <w:pStyle w:val="3"/>
        <w:widowControl/>
      </w:pPr>
      <w:r>
        <w:t>A.1.4 재고 회전율 변화</w:t>
      </w:r>
      <w:bookmarkEnd w:id="199"/>
    </w:p>
    <w:p>
      <w:pPr>
        <w:pStyle w:val="SourceNote"/>
        <w:widowControl/>
      </w:pPr>
      <w:r>
        <w:t>inv_turnover_chg</w:t>
      </w:r>
    </w:p>
    <w:p>
      <w:pPr>
        <w:widowControl/>
      </w:pPr>
      <w:r>
        <w:t>정규화 기준 s=1.398376123199908; 허용범위 [-3, 3].</w:t>
      </w:r>
    </w:p>
    <w:p>
      <w:bookmarkStart w:id="200" w:name="head_143"/>
      <w:pPr>
        <w:pStyle w:val="3"/>
        <w:widowControl/>
      </w:pPr>
      <w:r>
        <w:t>A.1.5 매출채권 회전율 변화</w:t>
      </w:r>
      <w:bookmarkEnd w:id="200"/>
    </w:p>
    <w:p>
      <w:pPr>
        <w:pStyle w:val="SourceNote"/>
        <w:widowControl/>
      </w:pPr>
      <w:r>
        <w:t>ar_turnover_chg</w:t>
      </w:r>
    </w:p>
    <w:p>
      <w:pPr>
        <w:widowControl/>
      </w:pPr>
      <w:r>
        <w:t>정규화 기준 s=0.9341039044455588; 허용범위 [-3, 3].</w:t>
      </w:r>
    </w:p>
    <w:p>
      <w:bookmarkStart w:id="201" w:name="head_144"/>
      <w:pPr>
        <w:pStyle w:val="3"/>
        <w:widowControl/>
      </w:pPr>
      <w:r>
        <w:t>A.1.6 매입채무 회전율 변화</w:t>
      </w:r>
      <w:bookmarkEnd w:id="201"/>
    </w:p>
    <w:p>
      <w:pPr>
        <w:pStyle w:val="SourceNote"/>
        <w:widowControl/>
      </w:pPr>
      <w:r>
        <w:t>ap_turnover_chg</w:t>
      </w:r>
    </w:p>
    <w:p>
      <w:pPr>
        <w:widowControl/>
      </w:pPr>
      <w:r>
        <w:t>정규화 기준 s=2.453574198113573; 허용범위 [-3, 3].</w:t>
      </w:r>
    </w:p>
    <w:p>
      <w:bookmarkStart w:id="202" w:name="head_145"/>
      <w:pPr>
        <w:pStyle w:val="3"/>
        <w:widowControl/>
      </w:pPr>
      <w:r>
        <w:t>A.1.7 매출원가율 변화</w:t>
      </w:r>
      <w:bookmarkEnd w:id="202"/>
    </w:p>
    <w:p>
      <w:pPr>
        <w:pStyle w:val="SourceNote"/>
        <w:widowControl/>
      </w:pPr>
      <w:r>
        <w:t>cogs_ratio_chg</w:t>
      </w:r>
    </w:p>
    <w:p>
      <w:pPr>
        <w:widowControl/>
      </w:pPr>
      <w:r>
        <w:t>정규화 기준 s=0.02688260661233544; 허용범위 [-0.03, 0.03].</w:t>
      </w:r>
    </w:p>
    <w:p>
      <w:bookmarkStart w:id="203" w:name="head_146"/>
      <w:pPr>
        <w:pStyle w:val="3"/>
        <w:widowControl/>
      </w:pPr>
      <w:r>
        <w:t>A.1.8 판매관리비율 변화</w:t>
      </w:r>
      <w:bookmarkEnd w:id="203"/>
    </w:p>
    <w:p>
      <w:pPr>
        <w:pStyle w:val="SourceNote"/>
        <w:widowControl/>
      </w:pPr>
      <w:r>
        <w:t>sga_ratio_chg</w:t>
      </w:r>
    </w:p>
    <w:p>
      <w:pPr>
        <w:widowControl/>
      </w:pPr>
      <w:r>
        <w:t>정규화 기준 s=0.01716946739071251; 허용범위 [-0.02, 0.02].</w:t>
      </w:r>
    </w:p>
    <w:p>
      <w:pPr>
        <w:widowControl/>
      </w:pPr>
      <w:r>
        <w:t>DL과 RF는 두 값이 동시에 양수인 제안을 허용하지 않는다. 모든 값은 유한수여야 하며 추가 차원은 허용하지 않는다. B1은 Σ|aⱼ|/sⱼ≤1의 조건이고, BINF는 이 총량 조건만 제거한다. 숫자 문자열과 실제 JSON number의 구분, 동일 key의 중복 및 설명값과 행동값의 구분은 응답 검증단계에서 관리한다.</w:t>
      </w:r>
    </w:p>
    <w:p>
      <w:bookmarkStart w:id="204" w:name="head_147"/>
      <w:pPr>
        <w:pStyle w:val="2"/>
        <w:widowControl/>
      </w:pPr>
      <w:r>
        <w:t>A.2 아홉 후보의 실제 행동벡터</w:t>
      </w:r>
      <w:bookmarkEnd w:id="204"/>
    </w:p>
    <w:p>
      <w:bookmarkStart w:id="205" w:name="cap_58"/>
      <w:pPr>
        <w:pStyle w:val="af"/>
        <w:widowControl/>
      </w:pPr>
      <w:r>
        <w:t>표 A-1. CAPEX·부채·재고 부분</w:t>
      </w:r>
      <w:bookmarkEnd w:id="205"/>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1134"/>
        <w:gridCol w:w="1701"/>
        <w:gridCol w:w="1701"/>
        <w:gridCol w:w="1701"/>
        <w:gridCol w:w="1701"/>
      </w:tblGrid>
      <w:tr>
        <w:trPr>
          <w:cantSplit/>
          <w:tblHeader/>
        </w:trPr>
        <w:tc>
          <w:tcPr>
            <w:tcW w:type="dxa" w:w="1134"/>
            <w:vAlign w:val="center"/>
            <w:shd w:fill="F1F1F1"/>
            <w:tcMar>
              <w:top w:w="65" w:type="dxa"/>
              <w:left w:w="65" w:type="dxa"/>
              <w:bottom w:w="65" w:type="dxa"/>
              <w:right w:w="65" w:type="dxa"/>
            </w:tcMar>
          </w:tcPr>
          <w:p>
            <w:pPr>
              <w:pStyle w:val="TableText"/>
              <w:keepNext/>
              <w:widowControl/>
              <w:jc w:val="center"/>
            </w:pPr>
            <w:r>
              <w:rPr>
                <w:b/>
                <w:sz w:val="18"/>
              </w:rPr>
              <w:t>후보</w:t>
            </w:r>
          </w:p>
        </w:tc>
        <w:tc>
          <w:tcPr>
            <w:tcW w:type="dxa" w:w="1701"/>
            <w:vAlign w:val="center"/>
            <w:shd w:fill="F1F1F1"/>
            <w:tcMar>
              <w:top w:w="65" w:type="dxa"/>
              <w:left w:w="65" w:type="dxa"/>
              <w:bottom w:w="65" w:type="dxa"/>
              <w:right w:w="65" w:type="dxa"/>
            </w:tcMar>
          </w:tcPr>
          <w:p>
            <w:pPr>
              <w:pStyle w:val="TableText"/>
              <w:keepNext/>
              <w:widowControl/>
              <w:jc w:val="center"/>
            </w:pPr>
            <w:r>
              <w:rPr>
                <w:b/>
                <w:sz w:val="18"/>
              </w:rPr>
              <w:t>CAPEX</w:t>
            </w:r>
          </w:p>
        </w:tc>
        <w:tc>
          <w:tcPr>
            <w:tcW w:type="dxa" w:w="1701"/>
            <w:vAlign w:val="center"/>
            <w:shd w:fill="F1F1F1"/>
            <w:tcMar>
              <w:top w:w="65" w:type="dxa"/>
              <w:left w:w="65" w:type="dxa"/>
              <w:bottom w:w="65" w:type="dxa"/>
              <w:right w:w="65" w:type="dxa"/>
            </w:tcMar>
          </w:tcPr>
          <w:p>
            <w:pPr>
              <w:pStyle w:val="TableText"/>
              <w:keepNext/>
              <w:widowControl/>
              <w:jc w:val="center"/>
            </w:pPr>
            <w:r>
              <w:rPr>
                <w:b/>
                <w:sz w:val="18"/>
              </w:rPr>
              <w:t>DL</w:t>
            </w:r>
          </w:p>
        </w:tc>
        <w:tc>
          <w:tcPr>
            <w:tcW w:type="dxa" w:w="1701"/>
            <w:vAlign w:val="center"/>
            <w:shd w:fill="F1F1F1"/>
            <w:tcMar>
              <w:top w:w="65" w:type="dxa"/>
              <w:left w:w="65" w:type="dxa"/>
              <w:bottom w:w="65" w:type="dxa"/>
              <w:right w:w="65" w:type="dxa"/>
            </w:tcMar>
          </w:tcPr>
          <w:p>
            <w:pPr>
              <w:pStyle w:val="TableText"/>
              <w:keepNext/>
              <w:widowControl/>
              <w:jc w:val="center"/>
            </w:pPr>
            <w:r>
              <w:rPr>
                <w:b/>
                <w:sz w:val="18"/>
              </w:rPr>
              <w:t>RF</w:t>
            </w:r>
          </w:p>
        </w:tc>
        <w:tc>
          <w:tcPr>
            <w:tcW w:type="dxa" w:w="1701"/>
            <w:vAlign w:val="center"/>
            <w:shd w:fill="F1F1F1"/>
            <w:tcMar>
              <w:top w:w="65" w:type="dxa"/>
              <w:left w:w="65" w:type="dxa"/>
              <w:bottom w:w="65" w:type="dxa"/>
              <w:right w:w="65" w:type="dxa"/>
            </w:tcMar>
          </w:tcPr>
          <w:p>
            <w:pPr>
              <w:pStyle w:val="TableText"/>
              <w:keepNext/>
              <w:widowControl/>
              <w:jc w:val="center"/>
            </w:pPr>
            <w:r>
              <w:rPr>
                <w:b/>
                <w:sz w:val="18"/>
              </w:rPr>
              <w:t>INV</w:t>
            </w:r>
          </w:p>
        </w:tc>
      </w:tr>
      <w:tr>
        <w:trPr>
          <w:cantSplit/>
        </w:trPr>
        <w:tc>
          <w:tcPr>
            <w:tcW w:type="dxa" w:w="1134"/>
            <w:vAlign w:val="center"/>
            <w:tcMar>
              <w:top w:w="65" w:type="dxa"/>
              <w:left w:w="65" w:type="dxa"/>
              <w:bottom w:w="65" w:type="dxa"/>
              <w:right w:w="65" w:type="dxa"/>
            </w:tcMar>
          </w:tcPr>
          <w:p>
            <w:pPr>
              <w:pStyle w:val="TableText"/>
              <w:keepNext/>
              <w:widowControl/>
              <w:jc w:val="left"/>
            </w:pPr>
            <w:r>
              <w:rPr>
                <w:b w:val="0"/>
                <w:sz w:val="18"/>
              </w:rPr>
              <w:t>A0</w:t>
            </w:r>
          </w:p>
        </w:tc>
        <w:tc>
          <w:tcPr>
            <w:tcW w:type="dxa" w:w="1701"/>
            <w:vAlign w:val="center"/>
            <w:tcMar>
              <w:top w:w="65" w:type="dxa"/>
              <w:left w:w="65" w:type="dxa"/>
              <w:bottom w:w="65" w:type="dxa"/>
              <w:right w:w="65" w:type="dxa"/>
            </w:tcMar>
          </w:tcPr>
          <w:p>
            <w:pPr>
              <w:pStyle w:val="TableText"/>
              <w:keepNext/>
              <w:widowControl/>
              <w:jc w:val="left"/>
            </w:pPr>
            <w:r>
              <w:rPr>
                <w:b w:val="0"/>
                <w:sz w:val="18"/>
              </w:rPr>
              <w:t>0.000000</w:t>
            </w:r>
          </w:p>
        </w:tc>
        <w:tc>
          <w:tcPr>
            <w:tcW w:type="dxa" w:w="1701"/>
            <w:vAlign w:val="center"/>
            <w:tcMar>
              <w:top w:w="65" w:type="dxa"/>
              <w:left w:w="65" w:type="dxa"/>
              <w:bottom w:w="65" w:type="dxa"/>
              <w:right w:w="65" w:type="dxa"/>
            </w:tcMar>
          </w:tcPr>
          <w:p>
            <w:pPr>
              <w:pStyle w:val="TableText"/>
              <w:keepNext/>
              <w:widowControl/>
              <w:jc w:val="left"/>
            </w:pPr>
            <w:r>
              <w:rPr>
                <w:b w:val="0"/>
                <w:sz w:val="18"/>
              </w:rPr>
              <w:t>0.000000</w:t>
            </w:r>
          </w:p>
        </w:tc>
        <w:tc>
          <w:tcPr>
            <w:tcW w:type="dxa" w:w="1701"/>
            <w:vAlign w:val="center"/>
            <w:tcMar>
              <w:top w:w="65" w:type="dxa"/>
              <w:left w:w="65" w:type="dxa"/>
              <w:bottom w:w="65" w:type="dxa"/>
              <w:right w:w="65" w:type="dxa"/>
            </w:tcMar>
          </w:tcPr>
          <w:p>
            <w:pPr>
              <w:pStyle w:val="TableText"/>
              <w:keepNext/>
              <w:widowControl/>
              <w:jc w:val="left"/>
            </w:pPr>
            <w:r>
              <w:rPr>
                <w:b w:val="0"/>
                <w:sz w:val="18"/>
              </w:rPr>
              <w:t>0.000000</w:t>
            </w:r>
          </w:p>
        </w:tc>
        <w:tc>
          <w:tcPr>
            <w:tcW w:type="dxa" w:w="1701"/>
            <w:vAlign w:val="center"/>
            <w:tcMar>
              <w:top w:w="65" w:type="dxa"/>
              <w:left w:w="65" w:type="dxa"/>
              <w:bottom w:w="65" w:type="dxa"/>
              <w:right w:w="65" w:type="dxa"/>
            </w:tcMar>
          </w:tcPr>
          <w:p>
            <w:pPr>
              <w:pStyle w:val="TableText"/>
              <w:keepNext/>
              <w:widowControl/>
              <w:jc w:val="left"/>
            </w:pPr>
            <w:r>
              <w:rPr>
                <w:b w:val="0"/>
                <w:sz w:val="18"/>
              </w:rPr>
              <w:t>0.000000</w:t>
            </w:r>
          </w:p>
        </w:tc>
      </w:tr>
      <w:tr>
        <w:trPr>
          <w:cantSplit/>
        </w:trPr>
        <w:tc>
          <w:tcPr>
            <w:tcW w:type="dxa" w:w="1134"/>
            <w:vAlign w:val="center"/>
            <w:tcMar>
              <w:top w:w="65" w:type="dxa"/>
              <w:left w:w="65" w:type="dxa"/>
              <w:bottom w:w="65" w:type="dxa"/>
              <w:right w:w="65" w:type="dxa"/>
            </w:tcMar>
          </w:tcPr>
          <w:p>
            <w:pPr>
              <w:pStyle w:val="TableText"/>
              <w:keepNext w:val="0"/>
              <w:widowControl/>
              <w:jc w:val="left"/>
            </w:pPr>
            <w:r>
              <w:rPr>
                <w:b w:val="0"/>
                <w:sz w:val="18"/>
              </w:rPr>
              <w:t>DL</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0.000000</w:t>
            </w:r>
          </w:p>
        </w:tc>
        <w:tc>
          <w:tcPr>
            <w:tcW w:type="dxa" w:w="1701"/>
            <w:vAlign w:val="center"/>
            <w:tcMar>
              <w:top w:w="65" w:type="dxa"/>
              <w:left w:w="65" w:type="dxa"/>
              <w:bottom w:w="65" w:type="dxa"/>
              <w:right w:w="65" w:type="dxa"/>
            </w:tcMar>
          </w:tcPr>
          <w:p>
            <w:pPr>
              <w:pStyle w:val="TableText"/>
              <w:keepNext w:val="0"/>
              <w:widowControl/>
              <w:jc w:val="left"/>
            </w:pPr>
            <w:r>
              <w:rPr>
                <w:b w:val="0"/>
                <w:sz w:val="18"/>
              </w:rPr>
              <w:t>0.346955</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0.000000</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0.000000</w:t>
            </w:r>
          </w:p>
        </w:tc>
      </w:tr>
      <w:tr>
        <w:trPr>
          <w:cantSplit/>
        </w:trPr>
        <w:tc>
          <w:tcPr>
            <w:tcW w:type="dxa" w:w="1134"/>
            <w:vAlign w:val="center"/>
            <w:tcMar>
              <w:top w:w="65" w:type="dxa"/>
              <w:left w:w="65" w:type="dxa"/>
              <w:bottom w:w="65" w:type="dxa"/>
              <w:right w:w="65" w:type="dxa"/>
            </w:tcMar>
          </w:tcPr>
          <w:p>
            <w:pPr>
              <w:pStyle w:val="TableText"/>
              <w:keepNext w:val="0"/>
              <w:widowControl/>
              <w:jc w:val="left"/>
            </w:pPr>
            <w:r>
              <w:rPr>
                <w:b w:val="0"/>
                <w:sz w:val="18"/>
              </w:rPr>
              <w:t>RF</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0.000000</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0.000000</w:t>
            </w:r>
          </w:p>
        </w:tc>
        <w:tc>
          <w:tcPr>
            <w:tcW w:type="dxa" w:w="1701"/>
            <w:vAlign w:val="center"/>
            <w:tcMar>
              <w:top w:w="65" w:type="dxa"/>
              <w:left w:w="65" w:type="dxa"/>
              <w:bottom w:w="65" w:type="dxa"/>
              <w:right w:w="65" w:type="dxa"/>
            </w:tcMar>
          </w:tcPr>
          <w:p>
            <w:pPr>
              <w:pStyle w:val="TableText"/>
              <w:keepNext w:val="0"/>
              <w:widowControl/>
              <w:jc w:val="left"/>
            </w:pPr>
            <w:r>
              <w:rPr>
                <w:b w:val="0"/>
                <w:sz w:val="18"/>
              </w:rPr>
              <w:t>0.474106</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0.000000</w:t>
            </w:r>
          </w:p>
        </w:tc>
      </w:tr>
      <w:tr>
        <w:trPr>
          <w:cantSplit/>
        </w:trPr>
        <w:tc>
          <w:tcPr>
            <w:tcW w:type="dxa" w:w="1134"/>
            <w:vAlign w:val="center"/>
            <w:tcMar>
              <w:top w:w="65" w:type="dxa"/>
              <w:left w:w="65" w:type="dxa"/>
              <w:bottom w:w="65" w:type="dxa"/>
              <w:right w:w="65" w:type="dxa"/>
            </w:tcMar>
          </w:tcPr>
          <w:p>
            <w:pPr>
              <w:pStyle w:val="TableText"/>
              <w:keepNext w:val="0"/>
              <w:widowControl/>
              <w:jc w:val="left"/>
            </w:pPr>
            <w:r>
              <w:rPr>
                <w:b w:val="0"/>
                <w:sz w:val="18"/>
              </w:rPr>
              <w:t>CX</w:t>
            </w:r>
          </w:p>
        </w:tc>
        <w:tc>
          <w:tcPr>
            <w:tcW w:type="dxa" w:w="1701"/>
            <w:vAlign w:val="center"/>
            <w:tcMar>
              <w:top w:w="65" w:type="dxa"/>
              <w:left w:w="65" w:type="dxa"/>
              <w:bottom w:w="65" w:type="dxa"/>
              <w:right w:w="65" w:type="dxa"/>
            </w:tcMar>
          </w:tcPr>
          <w:p>
            <w:pPr>
              <w:pStyle w:val="TableText"/>
              <w:keepNext w:val="0"/>
              <w:widowControl/>
              <w:jc w:val="left"/>
            </w:pPr>
            <w:r>
              <w:rPr>
                <w:b w:val="0"/>
                <w:sz w:val="18"/>
              </w:rPr>
              <w:t>0.631018</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0.000000</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0.000000</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0.000000</w:t>
            </w:r>
          </w:p>
        </w:tc>
      </w:tr>
      <w:tr>
        <w:trPr>
          <w:cantSplit/>
        </w:trPr>
        <w:tc>
          <w:tcPr>
            <w:tcW w:type="dxa" w:w="1134"/>
            <w:vAlign w:val="center"/>
            <w:tcMar>
              <w:top w:w="65" w:type="dxa"/>
              <w:left w:w="65" w:type="dxa"/>
              <w:bottom w:w="65" w:type="dxa"/>
              <w:right w:w="65" w:type="dxa"/>
            </w:tcMar>
          </w:tcPr>
          <w:p>
            <w:pPr>
              <w:pStyle w:val="TableText"/>
              <w:keepNext w:val="0"/>
              <w:widowControl/>
              <w:jc w:val="left"/>
            </w:pPr>
            <w:r>
              <w:rPr>
                <w:b w:val="0"/>
                <w:sz w:val="18"/>
              </w:rPr>
              <w:t>WC1</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0.000000</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0.000000</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0.000000</w:t>
            </w:r>
          </w:p>
        </w:tc>
        <w:tc>
          <w:tcPr>
            <w:tcW w:type="dxa" w:w="1701"/>
            <w:vAlign w:val="center"/>
            <w:tcMar>
              <w:top w:w="65" w:type="dxa"/>
              <w:left w:w="65" w:type="dxa"/>
              <w:bottom w:w="65" w:type="dxa"/>
              <w:right w:w="65" w:type="dxa"/>
            </w:tcMar>
          </w:tcPr>
          <w:p>
            <w:pPr>
              <w:pStyle w:val="TableText"/>
              <w:keepNext w:val="0"/>
              <w:widowControl/>
              <w:jc w:val="left"/>
            </w:pPr>
            <w:r>
              <w:rPr>
                <w:b w:val="0"/>
                <w:sz w:val="18"/>
              </w:rPr>
              <w:t>0.699188</w:t>
            </w:r>
          </w:p>
        </w:tc>
      </w:tr>
      <w:tr>
        <w:trPr>
          <w:cantSplit/>
        </w:trPr>
        <w:tc>
          <w:tcPr>
            <w:tcW w:type="dxa" w:w="1134"/>
            <w:vAlign w:val="center"/>
            <w:tcMar>
              <w:top w:w="65" w:type="dxa"/>
              <w:left w:w="65" w:type="dxa"/>
              <w:bottom w:w="65" w:type="dxa"/>
              <w:right w:w="65" w:type="dxa"/>
            </w:tcMar>
          </w:tcPr>
          <w:p>
            <w:pPr>
              <w:pStyle w:val="TableText"/>
              <w:keepNext w:val="0"/>
              <w:widowControl/>
              <w:jc w:val="left"/>
            </w:pPr>
            <w:r>
              <w:rPr>
                <w:b w:val="0"/>
                <w:sz w:val="18"/>
              </w:rPr>
              <w:t>WC2</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0.000000</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0.000000</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0.000000</w:t>
            </w:r>
          </w:p>
        </w:tc>
        <w:tc>
          <w:tcPr>
            <w:tcW w:type="dxa" w:w="1701"/>
            <w:vAlign w:val="center"/>
            <w:tcMar>
              <w:top w:w="65" w:type="dxa"/>
              <w:left w:w="65" w:type="dxa"/>
              <w:bottom w:w="65" w:type="dxa"/>
              <w:right w:w="65" w:type="dxa"/>
            </w:tcMar>
          </w:tcPr>
          <w:p>
            <w:pPr>
              <w:pStyle w:val="TableText"/>
              <w:keepNext w:val="0"/>
              <w:widowControl/>
              <w:jc w:val="left"/>
            </w:pPr>
            <w:r>
              <w:rPr>
                <w:b w:val="0"/>
                <w:sz w:val="18"/>
              </w:rPr>
              <w:t>0.466125</w:t>
            </w:r>
          </w:p>
        </w:tc>
      </w:tr>
      <w:tr>
        <w:trPr>
          <w:cantSplit/>
        </w:trPr>
        <w:tc>
          <w:tcPr>
            <w:tcW w:type="dxa" w:w="1134"/>
            <w:vAlign w:val="center"/>
            <w:tcMar>
              <w:top w:w="65" w:type="dxa"/>
              <w:left w:w="65" w:type="dxa"/>
              <w:bottom w:w="65" w:type="dxa"/>
              <w:right w:w="65" w:type="dxa"/>
            </w:tcMar>
          </w:tcPr>
          <w:p>
            <w:pPr>
              <w:pStyle w:val="TableText"/>
              <w:keepNext w:val="0"/>
              <w:widowControl/>
              <w:jc w:val="left"/>
            </w:pPr>
            <w:r>
              <w:rPr>
                <w:b w:val="0"/>
                <w:sz w:val="18"/>
              </w:rPr>
              <w:t>OE</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0.000000</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0.000000</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0.000000</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0.000000</w:t>
            </w:r>
          </w:p>
        </w:tc>
      </w:tr>
      <w:tr>
        <w:trPr>
          <w:cantSplit/>
        </w:trPr>
        <w:tc>
          <w:tcPr>
            <w:tcW w:type="dxa" w:w="1134"/>
            <w:vAlign w:val="center"/>
            <w:tcMar>
              <w:top w:w="65" w:type="dxa"/>
              <w:left w:w="65" w:type="dxa"/>
              <w:bottom w:w="65" w:type="dxa"/>
              <w:right w:w="65" w:type="dxa"/>
            </w:tcMar>
          </w:tcPr>
          <w:p>
            <w:pPr>
              <w:pStyle w:val="TableText"/>
              <w:keepNext w:val="0"/>
              <w:widowControl/>
              <w:jc w:val="left"/>
            </w:pPr>
            <w:r>
              <w:rPr>
                <w:b w:val="0"/>
                <w:sz w:val="18"/>
              </w:rPr>
              <w:t>MX1</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0.000000</w:t>
            </w:r>
          </w:p>
        </w:tc>
        <w:tc>
          <w:tcPr>
            <w:tcW w:type="dxa" w:w="1701"/>
            <w:vAlign w:val="center"/>
            <w:tcMar>
              <w:top w:w="65" w:type="dxa"/>
              <w:left w:w="65" w:type="dxa"/>
              <w:bottom w:w="65" w:type="dxa"/>
              <w:right w:w="65" w:type="dxa"/>
            </w:tcMar>
          </w:tcPr>
          <w:p>
            <w:pPr>
              <w:pStyle w:val="TableText"/>
              <w:keepNext w:val="0"/>
              <w:widowControl/>
              <w:jc w:val="left"/>
            </w:pPr>
            <w:r>
              <w:rPr>
                <w:b w:val="0"/>
                <w:sz w:val="18"/>
              </w:rPr>
              <w:t>0.173477</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0.000000</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0.000000</w:t>
            </w:r>
          </w:p>
        </w:tc>
      </w:tr>
      <w:tr>
        <w:trPr>
          <w:cantSplit/>
        </w:trPr>
        <w:tc>
          <w:tcPr>
            <w:tcW w:type="dxa" w:w="1134"/>
            <w:vAlign w:val="center"/>
            <w:tcMar>
              <w:top w:w="65" w:type="dxa"/>
              <w:left w:w="65" w:type="dxa"/>
              <w:bottom w:w="65" w:type="dxa"/>
              <w:right w:w="65" w:type="dxa"/>
            </w:tcMar>
          </w:tcPr>
          <w:p>
            <w:pPr>
              <w:pStyle w:val="TableText"/>
              <w:keepNext w:val="0"/>
              <w:widowControl/>
              <w:jc w:val="left"/>
            </w:pPr>
            <w:r>
              <w:rPr>
                <w:b w:val="0"/>
                <w:sz w:val="18"/>
              </w:rPr>
              <w:t>MX2</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0.000000</w:t>
            </w:r>
          </w:p>
        </w:tc>
        <w:tc>
          <w:tcPr>
            <w:tcW w:type="dxa" w:w="1701"/>
            <w:vAlign w:val="center"/>
            <w:tcMar>
              <w:top w:w="65" w:type="dxa"/>
              <w:left w:w="65" w:type="dxa"/>
              <w:bottom w:w="65" w:type="dxa"/>
              <w:right w:w="65" w:type="dxa"/>
            </w:tcMar>
          </w:tcPr>
          <w:p>
            <w:pPr>
              <w:pStyle w:val="TableText"/>
              <w:keepNext w:val="0"/>
              <w:widowControl/>
              <w:jc w:val="left"/>
            </w:pPr>
            <w:r>
              <w:rPr>
                <w:b w:val="0"/>
                <w:sz w:val="18"/>
              </w:rPr>
              <w:t>0.173477</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0.000000</w:t>
            </w:r>
          </w:p>
        </w:tc>
        <w:tc>
          <w:tcPr>
            <w:tcW w:type="dxa" w:w="1701"/>
            <w:vAlign w:val="center"/>
            <w:tcMar>
              <w:top w:w="65" w:type="dxa"/>
              <w:left w:w="65" w:type="dxa"/>
              <w:bottom w:w="65" w:type="dxa"/>
              <w:right w:w="65" w:type="dxa"/>
            </w:tcMar>
          </w:tcPr>
          <w:p>
            <w:pPr>
              <w:pStyle w:val="TableText"/>
              <w:keepNext w:val="0"/>
              <w:widowControl/>
              <w:jc w:val="left"/>
            </w:pPr>
            <w:r>
              <w:rPr>
                <w:b w:val="0"/>
                <w:sz w:val="18"/>
              </w:rPr>
              <w:t>0.279675</w:t>
            </w:r>
          </w:p>
        </w:tc>
      </w:tr>
    </w:tbl>
    <w:p>
      <w:pPr>
        <w:pStyle w:val="SourceNote"/>
        <w:widowControl/>
      </w:pPr>
      <w:r>
        <w:t>자료: 동결 action_contract.catalog. 여덟 차원을 두 표로 나누어 제시했으며, 각 행은 두 표를 이어 하나의 벡터로 읽는다. A0 외 모든 후보의 정규화 강도는 1이다.</w:t>
      </w:r>
    </w:p>
    <w:p>
      <w:bookmarkStart w:id="206" w:name="cap_59"/>
      <w:pPr>
        <w:pStyle w:val="af"/>
        <w:widowControl/>
      </w:pPr>
      <w:r>
        <w:t>표 A-2. 매출채권·매입채무·비용 부분</w:t>
      </w:r>
      <w:bookmarkEnd w:id="206"/>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1134"/>
        <w:gridCol w:w="1701"/>
        <w:gridCol w:w="1701"/>
        <w:gridCol w:w="1701"/>
        <w:gridCol w:w="1701"/>
      </w:tblGrid>
      <w:tr>
        <w:trPr>
          <w:cantSplit/>
          <w:tblHeader/>
        </w:trPr>
        <w:tc>
          <w:tcPr>
            <w:tcW w:type="dxa" w:w="1134"/>
            <w:vAlign w:val="center"/>
            <w:shd w:fill="F1F1F1"/>
            <w:tcMar>
              <w:top w:w="65" w:type="dxa"/>
              <w:left w:w="65" w:type="dxa"/>
              <w:bottom w:w="65" w:type="dxa"/>
              <w:right w:w="65" w:type="dxa"/>
            </w:tcMar>
          </w:tcPr>
          <w:p>
            <w:pPr>
              <w:pStyle w:val="TableText"/>
              <w:keepNext/>
              <w:widowControl/>
              <w:jc w:val="center"/>
            </w:pPr>
            <w:r>
              <w:rPr>
                <w:b/>
                <w:sz w:val="18"/>
              </w:rPr>
              <w:t>후보</w:t>
            </w:r>
          </w:p>
        </w:tc>
        <w:tc>
          <w:tcPr>
            <w:tcW w:type="dxa" w:w="1701"/>
            <w:vAlign w:val="center"/>
            <w:shd w:fill="F1F1F1"/>
            <w:tcMar>
              <w:top w:w="65" w:type="dxa"/>
              <w:left w:w="65" w:type="dxa"/>
              <w:bottom w:w="65" w:type="dxa"/>
              <w:right w:w="65" w:type="dxa"/>
            </w:tcMar>
          </w:tcPr>
          <w:p>
            <w:pPr>
              <w:pStyle w:val="TableText"/>
              <w:keepNext/>
              <w:widowControl/>
              <w:jc w:val="center"/>
            </w:pPr>
            <w:r>
              <w:rPr>
                <w:b/>
                <w:sz w:val="18"/>
              </w:rPr>
              <w:t>AR</w:t>
            </w:r>
          </w:p>
        </w:tc>
        <w:tc>
          <w:tcPr>
            <w:tcW w:type="dxa" w:w="1701"/>
            <w:vAlign w:val="center"/>
            <w:shd w:fill="F1F1F1"/>
            <w:tcMar>
              <w:top w:w="65" w:type="dxa"/>
              <w:left w:w="65" w:type="dxa"/>
              <w:bottom w:w="65" w:type="dxa"/>
              <w:right w:w="65" w:type="dxa"/>
            </w:tcMar>
          </w:tcPr>
          <w:p>
            <w:pPr>
              <w:pStyle w:val="TableText"/>
              <w:keepNext/>
              <w:widowControl/>
              <w:jc w:val="center"/>
            </w:pPr>
            <w:r>
              <w:rPr>
                <w:b/>
                <w:sz w:val="18"/>
              </w:rPr>
              <w:t>AP</w:t>
            </w:r>
          </w:p>
        </w:tc>
        <w:tc>
          <w:tcPr>
            <w:tcW w:type="dxa" w:w="1701"/>
            <w:vAlign w:val="center"/>
            <w:shd w:fill="F1F1F1"/>
            <w:tcMar>
              <w:top w:w="65" w:type="dxa"/>
              <w:left w:w="65" w:type="dxa"/>
              <w:bottom w:w="65" w:type="dxa"/>
              <w:right w:w="65" w:type="dxa"/>
            </w:tcMar>
          </w:tcPr>
          <w:p>
            <w:pPr>
              <w:pStyle w:val="TableText"/>
              <w:keepNext/>
              <w:widowControl/>
              <w:jc w:val="center"/>
            </w:pPr>
            <w:r>
              <w:rPr>
                <w:b/>
                <w:sz w:val="18"/>
              </w:rPr>
              <w:t>COGS</w:t>
            </w:r>
          </w:p>
        </w:tc>
        <w:tc>
          <w:tcPr>
            <w:tcW w:type="dxa" w:w="1701"/>
            <w:vAlign w:val="center"/>
            <w:shd w:fill="F1F1F1"/>
            <w:tcMar>
              <w:top w:w="65" w:type="dxa"/>
              <w:left w:w="65" w:type="dxa"/>
              <w:bottom w:w="65" w:type="dxa"/>
              <w:right w:w="65" w:type="dxa"/>
            </w:tcMar>
          </w:tcPr>
          <w:p>
            <w:pPr>
              <w:pStyle w:val="TableText"/>
              <w:keepNext/>
              <w:widowControl/>
              <w:jc w:val="center"/>
            </w:pPr>
            <w:r>
              <w:rPr>
                <w:b/>
                <w:sz w:val="18"/>
              </w:rPr>
              <w:t>SG&amp;A</w:t>
            </w:r>
          </w:p>
        </w:tc>
      </w:tr>
      <w:tr>
        <w:trPr>
          <w:cantSplit/>
        </w:trPr>
        <w:tc>
          <w:tcPr>
            <w:tcW w:type="dxa" w:w="1134"/>
            <w:vAlign w:val="center"/>
            <w:tcMar>
              <w:top w:w="65" w:type="dxa"/>
              <w:left w:w="65" w:type="dxa"/>
              <w:bottom w:w="65" w:type="dxa"/>
              <w:right w:w="65" w:type="dxa"/>
            </w:tcMar>
          </w:tcPr>
          <w:p>
            <w:pPr>
              <w:pStyle w:val="TableText"/>
              <w:keepNext/>
              <w:widowControl/>
              <w:jc w:val="left"/>
            </w:pPr>
            <w:r>
              <w:rPr>
                <w:b w:val="0"/>
                <w:sz w:val="18"/>
              </w:rPr>
              <w:t>A0</w:t>
            </w:r>
          </w:p>
        </w:tc>
        <w:tc>
          <w:tcPr>
            <w:tcW w:type="dxa" w:w="1701"/>
            <w:vAlign w:val="center"/>
            <w:tcMar>
              <w:top w:w="65" w:type="dxa"/>
              <w:left w:w="65" w:type="dxa"/>
              <w:bottom w:w="65" w:type="dxa"/>
              <w:right w:w="65" w:type="dxa"/>
            </w:tcMar>
          </w:tcPr>
          <w:p>
            <w:pPr>
              <w:pStyle w:val="TableText"/>
              <w:keepNext/>
              <w:widowControl/>
              <w:jc w:val="left"/>
            </w:pPr>
            <w:r>
              <w:rPr>
                <w:b w:val="0"/>
                <w:sz w:val="18"/>
              </w:rPr>
              <w:t>0.000000</w:t>
            </w:r>
          </w:p>
        </w:tc>
        <w:tc>
          <w:tcPr>
            <w:tcW w:type="dxa" w:w="1701"/>
            <w:vAlign w:val="center"/>
            <w:tcMar>
              <w:top w:w="65" w:type="dxa"/>
              <w:left w:w="65" w:type="dxa"/>
              <w:bottom w:w="65" w:type="dxa"/>
              <w:right w:w="65" w:type="dxa"/>
            </w:tcMar>
          </w:tcPr>
          <w:p>
            <w:pPr>
              <w:pStyle w:val="TableText"/>
              <w:keepNext/>
              <w:widowControl/>
              <w:jc w:val="left"/>
            </w:pPr>
            <w:r>
              <w:rPr>
                <w:b w:val="0"/>
                <w:sz w:val="18"/>
              </w:rPr>
              <w:t>0.000000</w:t>
            </w:r>
          </w:p>
        </w:tc>
        <w:tc>
          <w:tcPr>
            <w:tcW w:type="dxa" w:w="1701"/>
            <w:vAlign w:val="center"/>
            <w:tcMar>
              <w:top w:w="65" w:type="dxa"/>
              <w:left w:w="65" w:type="dxa"/>
              <w:bottom w:w="65" w:type="dxa"/>
              <w:right w:w="65" w:type="dxa"/>
            </w:tcMar>
          </w:tcPr>
          <w:p>
            <w:pPr>
              <w:pStyle w:val="TableText"/>
              <w:keepNext/>
              <w:widowControl/>
              <w:jc w:val="left"/>
            </w:pPr>
            <w:r>
              <w:rPr>
                <w:b w:val="0"/>
                <w:sz w:val="18"/>
              </w:rPr>
              <w:t>0.000000</w:t>
            </w:r>
          </w:p>
        </w:tc>
        <w:tc>
          <w:tcPr>
            <w:tcW w:type="dxa" w:w="1701"/>
            <w:vAlign w:val="center"/>
            <w:tcMar>
              <w:top w:w="65" w:type="dxa"/>
              <w:left w:w="65" w:type="dxa"/>
              <w:bottom w:w="65" w:type="dxa"/>
              <w:right w:w="65" w:type="dxa"/>
            </w:tcMar>
          </w:tcPr>
          <w:p>
            <w:pPr>
              <w:pStyle w:val="TableText"/>
              <w:keepNext/>
              <w:widowControl/>
              <w:jc w:val="left"/>
            </w:pPr>
            <w:r>
              <w:rPr>
                <w:b w:val="0"/>
                <w:sz w:val="18"/>
              </w:rPr>
              <w:t>0.000000</w:t>
            </w:r>
          </w:p>
        </w:tc>
      </w:tr>
      <w:tr>
        <w:trPr>
          <w:cantSplit/>
        </w:trPr>
        <w:tc>
          <w:tcPr>
            <w:tcW w:type="dxa" w:w="1134"/>
            <w:vAlign w:val="center"/>
            <w:tcMar>
              <w:top w:w="65" w:type="dxa"/>
              <w:left w:w="65" w:type="dxa"/>
              <w:bottom w:w="65" w:type="dxa"/>
              <w:right w:w="65" w:type="dxa"/>
            </w:tcMar>
          </w:tcPr>
          <w:p>
            <w:pPr>
              <w:pStyle w:val="TableText"/>
              <w:keepNext w:val="0"/>
              <w:widowControl/>
              <w:jc w:val="left"/>
            </w:pPr>
            <w:r>
              <w:rPr>
                <w:b w:val="0"/>
                <w:sz w:val="18"/>
              </w:rPr>
              <w:t>DL</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0.000000</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0.000000</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0.000000</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0.000000</w:t>
            </w:r>
          </w:p>
        </w:tc>
      </w:tr>
      <w:tr>
        <w:trPr>
          <w:cantSplit/>
        </w:trPr>
        <w:tc>
          <w:tcPr>
            <w:tcW w:type="dxa" w:w="1134"/>
            <w:vAlign w:val="center"/>
            <w:tcMar>
              <w:top w:w="65" w:type="dxa"/>
              <w:left w:w="65" w:type="dxa"/>
              <w:bottom w:w="65" w:type="dxa"/>
              <w:right w:w="65" w:type="dxa"/>
            </w:tcMar>
          </w:tcPr>
          <w:p>
            <w:pPr>
              <w:pStyle w:val="TableText"/>
              <w:keepNext w:val="0"/>
              <w:widowControl/>
              <w:jc w:val="left"/>
            </w:pPr>
            <w:r>
              <w:rPr>
                <w:b w:val="0"/>
                <w:sz w:val="18"/>
              </w:rPr>
              <w:t>RF</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0.000000</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0.000000</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0.000000</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0.000000</w:t>
            </w:r>
          </w:p>
        </w:tc>
      </w:tr>
      <w:tr>
        <w:trPr>
          <w:cantSplit/>
        </w:trPr>
        <w:tc>
          <w:tcPr>
            <w:tcW w:type="dxa" w:w="1134"/>
            <w:vAlign w:val="center"/>
            <w:tcMar>
              <w:top w:w="65" w:type="dxa"/>
              <w:left w:w="65" w:type="dxa"/>
              <w:bottom w:w="65" w:type="dxa"/>
              <w:right w:w="65" w:type="dxa"/>
            </w:tcMar>
          </w:tcPr>
          <w:p>
            <w:pPr>
              <w:pStyle w:val="TableText"/>
              <w:keepNext w:val="0"/>
              <w:widowControl/>
              <w:jc w:val="left"/>
            </w:pPr>
            <w:r>
              <w:rPr>
                <w:b w:val="0"/>
                <w:sz w:val="18"/>
              </w:rPr>
              <w:t>CX</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0.000000</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0.000000</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0.000000</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0.000000</w:t>
            </w:r>
          </w:p>
        </w:tc>
      </w:tr>
      <w:tr>
        <w:trPr>
          <w:cantSplit/>
        </w:trPr>
        <w:tc>
          <w:tcPr>
            <w:tcW w:type="dxa" w:w="1134"/>
            <w:vAlign w:val="center"/>
            <w:tcMar>
              <w:top w:w="65" w:type="dxa"/>
              <w:left w:w="65" w:type="dxa"/>
              <w:bottom w:w="65" w:type="dxa"/>
              <w:right w:w="65" w:type="dxa"/>
            </w:tcMar>
          </w:tcPr>
          <w:p>
            <w:pPr>
              <w:pStyle w:val="TableText"/>
              <w:keepNext w:val="0"/>
              <w:widowControl/>
              <w:jc w:val="left"/>
            </w:pPr>
            <w:r>
              <w:rPr>
                <w:b w:val="0"/>
                <w:sz w:val="18"/>
              </w:rPr>
              <w:t>WC1</w:t>
            </w:r>
          </w:p>
        </w:tc>
        <w:tc>
          <w:tcPr>
            <w:tcW w:type="dxa" w:w="1701"/>
            <w:vAlign w:val="center"/>
            <w:tcMar>
              <w:top w:w="65" w:type="dxa"/>
              <w:left w:w="65" w:type="dxa"/>
              <w:bottom w:w="65" w:type="dxa"/>
              <w:right w:w="65" w:type="dxa"/>
            </w:tcMar>
          </w:tcPr>
          <w:p>
            <w:pPr>
              <w:pStyle w:val="TableText"/>
              <w:keepNext w:val="0"/>
              <w:widowControl/>
              <w:jc w:val="left"/>
            </w:pPr>
            <w:r>
              <w:rPr>
                <w:b w:val="0"/>
                <w:sz w:val="18"/>
              </w:rPr>
              <w:t>0.467052</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0.000000</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0.000000</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0.000000</w:t>
            </w:r>
          </w:p>
        </w:tc>
      </w:tr>
      <w:tr>
        <w:trPr>
          <w:cantSplit/>
        </w:trPr>
        <w:tc>
          <w:tcPr>
            <w:tcW w:type="dxa" w:w="1134"/>
            <w:vAlign w:val="center"/>
            <w:tcMar>
              <w:top w:w="65" w:type="dxa"/>
              <w:left w:w="65" w:type="dxa"/>
              <w:bottom w:w="65" w:type="dxa"/>
              <w:right w:w="65" w:type="dxa"/>
            </w:tcMar>
          </w:tcPr>
          <w:p>
            <w:pPr>
              <w:pStyle w:val="TableText"/>
              <w:keepNext w:val="0"/>
              <w:widowControl/>
              <w:jc w:val="left"/>
            </w:pPr>
            <w:r>
              <w:rPr>
                <w:b w:val="0"/>
                <w:sz w:val="18"/>
              </w:rPr>
              <w:t>WC2</w:t>
            </w:r>
          </w:p>
        </w:tc>
        <w:tc>
          <w:tcPr>
            <w:tcW w:type="dxa" w:w="1701"/>
            <w:vAlign w:val="center"/>
            <w:tcMar>
              <w:top w:w="65" w:type="dxa"/>
              <w:left w:w="65" w:type="dxa"/>
              <w:bottom w:w="65" w:type="dxa"/>
              <w:right w:w="65" w:type="dxa"/>
            </w:tcMar>
          </w:tcPr>
          <w:p>
            <w:pPr>
              <w:pStyle w:val="TableText"/>
              <w:keepNext w:val="0"/>
              <w:widowControl/>
              <w:jc w:val="left"/>
            </w:pPr>
            <w:r>
              <w:rPr>
                <w:b w:val="0"/>
                <w:sz w:val="18"/>
              </w:rPr>
              <w:t>0.311368</w:t>
            </w:r>
          </w:p>
        </w:tc>
        <w:tc>
          <w:tcPr>
            <w:tcW w:type="dxa" w:w="1701"/>
            <w:vAlign w:val="center"/>
            <w:tcMar>
              <w:top w:w="65" w:type="dxa"/>
              <w:left w:w="65" w:type="dxa"/>
              <w:bottom w:w="65" w:type="dxa"/>
              <w:right w:w="65" w:type="dxa"/>
            </w:tcMar>
          </w:tcPr>
          <w:p>
            <w:pPr>
              <w:pStyle w:val="TableText"/>
              <w:keepNext w:val="0"/>
              <w:widowControl/>
              <w:jc w:val="left"/>
            </w:pPr>
            <w:r>
              <w:rPr>
                <w:b w:val="0"/>
                <w:sz w:val="18"/>
              </w:rPr>
              <w:t>-0.817858</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0.000000</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0.000000</w:t>
            </w:r>
          </w:p>
        </w:tc>
      </w:tr>
      <w:tr>
        <w:trPr>
          <w:cantSplit/>
        </w:trPr>
        <w:tc>
          <w:tcPr>
            <w:tcW w:type="dxa" w:w="1134"/>
            <w:vAlign w:val="center"/>
            <w:tcMar>
              <w:top w:w="65" w:type="dxa"/>
              <w:left w:w="65" w:type="dxa"/>
              <w:bottom w:w="65" w:type="dxa"/>
              <w:right w:w="65" w:type="dxa"/>
            </w:tcMar>
          </w:tcPr>
          <w:p>
            <w:pPr>
              <w:pStyle w:val="TableText"/>
              <w:keepNext w:val="0"/>
              <w:widowControl/>
              <w:jc w:val="left"/>
            </w:pPr>
            <w:r>
              <w:rPr>
                <w:b w:val="0"/>
                <w:sz w:val="18"/>
              </w:rPr>
              <w:t>OE</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0.000000</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0.000000</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-0.013441</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-0.008585</w:t>
            </w:r>
          </w:p>
        </w:tc>
      </w:tr>
      <w:tr>
        <w:trPr>
          <w:cantSplit/>
        </w:trPr>
        <w:tc>
          <w:tcPr>
            <w:tcW w:type="dxa" w:w="1134"/>
            <w:vAlign w:val="center"/>
            <w:tcMar>
              <w:top w:w="65" w:type="dxa"/>
              <w:left w:w="65" w:type="dxa"/>
              <w:bottom w:w="65" w:type="dxa"/>
              <w:right w:w="65" w:type="dxa"/>
            </w:tcMar>
          </w:tcPr>
          <w:p>
            <w:pPr>
              <w:pStyle w:val="TableText"/>
              <w:keepNext w:val="0"/>
              <w:widowControl/>
              <w:jc w:val="left"/>
            </w:pPr>
            <w:r>
              <w:rPr>
                <w:b w:val="0"/>
                <w:sz w:val="18"/>
              </w:rPr>
              <w:t>MX1</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0.000000</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0.000000</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-0.006721</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-0.004292</w:t>
            </w:r>
          </w:p>
        </w:tc>
      </w:tr>
      <w:tr>
        <w:trPr>
          <w:cantSplit/>
        </w:trPr>
        <w:tc>
          <w:tcPr>
            <w:tcW w:type="dxa" w:w="1134"/>
            <w:vAlign w:val="center"/>
            <w:tcMar>
              <w:top w:w="65" w:type="dxa"/>
              <w:left w:w="65" w:type="dxa"/>
              <w:bottom w:w="65" w:type="dxa"/>
              <w:right w:w="65" w:type="dxa"/>
            </w:tcMar>
          </w:tcPr>
          <w:p>
            <w:pPr>
              <w:pStyle w:val="TableText"/>
              <w:keepNext w:val="0"/>
              <w:widowControl/>
              <w:jc w:val="left"/>
            </w:pPr>
            <w:r>
              <w:rPr>
                <w:b w:val="0"/>
                <w:sz w:val="18"/>
              </w:rPr>
              <w:t>MX2</w:t>
            </w:r>
          </w:p>
        </w:tc>
        <w:tc>
          <w:tcPr>
            <w:tcW w:type="dxa" w:w="1701"/>
            <w:vAlign w:val="center"/>
            <w:tcMar>
              <w:top w:w="65" w:type="dxa"/>
              <w:left w:w="65" w:type="dxa"/>
              <w:bottom w:w="65" w:type="dxa"/>
              <w:right w:w="65" w:type="dxa"/>
            </w:tcMar>
          </w:tcPr>
          <w:p>
            <w:pPr>
              <w:pStyle w:val="TableText"/>
              <w:keepNext w:val="0"/>
              <w:widowControl/>
              <w:jc w:val="left"/>
            </w:pPr>
            <w:r>
              <w:rPr>
                <w:b w:val="0"/>
                <w:sz w:val="18"/>
              </w:rPr>
              <w:t>0.186821</w:t>
            </w:r>
          </w:p>
        </w:tc>
        <w:tc>
          <w:tcPr>
            <w:tcW w:type="dxa" w:w="1701"/>
            <w:vAlign w:val="center"/>
            <w:tcMar>
              <w:top w:w="65" w:type="dxa"/>
              <w:left w:w="65" w:type="dxa"/>
              <w:bottom w:w="65" w:type="dxa"/>
              <w:right w:w="65" w:type="dxa"/>
            </w:tcMar>
          </w:tcPr>
          <w:p>
            <w:pPr>
              <w:pStyle w:val="TableText"/>
              <w:keepNext w:val="0"/>
              <w:widowControl/>
              <w:jc w:val="left"/>
            </w:pPr>
            <w:r>
              <w:rPr>
                <w:b w:val="0"/>
                <w:sz w:val="18"/>
              </w:rPr>
              <w:t>-0.245357</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0.000000</w:t>
            </w:r>
          </w:p>
        </w:tc>
        <w:tc>
          <w:tcPr>
            <w:tcW w:type="dxa" w:w="1701"/>
            <w:vAlign w:val="center"/>
            <w:tcMar>
              <w:top w:w="65" w:type="dxa"/>
              <w:left w:w="65" w:type="dxa"/>
              <w:bottom w:w="65" w:type="dxa"/>
              <w:right w:w="65" w:type="dxa"/>
            </w:tcMar>
          </w:tcPr>
          <w:p>
            <w:pPr>
              <w:pStyle w:val="TableText"/>
              <w:keepNext w:val="0"/>
              <w:widowControl/>
              <w:jc w:val="left"/>
            </w:pPr>
            <w:r>
              <w:rPr>
                <w:b w:val="0"/>
                <w:sz w:val="18"/>
              </w:rPr>
              <w:t>0.000000</w:t>
            </w:r>
          </w:p>
        </w:tc>
      </w:tr>
    </w:tbl>
    <w:p>
      <w:pPr>
        <w:pStyle w:val="SourceNote"/>
        <w:widowControl/>
      </w:pPr>
      <w:r>
        <w:t>자료: 동결 action_contract.catalog. 여덟 차원을 두 표로 나누어 제시했으며, 각 행은 두 표를 이어 하나의 벡터로 읽는다. A0 외 모든 후보의 정규화 강도는 1이다.</w:t>
      </w:r>
    </w:p>
    <w:p>
      <w:bookmarkStart w:id="207" w:name="head_148"/>
      <w:pPr>
        <w:pStyle w:val="2"/>
        <w:widowControl/>
      </w:pPr>
      <w:r>
        <w:t>A.3 LLM 입력특징의 의미</w:t>
      </w:r>
      <w:bookmarkEnd w:id="207"/>
    </w:p>
    <w:p>
      <w:bookmarkStart w:id="208" w:name="cap_60"/>
      <w:pPr>
        <w:pStyle w:val="af"/>
        <w:widowControl/>
      </w:pPr>
      <w:r>
        <w:t>표 A-3. 재무특징과 제공정보의 정확한 정의</w:t>
      </w:r>
      <w:bookmarkEnd w:id="208"/>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2381"/>
        <w:gridCol w:w="5556"/>
      </w:tblGrid>
      <w:tr>
        <w:trPr>
          <w:cantSplit/>
          <w:tblHeader/>
        </w:trPr>
        <w:tc>
          <w:tcPr>
            <w:tcW w:type="dxa" w:w="2381"/>
            <w:vAlign w:val="center"/>
            <w:shd w:fill="F1F1F1"/>
            <w:tcMar>
              <w:top w:w="65" w:type="dxa"/>
              <w:left w:w="65" w:type="dxa"/>
              <w:bottom w:w="65" w:type="dxa"/>
              <w:right w:w="65" w:type="dxa"/>
            </w:tcMar>
          </w:tcPr>
          <w:p>
            <w:pPr>
              <w:pStyle w:val="TableText"/>
              <w:keepNext/>
              <w:widowControl/>
              <w:jc w:val="center"/>
            </w:pPr>
            <w:r>
              <w:rPr>
                <w:b/>
                <w:sz w:val="18"/>
              </w:rPr>
              <w:t>특징 묶음</w:t>
            </w:r>
          </w:p>
        </w:tc>
        <w:tc>
          <w:tcPr>
            <w:tcW w:type="dxa" w:w="5556"/>
            <w:vAlign w:val="center"/>
            <w:shd w:fill="F1F1F1"/>
            <w:tcMar>
              <w:top w:w="65" w:type="dxa"/>
              <w:left w:w="65" w:type="dxa"/>
              <w:bottom w:w="65" w:type="dxa"/>
              <w:right w:w="65" w:type="dxa"/>
            </w:tcMar>
          </w:tcPr>
          <w:p>
            <w:pPr>
              <w:pStyle w:val="TableText"/>
              <w:keepNext/>
              <w:widowControl/>
              <w:jc w:val="center"/>
            </w:pPr>
            <w:r>
              <w:rPr>
                <w:b/>
                <w:sz w:val="18"/>
              </w:rPr>
              <w:t>정의·주의사항</w:t>
            </w:r>
          </w:p>
        </w:tc>
      </w:tr>
      <w:tr>
        <w:trPr>
          <w:cantSplit/>
        </w:trPr>
        <w:tc>
          <w:tcPr>
            <w:tcW w:type="dxa" w:w="2381"/>
            <w:vAlign w:val="center"/>
            <w:tcMar>
              <w:top w:w="65" w:type="dxa"/>
              <w:left w:w="65" w:type="dxa"/>
              <w:bottom w:w="65" w:type="dxa"/>
              <w:right w:w="65" w:type="dxa"/>
            </w:tcMar>
          </w:tcPr>
          <w:p>
            <w:pPr>
              <w:pStyle w:val="TableText"/>
              <w:keepNext/>
              <w:widowControl/>
              <w:jc w:val="left"/>
            </w:pPr>
            <w:r>
              <w:rPr>
                <w:b w:val="0"/>
                <w:sz w:val="18"/>
              </w:rPr>
              <w:t>부채/자산</w:t>
            </w:r>
          </w:p>
        </w:tc>
        <w:tc>
          <w:tcPr>
            <w:tcW w:type="dxa" w:w="5556"/>
            <w:vAlign w:val="center"/>
            <w:tcMar>
              <w:top w:w="65" w:type="dxa"/>
              <w:left w:w="65" w:type="dxa"/>
              <w:bottom w:w="65" w:type="dxa"/>
              <w:right w:w="65" w:type="dxa"/>
            </w:tcMar>
          </w:tcPr>
          <w:p>
            <w:pPr>
              <w:pStyle w:val="TableText"/>
              <w:keepNext/>
              <w:widowControl/>
              <w:jc w:val="left"/>
            </w:pPr>
            <w:r>
              <w:rPr>
                <w:b w:val="0"/>
                <w:sz w:val="18"/>
              </w:rPr>
              <w:t>총부채÷총자산. 이자부부채만의 비율이 아님</w:t>
            </w:r>
          </w:p>
        </w:tc>
      </w:tr>
      <w:tr>
        <w:trPr>
          <w:cantSplit/>
        </w:trPr>
        <w:tc>
          <w:tcPr>
            <w:tcW w:type="dxa" w:w="2381"/>
            <w:vAlign w:val="center"/>
            <w:tcMar>
              <w:top w:w="65" w:type="dxa"/>
              <w:left w:w="65" w:type="dxa"/>
              <w:bottom w:w="65" w:type="dxa"/>
              <w:right w:w="65" w:type="dxa"/>
            </w:tcMar>
          </w:tcPr>
          <w:p>
            <w:pPr>
              <w:pStyle w:val="TableText"/>
              <w:keepNext w:val="0"/>
              <w:widowControl/>
              <w:jc w:val="left"/>
            </w:pPr>
            <w:r>
              <w:rPr>
                <w:b w:val="0"/>
                <w:sz w:val="18"/>
              </w:rPr>
              <w:t>자본/자산</w:t>
            </w:r>
          </w:p>
        </w:tc>
        <w:tc>
          <w:tcPr>
            <w:tcW w:type="dxa" w:w="5556"/>
            <w:vAlign w:val="center"/>
            <w:tcMar>
              <w:top w:w="65" w:type="dxa"/>
              <w:left w:w="65" w:type="dxa"/>
              <w:bottom w:w="65" w:type="dxa"/>
              <w:right w:w="65" w:type="dxa"/>
            </w:tcMar>
          </w:tcPr>
          <w:p>
            <w:pPr>
              <w:pStyle w:val="TableText"/>
              <w:keepNext w:val="0"/>
              <w:widowControl/>
              <w:jc w:val="left"/>
            </w:pPr>
            <w:r>
              <w:rPr>
                <w:b w:val="0"/>
                <w:sz w:val="18"/>
              </w:rPr>
              <w:t>자기자본÷총자산</w:t>
            </w:r>
          </w:p>
        </w:tc>
      </w:tr>
      <w:tr>
        <w:trPr>
          <w:cantSplit/>
        </w:trPr>
        <w:tc>
          <w:tcPr>
            <w:tcW w:type="dxa" w:w="2381"/>
            <w:vAlign w:val="center"/>
            <w:tcMar>
              <w:top w:w="65" w:type="dxa"/>
              <w:left w:w="65" w:type="dxa"/>
              <w:bottom w:w="65" w:type="dxa"/>
              <w:right w:w="65" w:type="dxa"/>
            </w:tcMar>
          </w:tcPr>
          <w:p>
            <w:pPr>
              <w:pStyle w:val="TableText"/>
              <w:keepNext w:val="0"/>
              <w:widowControl/>
              <w:jc w:val="left"/>
            </w:pPr>
            <w:r>
              <w:rPr>
                <w:b w:val="0"/>
                <w:sz w:val="18"/>
              </w:rPr>
              <w:t>유동비율 / 현금비율</w:t>
            </w:r>
          </w:p>
        </w:tc>
        <w:tc>
          <w:tcPr>
            <w:tcW w:type="dxa" w:w="5556"/>
            <w:vAlign w:val="center"/>
            <w:tcMar>
              <w:top w:w="65" w:type="dxa"/>
              <w:left w:w="65" w:type="dxa"/>
              <w:bottom w:w="65" w:type="dxa"/>
              <w:right w:w="65" w:type="dxa"/>
            </w:tcMar>
          </w:tcPr>
          <w:p>
            <w:pPr>
              <w:pStyle w:val="TableText"/>
              <w:keepNext w:val="0"/>
              <w:widowControl/>
              <w:jc w:val="left"/>
            </w:pPr>
            <w:r>
              <w:rPr>
                <w:b w:val="0"/>
                <w:sz w:val="18"/>
              </w:rPr>
              <w:t>유동자산÷유동부채 / 현금·현금성자산÷유동부채</w:t>
            </w:r>
          </w:p>
        </w:tc>
      </w:tr>
      <w:tr>
        <w:trPr>
          <w:cantSplit/>
        </w:trPr>
        <w:tc>
          <w:tcPr>
            <w:tcW w:type="dxa" w:w="2381"/>
            <w:vAlign w:val="center"/>
            <w:tcMar>
              <w:top w:w="65" w:type="dxa"/>
              <w:left w:w="65" w:type="dxa"/>
              <w:bottom w:w="65" w:type="dxa"/>
              <w:right w:w="65" w:type="dxa"/>
            </w:tcMar>
          </w:tcPr>
          <w:p>
            <w:pPr>
              <w:pStyle w:val="TableText"/>
              <w:keepNext w:val="0"/>
              <w:widowControl/>
              <w:jc w:val="left"/>
            </w:pPr>
            <w:r>
              <w:rPr>
                <w:b w:val="0"/>
                <w:sz w:val="18"/>
              </w:rPr>
              <w:t>영업 / 총 / 순이익률</w:t>
            </w:r>
          </w:p>
        </w:tc>
        <w:tc>
          <w:tcPr>
            <w:tcW w:type="dxa" w:w="5556"/>
            <w:vAlign w:val="center"/>
            <w:tcMar>
              <w:top w:w="65" w:type="dxa"/>
              <w:left w:w="65" w:type="dxa"/>
              <w:bottom w:w="65" w:type="dxa"/>
              <w:right w:w="65" w:type="dxa"/>
            </w:tcMar>
          </w:tcPr>
          <w:p>
            <w:pPr>
              <w:pStyle w:val="TableText"/>
              <w:keepNext w:val="0"/>
              <w:widowControl/>
              <w:jc w:val="left"/>
            </w:pPr>
            <w:r>
              <w:rPr>
                <w:b w:val="0"/>
                <w:sz w:val="18"/>
              </w:rPr>
              <w:t>영업이익 / 매출총이익 / 당기순이익을 각각 매출액으로 나눔</w:t>
            </w:r>
          </w:p>
        </w:tc>
      </w:tr>
      <w:tr>
        <w:trPr>
          <w:cantSplit/>
        </w:trPr>
        <w:tc>
          <w:tcPr>
            <w:tcW w:type="dxa" w:w="2381"/>
            <w:vAlign w:val="center"/>
            <w:tcMar>
              <w:top w:w="65" w:type="dxa"/>
              <w:left w:w="65" w:type="dxa"/>
              <w:bottom w:w="65" w:type="dxa"/>
              <w:right w:w="65" w:type="dxa"/>
            </w:tcMar>
          </w:tcPr>
          <w:p>
            <w:pPr>
              <w:pStyle w:val="TableText"/>
              <w:keepNext w:val="0"/>
              <w:widowControl/>
              <w:jc w:val="left"/>
            </w:pPr>
            <w:r>
              <w:rPr>
                <w:b w:val="0"/>
                <w:sz w:val="18"/>
              </w:rPr>
              <w:t>ROA 대리변수</w:t>
            </w:r>
          </w:p>
        </w:tc>
        <w:tc>
          <w:tcPr>
            <w:tcW w:type="dxa" w:w="5556"/>
            <w:vAlign w:val="center"/>
            <w:tcMar>
              <w:top w:w="65" w:type="dxa"/>
              <w:left w:w="65" w:type="dxa"/>
              <w:bottom w:w="65" w:type="dxa"/>
              <w:right w:w="65" w:type="dxa"/>
            </w:tcMar>
          </w:tcPr>
          <w:p>
            <w:pPr>
              <w:pStyle w:val="TableText"/>
              <w:keepNext w:val="0"/>
              <w:widowControl/>
              <w:jc w:val="left"/>
            </w:pPr>
            <w:r>
              <w:rPr>
                <w:b w:val="0"/>
                <w:sz w:val="18"/>
              </w:rPr>
              <w:t>당기순이익÷기말 총자산. 평균 총자산 기준과 다름</w:t>
            </w:r>
          </w:p>
        </w:tc>
      </w:tr>
      <w:tr>
        <w:trPr>
          <w:cantSplit/>
        </w:trPr>
        <w:tc>
          <w:tcPr>
            <w:tcW w:type="dxa" w:w="2381"/>
            <w:vAlign w:val="center"/>
            <w:tcMar>
              <w:top w:w="65" w:type="dxa"/>
              <w:left w:w="65" w:type="dxa"/>
              <w:bottom w:w="65" w:type="dxa"/>
              <w:right w:w="65" w:type="dxa"/>
            </w:tcMar>
          </w:tcPr>
          <w:p>
            <w:pPr>
              <w:pStyle w:val="TableText"/>
              <w:keepNext w:val="0"/>
              <w:widowControl/>
              <w:jc w:val="left"/>
            </w:pPr>
            <w:r>
              <w:rPr>
                <w:b w:val="0"/>
                <w:sz w:val="18"/>
              </w:rPr>
              <w:t>원가율 / 판관비율</w:t>
            </w:r>
          </w:p>
        </w:tc>
        <w:tc>
          <w:tcPr>
            <w:tcW w:type="dxa" w:w="5556"/>
            <w:vAlign w:val="center"/>
            <w:tcMar>
              <w:top w:w="65" w:type="dxa"/>
              <w:left w:w="65" w:type="dxa"/>
              <w:bottom w:w="65" w:type="dxa"/>
              <w:right w:w="65" w:type="dxa"/>
            </w:tcMar>
          </w:tcPr>
          <w:p>
            <w:pPr>
              <w:pStyle w:val="TableText"/>
              <w:keepNext w:val="0"/>
              <w:widowControl/>
              <w:jc w:val="left"/>
            </w:pPr>
            <w:r>
              <w:rPr>
                <w:b w:val="0"/>
                <w:sz w:val="18"/>
              </w:rPr>
              <w:t>매출원가 / 판매관리비를 각각 매출액으로 나눔</w:t>
            </w:r>
          </w:p>
        </w:tc>
      </w:tr>
      <w:tr>
        <w:trPr>
          <w:cantSplit/>
        </w:trPr>
        <w:tc>
          <w:tcPr>
            <w:tcW w:type="dxa" w:w="2381"/>
            <w:vAlign w:val="center"/>
            <w:tcMar>
              <w:top w:w="65" w:type="dxa"/>
              <w:left w:w="65" w:type="dxa"/>
              <w:bottom w:w="65" w:type="dxa"/>
              <w:right w:w="65" w:type="dxa"/>
            </w:tcMar>
          </w:tcPr>
          <w:p>
            <w:pPr>
              <w:pStyle w:val="TableText"/>
              <w:keepNext w:val="0"/>
              <w:widowControl/>
              <w:jc w:val="left"/>
            </w:pPr>
            <w:r>
              <w:rPr>
                <w:b w:val="0"/>
                <w:sz w:val="18"/>
              </w:rPr>
              <w:t>금융비용/매출</w:t>
            </w:r>
          </w:p>
        </w:tc>
        <w:tc>
          <w:tcPr>
            <w:tcW w:type="dxa" w:w="5556"/>
            <w:vAlign w:val="center"/>
            <w:tcMar>
              <w:top w:w="65" w:type="dxa"/>
              <w:left w:w="65" w:type="dxa"/>
              <w:bottom w:w="65" w:type="dxa"/>
              <w:right w:w="65" w:type="dxa"/>
            </w:tcMar>
          </w:tcPr>
          <w:p>
            <w:pPr>
              <w:pStyle w:val="TableText"/>
              <w:keepNext w:val="0"/>
              <w:widowControl/>
              <w:jc w:val="left"/>
            </w:pPr>
            <w:r>
              <w:rPr>
                <w:b w:val="0"/>
                <w:sz w:val="18"/>
              </w:rPr>
              <w:t>광의 금융비용÷매출. 순수 이자비용과 동일하지 않음</w:t>
            </w:r>
          </w:p>
        </w:tc>
      </w:tr>
      <w:tr>
        <w:trPr>
          <w:cantSplit/>
        </w:trPr>
        <w:tc>
          <w:tcPr>
            <w:tcW w:type="dxa" w:w="2381"/>
            <w:vAlign w:val="center"/>
            <w:tcMar>
              <w:top w:w="65" w:type="dxa"/>
              <w:left w:w="65" w:type="dxa"/>
              <w:bottom w:w="65" w:type="dxa"/>
              <w:right w:w="65" w:type="dxa"/>
            </w:tcMar>
          </w:tcPr>
          <w:p>
            <w:pPr>
              <w:pStyle w:val="TableText"/>
              <w:keepNext w:val="0"/>
              <w:widowControl/>
              <w:jc w:val="left"/>
            </w:pPr>
            <w:r>
              <w:rPr>
                <w:b w:val="0"/>
                <w:sz w:val="18"/>
              </w:rPr>
              <w:t>CAPEX/매출</w:t>
            </w:r>
          </w:p>
        </w:tc>
        <w:tc>
          <w:tcPr>
            <w:tcW w:type="dxa" w:w="5556"/>
            <w:vAlign w:val="center"/>
            <w:tcMar>
              <w:top w:w="65" w:type="dxa"/>
              <w:left w:w="65" w:type="dxa"/>
              <w:bottom w:w="65" w:type="dxa"/>
              <w:right w:w="65" w:type="dxa"/>
            </w:tcMar>
          </w:tcPr>
          <w:p>
            <w:pPr>
              <w:pStyle w:val="TableText"/>
              <w:keepNext w:val="0"/>
              <w:widowControl/>
              <w:jc w:val="left"/>
            </w:pPr>
            <w:r>
              <w:rPr>
                <w:b w:val="0"/>
                <w:sz w:val="18"/>
              </w:rPr>
              <w:t>canonical CAPEX÷매출. 임의 추정 proxy로 대체하지 않음</w:t>
            </w:r>
          </w:p>
        </w:tc>
      </w:tr>
      <w:tr>
        <w:trPr>
          <w:cantSplit/>
        </w:trPr>
        <w:tc>
          <w:tcPr>
            <w:tcW w:type="dxa" w:w="2381"/>
            <w:vAlign w:val="center"/>
            <w:tcMar>
              <w:top w:w="65" w:type="dxa"/>
              <w:left w:w="65" w:type="dxa"/>
              <w:bottom w:w="65" w:type="dxa"/>
              <w:right w:w="65" w:type="dxa"/>
            </w:tcMar>
          </w:tcPr>
          <w:p>
            <w:pPr>
              <w:pStyle w:val="TableText"/>
              <w:keepNext w:val="0"/>
              <w:widowControl/>
              <w:jc w:val="left"/>
            </w:pPr>
            <w:r>
              <w:rPr>
                <w:b w:val="0"/>
                <w:sz w:val="18"/>
              </w:rPr>
              <w:t>유형자산/자산</w:t>
            </w:r>
          </w:p>
        </w:tc>
        <w:tc>
          <w:tcPr>
            <w:tcW w:type="dxa" w:w="5556"/>
            <w:vAlign w:val="center"/>
            <w:tcMar>
              <w:top w:w="65" w:type="dxa"/>
              <w:left w:w="65" w:type="dxa"/>
              <w:bottom w:w="65" w:type="dxa"/>
              <w:right w:w="65" w:type="dxa"/>
            </w:tcMar>
          </w:tcPr>
          <w:p>
            <w:pPr>
              <w:pStyle w:val="TableText"/>
              <w:keepNext w:val="0"/>
              <w:widowControl/>
              <w:jc w:val="left"/>
            </w:pPr>
            <w:r>
              <w:rPr>
                <w:b w:val="0"/>
                <w:sz w:val="18"/>
              </w:rPr>
              <w:t>순유형자산÷총자산</w:t>
            </w:r>
          </w:p>
        </w:tc>
      </w:tr>
      <w:tr>
        <w:trPr>
          <w:cantSplit/>
        </w:trPr>
        <w:tc>
          <w:tcPr>
            <w:tcW w:type="dxa" w:w="2381"/>
            <w:vAlign w:val="center"/>
            <w:tcMar>
              <w:top w:w="65" w:type="dxa"/>
              <w:left w:w="65" w:type="dxa"/>
              <w:bottom w:w="65" w:type="dxa"/>
              <w:right w:w="65" w:type="dxa"/>
            </w:tcMar>
          </w:tcPr>
          <w:p>
            <w:pPr>
              <w:pStyle w:val="TableText"/>
              <w:keepNext w:val="0"/>
              <w:widowControl/>
              <w:jc w:val="left"/>
            </w:pPr>
            <w:r>
              <w:rPr>
                <w:b w:val="0"/>
                <w:sz w:val="18"/>
              </w:rPr>
              <w:t>단기차입 구성비</w:t>
            </w:r>
          </w:p>
        </w:tc>
        <w:tc>
          <w:tcPr>
            <w:tcW w:type="dxa" w:w="5556"/>
            <w:vAlign w:val="center"/>
            <w:tcMar>
              <w:top w:w="65" w:type="dxa"/>
              <w:left w:w="65" w:type="dxa"/>
              <w:bottom w:w="65" w:type="dxa"/>
              <w:right w:w="65" w:type="dxa"/>
            </w:tcMar>
          </w:tcPr>
          <w:p>
            <w:pPr>
              <w:pStyle w:val="TableText"/>
              <w:keepNext w:val="0"/>
              <w:widowControl/>
              <w:jc w:val="left"/>
            </w:pPr>
            <w:r>
              <w:rPr>
                <w:b w:val="0"/>
                <w:sz w:val="18"/>
              </w:rPr>
              <w:t>단기차입금÷이자부 총부채</w:t>
            </w:r>
          </w:p>
        </w:tc>
      </w:tr>
      <w:tr>
        <w:trPr>
          <w:cantSplit/>
        </w:trPr>
        <w:tc>
          <w:tcPr>
            <w:tcW w:type="dxa" w:w="2381"/>
            <w:vAlign w:val="center"/>
            <w:tcMar>
              <w:top w:w="65" w:type="dxa"/>
              <w:left w:w="65" w:type="dxa"/>
              <w:bottom w:w="65" w:type="dxa"/>
              <w:right w:w="65" w:type="dxa"/>
            </w:tcMar>
          </w:tcPr>
          <w:p>
            <w:pPr>
              <w:pStyle w:val="TableText"/>
              <w:keepNext w:val="0"/>
              <w:widowControl/>
              <w:jc w:val="left"/>
            </w:pPr>
            <w:r>
              <w:rPr>
                <w:b w:val="0"/>
                <w:sz w:val="18"/>
              </w:rPr>
              <w:t>장기차입 구성비</w:t>
            </w:r>
          </w:p>
        </w:tc>
        <w:tc>
          <w:tcPr>
            <w:tcW w:type="dxa" w:w="5556"/>
            <w:vAlign w:val="center"/>
            <w:tcMar>
              <w:top w:w="65" w:type="dxa"/>
              <w:left w:w="65" w:type="dxa"/>
              <w:bottom w:w="65" w:type="dxa"/>
              <w:right w:w="65" w:type="dxa"/>
            </w:tcMar>
          </w:tcPr>
          <w:p>
            <w:pPr>
              <w:pStyle w:val="TableText"/>
              <w:keepNext w:val="0"/>
              <w:widowControl/>
              <w:jc w:val="left"/>
            </w:pPr>
            <w:r>
              <w:rPr>
                <w:b w:val="0"/>
                <w:sz w:val="18"/>
              </w:rPr>
              <w:t>(유동성 장기부채+비유동 장기차입)÷이자부 총부채</w:t>
            </w:r>
          </w:p>
        </w:tc>
      </w:tr>
      <w:tr>
        <w:trPr>
          <w:cantSplit/>
        </w:trPr>
        <w:tc>
          <w:tcPr>
            <w:tcW w:type="dxa" w:w="2381"/>
            <w:vAlign w:val="center"/>
            <w:tcMar>
              <w:top w:w="65" w:type="dxa"/>
              <w:left w:w="65" w:type="dxa"/>
              <w:bottom w:w="65" w:type="dxa"/>
              <w:right w:w="65" w:type="dxa"/>
            </w:tcMar>
          </w:tcPr>
          <w:p>
            <w:pPr>
              <w:pStyle w:val="TableText"/>
              <w:keepNext w:val="0"/>
              <w:widowControl/>
              <w:jc w:val="left"/>
            </w:pPr>
            <w:r>
              <w:rPr>
                <w:b w:val="0"/>
                <w:sz w:val="18"/>
              </w:rPr>
              <w:t>사채 구성비</w:t>
            </w:r>
          </w:p>
        </w:tc>
        <w:tc>
          <w:tcPr>
            <w:tcW w:type="dxa" w:w="5556"/>
            <w:vAlign w:val="center"/>
            <w:tcMar>
              <w:top w:w="65" w:type="dxa"/>
              <w:left w:w="65" w:type="dxa"/>
              <w:bottom w:w="65" w:type="dxa"/>
              <w:right w:w="65" w:type="dxa"/>
            </w:tcMar>
          </w:tcPr>
          <w:p>
            <w:pPr>
              <w:pStyle w:val="TableText"/>
              <w:keepNext w:val="0"/>
              <w:widowControl/>
              <w:jc w:val="left"/>
            </w:pPr>
            <w:r>
              <w:rPr>
                <w:b w:val="0"/>
                <w:sz w:val="18"/>
              </w:rPr>
              <w:t>사채÷이자부 총부채</w:t>
            </w:r>
          </w:p>
        </w:tc>
      </w:tr>
      <w:tr>
        <w:trPr>
          <w:cantSplit/>
        </w:trPr>
        <w:tc>
          <w:tcPr>
            <w:tcW w:type="dxa" w:w="2381"/>
            <w:vAlign w:val="center"/>
            <w:tcMar>
              <w:top w:w="65" w:type="dxa"/>
              <w:left w:w="65" w:type="dxa"/>
              <w:bottom w:w="65" w:type="dxa"/>
              <w:right w:w="65" w:type="dxa"/>
            </w:tcMar>
          </w:tcPr>
          <w:p>
            <w:pPr>
              <w:pStyle w:val="TableText"/>
              <w:keepNext w:val="0"/>
              <w:widowControl/>
              <w:jc w:val="left"/>
            </w:pPr>
            <w:r>
              <w:rPr>
                <w:b w:val="0"/>
                <w:sz w:val="18"/>
              </w:rPr>
              <w:t>운전자본/매출</w:t>
            </w:r>
          </w:p>
        </w:tc>
        <w:tc>
          <w:tcPr>
            <w:tcW w:type="dxa" w:w="5556"/>
            <w:vAlign w:val="center"/>
            <w:tcMar>
              <w:top w:w="65" w:type="dxa"/>
              <w:left w:w="65" w:type="dxa"/>
              <w:bottom w:w="65" w:type="dxa"/>
              <w:right w:w="65" w:type="dxa"/>
            </w:tcMar>
          </w:tcPr>
          <w:p>
            <w:pPr>
              <w:pStyle w:val="TableText"/>
              <w:keepNext w:val="0"/>
              <w:widowControl/>
              <w:jc w:val="left"/>
            </w:pPr>
            <w:r>
              <w:rPr>
                <w:b w:val="0"/>
                <w:sz w:val="18"/>
              </w:rPr>
              <w:t>재고·매출채권·매입채무를 각각 매출액으로 나눔</w:t>
            </w:r>
          </w:p>
        </w:tc>
      </w:tr>
      <w:tr>
        <w:trPr>
          <w:cantSplit/>
        </w:trPr>
        <w:tc>
          <w:tcPr>
            <w:tcW w:type="dxa" w:w="2381"/>
            <w:vAlign w:val="center"/>
            <w:tcMar>
              <w:top w:w="65" w:type="dxa"/>
              <w:left w:w="65" w:type="dxa"/>
              <w:bottom w:w="65" w:type="dxa"/>
              <w:right w:w="65" w:type="dxa"/>
            </w:tcMar>
          </w:tcPr>
          <w:p>
            <w:pPr>
              <w:pStyle w:val="TableText"/>
              <w:keepNext w:val="0"/>
              <w:widowControl/>
              <w:jc w:val="left"/>
            </w:pPr>
            <w:r>
              <w:rPr>
                <w:b w:val="0"/>
                <w:sz w:val="18"/>
              </w:rPr>
              <w:t>전년 대비 네 변화</w:t>
            </w:r>
          </w:p>
        </w:tc>
        <w:tc>
          <w:tcPr>
            <w:tcW w:type="dxa" w:w="5556"/>
            <w:vAlign w:val="center"/>
            <w:tcMar>
              <w:top w:w="65" w:type="dxa"/>
              <w:left w:w="65" w:type="dxa"/>
              <w:bottom w:w="65" w:type="dxa"/>
              <w:right w:w="65" w:type="dxa"/>
            </w:tcMar>
          </w:tcPr>
          <w:p>
            <w:pPr>
              <w:pStyle w:val="TableText"/>
              <w:keepNext w:val="0"/>
              <w:widowControl/>
              <w:jc w:val="left"/>
            </w:pPr>
            <w:r>
              <w:rPr>
                <w:b w:val="0"/>
                <w:sz w:val="18"/>
              </w:rPr>
              <w:t>영업이익률·부채/자산·유동비율·ROA의 가산 차이. 상대 증가율 아님</w:t>
            </w:r>
          </w:p>
        </w:tc>
      </w:tr>
      <w:tr>
        <w:trPr>
          <w:cantSplit/>
        </w:trPr>
        <w:tc>
          <w:tcPr>
            <w:tcW w:type="dxa" w:w="2381"/>
            <w:vAlign w:val="center"/>
            <w:tcMar>
              <w:top w:w="65" w:type="dxa"/>
              <w:left w:w="65" w:type="dxa"/>
              <w:bottom w:w="65" w:type="dxa"/>
              <w:right w:w="65" w:type="dxa"/>
            </w:tcMar>
          </w:tcPr>
          <w:p>
            <w:pPr>
              <w:pStyle w:val="TableText"/>
              <w:keepNext w:val="0"/>
              <w:widowControl/>
              <w:jc w:val="left"/>
            </w:pPr>
            <w:r>
              <w:rPr>
                <w:b w:val="0"/>
                <w:sz w:val="18"/>
              </w:rPr>
              <w:t>공통 보조필드</w:t>
            </w:r>
          </w:p>
        </w:tc>
        <w:tc>
          <w:tcPr>
            <w:tcW w:type="dxa" w:w="5556"/>
            <w:vAlign w:val="center"/>
            <w:tcMar>
              <w:top w:w="65" w:type="dxa"/>
              <w:left w:w="65" w:type="dxa"/>
              <w:bottom w:w="65" w:type="dxa"/>
              <w:right w:w="65" w:type="dxa"/>
            </w:tcMar>
          </w:tcPr>
          <w:p>
            <w:pPr>
              <w:pStyle w:val="TableText"/>
              <w:keepNext w:val="0"/>
              <w:widowControl/>
              <w:jc w:val="left"/>
            </w:pPr>
            <w:r>
              <w:rPr>
                <w:b w:val="0"/>
                <w:sz w:val="18"/>
              </w:rPr>
              <w:t>fiscal_year, log_assets, market. IC-a부터 포함</w:t>
            </w:r>
          </w:p>
        </w:tc>
      </w:tr>
      <w:tr>
        <w:trPr>
          <w:cantSplit/>
        </w:trPr>
        <w:tc>
          <w:tcPr>
            <w:tcW w:type="dxa" w:w="2381"/>
            <w:vAlign w:val="center"/>
            <w:tcMar>
              <w:top w:w="65" w:type="dxa"/>
              <w:left w:w="65" w:type="dxa"/>
              <w:bottom w:w="65" w:type="dxa"/>
              <w:right w:w="65" w:type="dxa"/>
            </w:tcMar>
          </w:tcPr>
          <w:p>
            <w:pPr>
              <w:pStyle w:val="TableText"/>
              <w:keepNext w:val="0"/>
              <w:widowControl/>
              <w:jc w:val="left"/>
            </w:pPr>
            <w:r>
              <w:rPr>
                <w:b w:val="0"/>
                <w:sz w:val="18"/>
              </w:rPr>
              <w:t>IC-b / IC-c 추가</w:t>
            </w:r>
          </w:p>
        </w:tc>
        <w:tc>
          <w:tcPr>
            <w:tcW w:type="dxa" w:w="5556"/>
            <w:vAlign w:val="center"/>
            <w:tcMar>
              <w:top w:w="65" w:type="dxa"/>
              <w:left w:w="65" w:type="dxa"/>
              <w:bottom w:w="65" w:type="dxa"/>
              <w:right w:w="65" w:type="dxa"/>
            </w:tcMar>
          </w:tcPr>
          <w:p>
            <w:pPr>
              <w:pStyle w:val="TableText"/>
              <w:keepNext w:val="0"/>
              <w:widowControl/>
              <w:jc w:val="left"/>
            </w:pPr>
            <w:r>
              <w:rPr>
                <w:b w:val="0"/>
                <w:sz w:val="18"/>
              </w:rPr>
              <w:t>industry_class / firm_name. 각각 1개 필드 추가</w:t>
            </w:r>
          </w:p>
        </w:tc>
      </w:tr>
    </w:tbl>
    <w:p>
      <w:pPr>
        <w:pStyle w:val="SourceNote"/>
        <w:widowControl/>
      </w:pPr>
      <w:r>
        <w:t>자료: feature_dictionary.csv 및 prompt_contract의 visible_dictionary. 재무특징은 총 23개이다. log_assets는 canonical 통화단위 총자산의 부호를 보존한 log(1+|자산|) 변환이다.</w:t>
      </w:r>
    </w:p>
    <w:p>
      <w:pPr>
        <w:widowControl/>
      </w:pPr>
      <w:r>
        <w:t>결측값은 null로 전달하고, 없는 재무값을 이름이나 업종에서 추정해 채우지 않는다. 동일한 경제적 이름이라도 분자와 분모가 다르면 다른 특징이므로 원 필드 사전을 기준으로 대조한다. 업종코드 바인딩은 평가연도 당시 snapshot이 아니라 조회시점 company-profile이라는 시점 한계를 유지한다.</w:t>
      </w:r>
    </w:p>
    <w:p>
      <w:bookmarkStart w:id="209" w:name="head_149"/>
      <w:pPr>
        <w:pStyle w:val="1"/>
        <w:widowControl/>
      </w:pPr>
      <w:r>
        <w:t>부록 B. 평가기반의 개발 검증기록</w:t>
      </w:r>
      <w:bookmarkEnd w:id="209"/>
    </w:p>
    <w:p>
      <w:pPr>
        <w:widowControl/>
      </w:pPr>
      <w:r>
        <w:t>아래 계수와 예측성능은 개발 단계 분석기록의 개발 검증자료를 보존한 것이다. 최종 V4.3 실행 스냅샷으로 새로 적합하거나 추정한 결과로 제시하지 않는다. 기존 연구의 평가기반을 이해하기 위한 증거이며, 최신 실행경로의 동일성 확인은 별도의 재현성 과제이다.</w:t>
      </w:r>
    </w:p>
    <w:p>
      <w:bookmarkStart w:id="210" w:name="cap_61"/>
      <w:pPr>
        <w:pStyle w:val="af"/>
        <w:widowControl/>
      </w:pPr>
      <w:r>
        <w:t>표 B-1. Oracle 공통 입력변수</w:t>
      </w:r>
      <w:bookmarkEnd w:id="210"/>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1134"/>
        <w:gridCol w:w="2835"/>
        <w:gridCol w:w="3969"/>
      </w:tblGrid>
      <w:tr>
        <w:trPr>
          <w:cantSplit/>
          <w:tblHeader/>
        </w:trPr>
        <w:tc>
          <w:tcPr>
            <w:tcW w:type="dxa" w:w="1134"/>
            <w:vAlign w:val="center"/>
            <w:shd w:fill="F1F1F1"/>
            <w:tcMar>
              <w:top w:w="65" w:type="dxa"/>
              <w:left w:w="65" w:type="dxa"/>
              <w:bottom w:w="65" w:type="dxa"/>
              <w:right w:w="65" w:type="dxa"/>
            </w:tcMar>
          </w:tcPr>
          <w:p>
            <w:pPr>
              <w:pStyle w:val="TableText"/>
              <w:keepNext/>
              <w:widowControl/>
              <w:jc w:val="center"/>
            </w:pPr>
            <w:r>
              <w:rPr>
                <w:b/>
                <w:sz w:val="18"/>
              </w:rPr>
              <w:t>영역</w:t>
            </w:r>
          </w:p>
        </w:tc>
        <w:tc>
          <w:tcPr>
            <w:tcW w:type="dxa" w:w="2835"/>
            <w:vAlign w:val="center"/>
            <w:shd w:fill="F1F1F1"/>
            <w:tcMar>
              <w:top w:w="65" w:type="dxa"/>
              <w:left w:w="65" w:type="dxa"/>
              <w:bottom w:w="65" w:type="dxa"/>
              <w:right w:w="65" w:type="dxa"/>
            </w:tcMar>
          </w:tcPr>
          <w:p>
            <w:pPr>
              <w:pStyle w:val="TableText"/>
              <w:keepNext/>
              <w:widowControl/>
              <w:jc w:val="center"/>
            </w:pPr>
            <w:r>
              <w:rPr>
                <w:b/>
                <w:sz w:val="18"/>
              </w:rPr>
              <w:t>변수</w:t>
            </w:r>
          </w:p>
        </w:tc>
        <w:tc>
          <w:tcPr>
            <w:tcW w:type="dxa" w:w="3969"/>
            <w:vAlign w:val="center"/>
            <w:shd w:fill="F1F1F1"/>
            <w:tcMar>
              <w:top w:w="65" w:type="dxa"/>
              <w:left w:w="65" w:type="dxa"/>
              <w:bottom w:w="65" w:type="dxa"/>
              <w:right w:w="65" w:type="dxa"/>
            </w:tcMar>
          </w:tcPr>
          <w:p>
            <w:pPr>
              <w:pStyle w:val="TableText"/>
              <w:keepNext/>
              <w:widowControl/>
              <w:jc w:val="center"/>
            </w:pPr>
            <w:r>
              <w:rPr>
                <w:b/>
                <w:sz w:val="18"/>
              </w:rPr>
              <w:t>방향·정의</w:t>
            </w:r>
          </w:p>
        </w:tc>
      </w:tr>
      <w:tr>
        <w:trPr>
          <w:cantSplit/>
        </w:trPr>
        <w:tc>
          <w:tcPr>
            <w:tcW w:type="dxa" w:w="1134"/>
            <w:vAlign w:val="center"/>
            <w:tcMar>
              <w:top w:w="65" w:type="dxa"/>
              <w:left w:w="65" w:type="dxa"/>
              <w:bottom w:w="65" w:type="dxa"/>
              <w:right w:w="65" w:type="dxa"/>
            </w:tcMar>
          </w:tcPr>
          <w:p>
            <w:pPr>
              <w:pStyle w:val="TableText"/>
              <w:keepNext/>
              <w:widowControl/>
              <w:jc w:val="left"/>
            </w:pPr>
            <w:r>
              <w:rPr>
                <w:b w:val="0"/>
                <w:sz w:val="18"/>
              </w:rPr>
              <w:t>수익성</w:t>
            </w:r>
          </w:p>
        </w:tc>
        <w:tc>
          <w:tcPr>
            <w:tcW w:type="dxa" w:w="2835"/>
            <w:vAlign w:val="center"/>
            <w:tcMar>
              <w:top w:w="65" w:type="dxa"/>
              <w:left w:w="65" w:type="dxa"/>
              <w:bottom w:w="65" w:type="dxa"/>
              <w:right w:w="65" w:type="dxa"/>
            </w:tcMar>
          </w:tcPr>
          <w:p>
            <w:pPr>
              <w:pStyle w:val="TableText"/>
              <w:keepNext/>
              <w:widowControl/>
              <w:jc w:val="left"/>
            </w:pPr>
            <w:r>
              <w:rPr>
                <w:b w:val="0"/>
                <w:sz w:val="18"/>
              </w:rPr>
              <w:t>R006 세전이익률</w:t>
            </w:r>
          </w:p>
        </w:tc>
        <w:tc>
          <w:tcPr>
            <w:tcW w:type="dxa" w:w="3969"/>
            <w:vAlign w:val="center"/>
            <w:tcMar>
              <w:top w:w="65" w:type="dxa"/>
              <w:left w:w="65" w:type="dxa"/>
              <w:bottom w:w="65" w:type="dxa"/>
              <w:right w:w="65" w:type="dxa"/>
            </w:tcMar>
          </w:tcPr>
          <w:p>
            <w:pPr>
              <w:pStyle w:val="TableText"/>
              <w:keepNext/>
              <w:widowControl/>
              <w:jc w:val="left"/>
            </w:pPr>
            <w:r>
              <w:rPr>
                <w:b w:val="0"/>
                <w:sz w:val="18"/>
              </w:rPr>
              <w:t>높을수록 우량한 방향</w:t>
            </w:r>
          </w:p>
        </w:tc>
      </w:tr>
      <w:tr>
        <w:trPr>
          <w:cantSplit/>
        </w:trPr>
        <w:tc>
          <w:tcPr>
            <w:tcW w:type="dxa" w:w="1134"/>
            <w:vAlign w:val="center"/>
            <w:tcMar>
              <w:top w:w="65" w:type="dxa"/>
              <w:left w:w="65" w:type="dxa"/>
              <w:bottom w:w="65" w:type="dxa"/>
              <w:right w:w="65" w:type="dxa"/>
            </w:tcMar>
          </w:tcPr>
          <w:p>
            <w:pPr>
              <w:pStyle w:val="TableText"/>
              <w:keepNext w:val="0"/>
              <w:widowControl/>
              <w:jc w:val="left"/>
            </w:pPr>
            <w:r>
              <w:rPr>
                <w:b w:val="0"/>
                <w:sz w:val="18"/>
              </w:rPr>
              <w:t>안정성</w:t>
            </w:r>
          </w:p>
        </w:tc>
        <w:tc>
          <w:tcPr>
            <w:tcW w:type="dxa" w:w="2835"/>
            <w:vAlign w:val="center"/>
            <w:tcMar>
              <w:top w:w="65" w:type="dxa"/>
              <w:left w:w="65" w:type="dxa"/>
              <w:bottom w:w="65" w:type="dxa"/>
              <w:right w:w="65" w:type="dxa"/>
            </w:tcMar>
          </w:tcPr>
          <w:p>
            <w:pPr>
              <w:pStyle w:val="TableText"/>
              <w:keepNext w:val="0"/>
              <w:widowControl/>
              <w:jc w:val="left"/>
            </w:pPr>
            <w:r>
              <w:rPr>
                <w:b w:val="0"/>
                <w:sz w:val="18"/>
              </w:rPr>
              <w:t>R064 이익잉여금/총자산</w:t>
            </w:r>
          </w:p>
        </w:tc>
        <w:tc>
          <w:tcPr>
            <w:tcW w:type="dxa" w:w="3969"/>
            <w:vAlign w:val="center"/>
            <w:tcMar>
              <w:top w:w="65" w:type="dxa"/>
              <w:left w:w="65" w:type="dxa"/>
              <w:bottom w:w="65" w:type="dxa"/>
              <w:right w:w="65" w:type="dxa"/>
            </w:tcMar>
          </w:tcPr>
          <w:p>
            <w:pPr>
              <w:pStyle w:val="TableText"/>
              <w:keepNext w:val="0"/>
              <w:widowControl/>
              <w:jc w:val="left"/>
            </w:pPr>
            <w:r>
              <w:rPr>
                <w:b w:val="0"/>
                <w:sz w:val="18"/>
              </w:rPr>
              <w:t>높을수록 우량한 방향</w:t>
            </w:r>
          </w:p>
        </w:tc>
      </w:tr>
      <w:tr>
        <w:trPr>
          <w:cantSplit/>
        </w:trPr>
        <w:tc>
          <w:tcPr>
            <w:tcW w:type="dxa" w:w="1134"/>
            <w:vAlign w:val="center"/>
            <w:tcMar>
              <w:top w:w="65" w:type="dxa"/>
              <w:left w:w="65" w:type="dxa"/>
              <w:bottom w:w="65" w:type="dxa"/>
              <w:right w:w="65" w:type="dxa"/>
            </w:tcMar>
          </w:tcPr>
          <w:p>
            <w:pPr>
              <w:pStyle w:val="TableText"/>
              <w:keepNext w:val="0"/>
              <w:widowControl/>
              <w:jc w:val="left"/>
            </w:pPr>
            <w:r>
              <w:rPr>
                <w:b w:val="0"/>
                <w:sz w:val="18"/>
              </w:rPr>
              <w:t>부채상환</w:t>
            </w:r>
          </w:p>
        </w:tc>
        <w:tc>
          <w:tcPr>
            <w:tcW w:type="dxa" w:w="2835"/>
            <w:vAlign w:val="center"/>
            <w:tcMar>
              <w:top w:w="65" w:type="dxa"/>
              <w:left w:w="65" w:type="dxa"/>
              <w:bottom w:w="65" w:type="dxa"/>
              <w:right w:w="65" w:type="dxa"/>
            </w:tcMar>
          </w:tcPr>
          <w:p>
            <w:pPr>
              <w:pStyle w:val="TableText"/>
              <w:keepNext w:val="0"/>
              <w:widowControl/>
              <w:jc w:val="left"/>
            </w:pPr>
            <w:r>
              <w:rPr>
                <w:b w:val="0"/>
                <w:sz w:val="18"/>
              </w:rPr>
              <w:t>R085 금융비용부담률</w:t>
            </w:r>
          </w:p>
        </w:tc>
        <w:tc>
          <w:tcPr>
            <w:tcW w:type="dxa" w:w="3969"/>
            <w:vAlign w:val="center"/>
            <w:tcMar>
              <w:top w:w="65" w:type="dxa"/>
              <w:left w:w="65" w:type="dxa"/>
              <w:bottom w:w="65" w:type="dxa"/>
              <w:right w:w="65" w:type="dxa"/>
            </w:tcMar>
          </w:tcPr>
          <w:p>
            <w:pPr>
              <w:pStyle w:val="TableText"/>
              <w:keepNext w:val="0"/>
              <w:widowControl/>
              <w:jc w:val="left"/>
            </w:pPr>
            <w:r>
              <w:rPr>
                <w:b w:val="0"/>
                <w:sz w:val="18"/>
              </w:rPr>
              <w:t>낮을수록 우량한 방향</w:t>
            </w:r>
          </w:p>
        </w:tc>
      </w:tr>
      <w:tr>
        <w:trPr>
          <w:cantSplit/>
        </w:trPr>
        <w:tc>
          <w:tcPr>
            <w:tcW w:type="dxa" w:w="1134"/>
            <w:vAlign w:val="center"/>
            <w:tcMar>
              <w:top w:w="65" w:type="dxa"/>
              <w:left w:w="65" w:type="dxa"/>
              <w:bottom w:w="65" w:type="dxa"/>
              <w:right w:w="65" w:type="dxa"/>
            </w:tcMar>
          </w:tcPr>
          <w:p>
            <w:pPr>
              <w:pStyle w:val="TableText"/>
              <w:keepNext w:val="0"/>
              <w:widowControl/>
              <w:jc w:val="left"/>
            </w:pPr>
            <w:r>
              <w:rPr>
                <w:b w:val="0"/>
                <w:sz w:val="18"/>
              </w:rPr>
              <w:t>유동성</w:t>
            </w:r>
          </w:p>
        </w:tc>
        <w:tc>
          <w:tcPr>
            <w:tcW w:type="dxa" w:w="2835"/>
            <w:vAlign w:val="center"/>
            <w:tcMar>
              <w:top w:w="65" w:type="dxa"/>
              <w:left w:w="65" w:type="dxa"/>
              <w:bottom w:w="65" w:type="dxa"/>
              <w:right w:w="65" w:type="dxa"/>
            </w:tcMar>
          </w:tcPr>
          <w:p>
            <w:pPr>
              <w:pStyle w:val="TableText"/>
              <w:keepNext w:val="0"/>
              <w:widowControl/>
              <w:jc w:val="left"/>
            </w:pPr>
            <w:r>
              <w:rPr>
                <w:b w:val="0"/>
                <w:sz w:val="18"/>
              </w:rPr>
              <w:t>R133 FCF/유동부채</w:t>
            </w:r>
          </w:p>
        </w:tc>
        <w:tc>
          <w:tcPr>
            <w:tcW w:type="dxa" w:w="3969"/>
            <w:vAlign w:val="center"/>
            <w:tcMar>
              <w:top w:w="65" w:type="dxa"/>
              <w:left w:w="65" w:type="dxa"/>
              <w:bottom w:w="65" w:type="dxa"/>
              <w:right w:w="65" w:type="dxa"/>
            </w:tcMar>
          </w:tcPr>
          <w:p>
            <w:pPr>
              <w:pStyle w:val="TableText"/>
              <w:keepNext w:val="0"/>
              <w:widowControl/>
              <w:jc w:val="left"/>
            </w:pPr>
            <w:r>
              <w:rPr>
                <w:b w:val="0"/>
                <w:sz w:val="18"/>
              </w:rPr>
              <w:t>높을수록 우량한 방향</w:t>
            </w:r>
          </w:p>
        </w:tc>
      </w:tr>
      <w:tr>
        <w:trPr>
          <w:cantSplit/>
        </w:trPr>
        <w:tc>
          <w:tcPr>
            <w:tcW w:type="dxa" w:w="1134"/>
            <w:vAlign w:val="center"/>
            <w:tcMar>
              <w:top w:w="65" w:type="dxa"/>
              <w:left w:w="65" w:type="dxa"/>
              <w:bottom w:w="65" w:type="dxa"/>
              <w:right w:w="65" w:type="dxa"/>
            </w:tcMar>
          </w:tcPr>
          <w:p>
            <w:pPr>
              <w:pStyle w:val="TableText"/>
              <w:keepNext w:val="0"/>
              <w:widowControl/>
              <w:jc w:val="left"/>
            </w:pPr>
            <w:r>
              <w:rPr>
                <w:b w:val="0"/>
                <w:sz w:val="18"/>
              </w:rPr>
              <w:t>활동성</w:t>
            </w:r>
          </w:p>
        </w:tc>
        <w:tc>
          <w:tcPr>
            <w:tcW w:type="dxa" w:w="2835"/>
            <w:vAlign w:val="center"/>
            <w:tcMar>
              <w:top w:w="65" w:type="dxa"/>
              <w:left w:w="65" w:type="dxa"/>
              <w:bottom w:w="65" w:type="dxa"/>
              <w:right w:w="65" w:type="dxa"/>
            </w:tcMar>
          </w:tcPr>
          <w:p>
            <w:pPr>
              <w:pStyle w:val="TableText"/>
              <w:keepNext w:val="0"/>
              <w:widowControl/>
              <w:jc w:val="left"/>
            </w:pPr>
            <w:r>
              <w:rPr>
                <w:b w:val="0"/>
                <w:sz w:val="18"/>
              </w:rPr>
              <w:t>R157 자본금회전율</w:t>
            </w:r>
          </w:p>
        </w:tc>
        <w:tc>
          <w:tcPr>
            <w:tcW w:type="dxa" w:w="3969"/>
            <w:vAlign w:val="center"/>
            <w:tcMar>
              <w:top w:w="65" w:type="dxa"/>
              <w:left w:w="65" w:type="dxa"/>
              <w:bottom w:w="65" w:type="dxa"/>
              <w:right w:w="65" w:type="dxa"/>
            </w:tcMar>
          </w:tcPr>
          <w:p>
            <w:pPr>
              <w:pStyle w:val="TableText"/>
              <w:keepNext w:val="0"/>
              <w:widowControl/>
              <w:jc w:val="left"/>
            </w:pPr>
            <w:r>
              <w:rPr>
                <w:b w:val="0"/>
                <w:sz w:val="18"/>
              </w:rPr>
              <w:t>높을수록 우량한 방향</w:t>
            </w:r>
          </w:p>
        </w:tc>
      </w:tr>
      <w:tr>
        <w:trPr>
          <w:cantSplit/>
        </w:trPr>
        <w:tc>
          <w:tcPr>
            <w:tcW w:type="dxa" w:w="1134"/>
            <w:vAlign w:val="center"/>
            <w:tcMar>
              <w:top w:w="65" w:type="dxa"/>
              <w:left w:w="65" w:type="dxa"/>
              <w:bottom w:w="65" w:type="dxa"/>
              <w:right w:w="65" w:type="dxa"/>
            </w:tcMar>
          </w:tcPr>
          <w:p>
            <w:pPr>
              <w:pStyle w:val="TableText"/>
              <w:keepNext w:val="0"/>
              <w:widowControl/>
              <w:jc w:val="left"/>
            </w:pPr>
            <w:r>
              <w:rPr>
                <w:b w:val="0"/>
                <w:sz w:val="18"/>
              </w:rPr>
              <w:t>성장성</w:t>
            </w:r>
          </w:p>
        </w:tc>
        <w:tc>
          <w:tcPr>
            <w:tcW w:type="dxa" w:w="2835"/>
            <w:vAlign w:val="center"/>
            <w:tcMar>
              <w:top w:w="65" w:type="dxa"/>
              <w:left w:w="65" w:type="dxa"/>
              <w:bottom w:w="65" w:type="dxa"/>
              <w:right w:w="65" w:type="dxa"/>
            </w:tcMar>
          </w:tcPr>
          <w:p>
            <w:pPr>
              <w:pStyle w:val="TableText"/>
              <w:keepNext w:val="0"/>
              <w:widowControl/>
              <w:jc w:val="left"/>
            </w:pPr>
            <w:r>
              <w:rPr>
                <w:b w:val="0"/>
                <w:sz w:val="18"/>
              </w:rPr>
              <w:t>R182 비유동자산증가율</w:t>
            </w:r>
          </w:p>
        </w:tc>
        <w:tc>
          <w:tcPr>
            <w:tcW w:type="dxa" w:w="3969"/>
            <w:vAlign w:val="center"/>
            <w:tcMar>
              <w:top w:w="65" w:type="dxa"/>
              <w:left w:w="65" w:type="dxa"/>
              <w:bottom w:w="65" w:type="dxa"/>
              <w:right w:w="65" w:type="dxa"/>
            </w:tcMar>
          </w:tcPr>
          <w:p>
            <w:pPr>
              <w:pStyle w:val="TableText"/>
              <w:keepNext w:val="0"/>
              <w:widowControl/>
              <w:jc w:val="left"/>
            </w:pPr>
            <w:r>
              <w:rPr>
                <w:b w:val="0"/>
                <w:sz w:val="18"/>
              </w:rPr>
              <w:t>기존 Oracle의 정의에 따라 평가</w:t>
            </w:r>
          </w:p>
        </w:tc>
      </w:tr>
      <w:tr>
        <w:trPr>
          <w:cantSplit/>
        </w:trPr>
        <w:tc>
          <w:tcPr>
            <w:tcW w:type="dxa" w:w="1134"/>
            <w:vAlign w:val="center"/>
            <w:tcMar>
              <w:top w:w="65" w:type="dxa"/>
              <w:left w:w="65" w:type="dxa"/>
              <w:bottom w:w="65" w:type="dxa"/>
              <w:right w:w="65" w:type="dxa"/>
            </w:tcMar>
          </w:tcPr>
          <w:p>
            <w:pPr>
              <w:pStyle w:val="TableText"/>
              <w:keepNext w:val="0"/>
              <w:widowControl/>
              <w:jc w:val="left"/>
            </w:pPr>
            <w:r>
              <w:rPr>
                <w:b w:val="0"/>
                <w:sz w:val="18"/>
              </w:rPr>
              <w:t>산업</w:t>
            </w:r>
          </w:p>
        </w:tc>
        <w:tc>
          <w:tcPr>
            <w:tcW w:type="dxa" w:w="2835"/>
            <w:vAlign w:val="center"/>
            <w:tcMar>
              <w:top w:w="65" w:type="dxa"/>
              <w:left w:w="65" w:type="dxa"/>
              <w:bottom w:w="65" w:type="dxa"/>
              <w:right w:w="65" w:type="dxa"/>
            </w:tcMar>
          </w:tcPr>
          <w:p>
            <w:pPr>
              <w:pStyle w:val="TableText"/>
              <w:keepNext w:val="0"/>
              <w:widowControl/>
              <w:jc w:val="left"/>
            </w:pPr>
            <w:r>
              <w:rPr>
                <w:b w:val="0"/>
                <w:sz w:val="18"/>
              </w:rPr>
              <w:t>전기 업종평균등급</w:t>
            </w:r>
          </w:p>
        </w:tc>
        <w:tc>
          <w:tcPr>
            <w:tcW w:type="dxa" w:w="3969"/>
            <w:vAlign w:val="center"/>
            <w:tcMar>
              <w:top w:w="65" w:type="dxa"/>
              <w:left w:w="65" w:type="dxa"/>
              <w:bottom w:w="65" w:type="dxa"/>
              <w:right w:w="65" w:type="dxa"/>
            </w:tcMar>
          </w:tcPr>
          <w:p>
            <w:pPr>
              <w:pStyle w:val="TableText"/>
              <w:keepNext w:val="0"/>
              <w:widowControl/>
              <w:jc w:val="left"/>
            </w:pPr>
            <w:r>
              <w:rPr>
                <w:b w:val="0"/>
                <w:sz w:val="18"/>
              </w:rPr>
              <w:t>자사 제외, 등급부호 체계와 함께 해석</w:t>
            </w:r>
          </w:p>
        </w:tc>
      </w:tr>
      <w:tr>
        <w:trPr>
          <w:cantSplit/>
        </w:trPr>
        <w:tc>
          <w:tcPr>
            <w:tcW w:type="dxa" w:w="1134"/>
            <w:vAlign w:val="center"/>
            <w:tcMar>
              <w:top w:w="65" w:type="dxa"/>
              <w:left w:w="65" w:type="dxa"/>
              <w:bottom w:w="65" w:type="dxa"/>
              <w:right w:w="65" w:type="dxa"/>
            </w:tcMar>
          </w:tcPr>
          <w:p>
            <w:pPr>
              <w:pStyle w:val="TableText"/>
              <w:keepNext w:val="0"/>
              <w:widowControl/>
              <w:jc w:val="left"/>
            </w:pPr>
            <w:r>
              <w:rPr>
                <w:b w:val="0"/>
                <w:sz w:val="18"/>
              </w:rPr>
              <w:t>경영</w:t>
            </w:r>
          </w:p>
        </w:tc>
        <w:tc>
          <w:tcPr>
            <w:tcW w:type="dxa" w:w="2835"/>
            <w:vAlign w:val="center"/>
            <w:tcMar>
              <w:top w:w="65" w:type="dxa"/>
              <w:left w:w="65" w:type="dxa"/>
              <w:bottom w:w="65" w:type="dxa"/>
              <w:right w:w="65" w:type="dxa"/>
            </w:tcMar>
          </w:tcPr>
          <w:p>
            <w:pPr>
              <w:pStyle w:val="TableText"/>
              <w:keepNext w:val="0"/>
              <w:widowControl/>
              <w:jc w:val="left"/>
            </w:pPr>
            <w:r>
              <w:rPr>
                <w:b w:val="0"/>
                <w:sz w:val="18"/>
              </w:rPr>
              <w:t>최근 3년 자본금 변동 횟수</w:t>
            </w:r>
          </w:p>
        </w:tc>
        <w:tc>
          <w:tcPr>
            <w:tcW w:type="dxa" w:w="3969"/>
            <w:vAlign w:val="center"/>
            <w:tcMar>
              <w:top w:w="65" w:type="dxa"/>
              <w:left w:w="65" w:type="dxa"/>
              <w:bottom w:w="65" w:type="dxa"/>
              <w:right w:w="65" w:type="dxa"/>
            </w:tcMar>
          </w:tcPr>
          <w:p>
            <w:pPr>
              <w:pStyle w:val="TableText"/>
              <w:keepNext w:val="0"/>
              <w:widowControl/>
              <w:jc w:val="left"/>
            </w:pPr>
            <w:r>
              <w:rPr>
                <w:b w:val="0"/>
                <w:sz w:val="18"/>
              </w:rPr>
              <w:t>회수 기반 대리변수</w:t>
            </w:r>
          </w:p>
        </w:tc>
      </w:tr>
      <w:tr>
        <w:trPr>
          <w:cantSplit/>
        </w:trPr>
        <w:tc>
          <w:tcPr>
            <w:tcW w:type="dxa" w:w="1134"/>
            <w:vAlign w:val="center"/>
            <w:tcMar>
              <w:top w:w="65" w:type="dxa"/>
              <w:left w:w="65" w:type="dxa"/>
              <w:bottom w:w="65" w:type="dxa"/>
              <w:right w:w="65" w:type="dxa"/>
            </w:tcMar>
          </w:tcPr>
          <w:p>
            <w:pPr>
              <w:pStyle w:val="TableText"/>
              <w:keepNext w:val="0"/>
              <w:widowControl/>
              <w:jc w:val="left"/>
            </w:pPr>
            <w:r>
              <w:rPr>
                <w:b w:val="0"/>
                <w:sz w:val="18"/>
              </w:rPr>
              <w:t>영업</w:t>
            </w:r>
          </w:p>
        </w:tc>
        <w:tc>
          <w:tcPr>
            <w:tcW w:type="dxa" w:w="2835"/>
            <w:vAlign w:val="center"/>
            <w:tcMar>
              <w:top w:w="65" w:type="dxa"/>
              <w:left w:w="65" w:type="dxa"/>
              <w:bottom w:w="65" w:type="dxa"/>
              <w:right w:w="65" w:type="dxa"/>
            </w:tcMar>
          </w:tcPr>
          <w:p>
            <w:pPr>
              <w:pStyle w:val="TableText"/>
              <w:keepNext w:val="0"/>
              <w:widowControl/>
              <w:jc w:val="left"/>
            </w:pPr>
            <w:r>
              <w:rPr>
                <w:b w:val="0"/>
                <w:sz w:val="18"/>
              </w:rPr>
              <w:t>ln(총자산)</w:t>
            </w:r>
          </w:p>
        </w:tc>
        <w:tc>
          <w:tcPr>
            <w:tcW w:type="dxa" w:w="3969"/>
            <w:vAlign w:val="center"/>
            <w:tcMar>
              <w:top w:w="65" w:type="dxa"/>
              <w:left w:w="65" w:type="dxa"/>
              <w:bottom w:w="65" w:type="dxa"/>
              <w:right w:w="65" w:type="dxa"/>
            </w:tcMar>
          </w:tcPr>
          <w:p>
            <w:pPr>
              <w:pStyle w:val="TableText"/>
              <w:keepNext w:val="0"/>
              <w:widowControl/>
              <w:jc w:val="left"/>
            </w:pPr>
            <w:r>
              <w:rPr>
                <w:b w:val="0"/>
                <w:sz w:val="18"/>
              </w:rPr>
              <w:t>규모 대리변수; LLM log_assets와 별도 정의</w:t>
            </w:r>
          </w:p>
        </w:tc>
      </w:tr>
      <w:tr>
        <w:trPr>
          <w:cantSplit/>
        </w:trPr>
        <w:tc>
          <w:tcPr>
            <w:tcW w:type="dxa" w:w="1134"/>
            <w:vAlign w:val="center"/>
            <w:tcMar>
              <w:top w:w="65" w:type="dxa"/>
              <w:left w:w="65" w:type="dxa"/>
              <w:bottom w:w="65" w:type="dxa"/>
              <w:right w:w="65" w:type="dxa"/>
            </w:tcMar>
          </w:tcPr>
          <w:p>
            <w:pPr>
              <w:pStyle w:val="TableText"/>
              <w:keepNext w:val="0"/>
              <w:widowControl/>
              <w:jc w:val="left"/>
            </w:pPr>
            <w:r>
              <w:rPr>
                <w:b w:val="0"/>
                <w:sz w:val="18"/>
              </w:rPr>
              <w:t>재무</w:t>
            </w:r>
          </w:p>
        </w:tc>
        <w:tc>
          <w:tcPr>
            <w:tcW w:type="dxa" w:w="2835"/>
            <w:vAlign w:val="center"/>
            <w:tcMar>
              <w:top w:w="65" w:type="dxa"/>
              <w:left w:w="65" w:type="dxa"/>
              <w:bottom w:w="65" w:type="dxa"/>
              <w:right w:w="65" w:type="dxa"/>
            </w:tcMar>
          </w:tcPr>
          <w:p>
            <w:pPr>
              <w:pStyle w:val="TableText"/>
              <w:keepNext w:val="0"/>
              <w:widowControl/>
              <w:jc w:val="left"/>
            </w:pPr>
            <w:r>
              <w:rPr>
                <w:b w:val="0"/>
                <w:sz w:val="18"/>
              </w:rPr>
              <w:t>최근 3년 영업손실 빈도</w:t>
            </w:r>
          </w:p>
        </w:tc>
        <w:tc>
          <w:tcPr>
            <w:tcW w:type="dxa" w:w="3969"/>
            <w:vAlign w:val="center"/>
            <w:tcMar>
              <w:top w:w="65" w:type="dxa"/>
              <w:left w:w="65" w:type="dxa"/>
              <w:bottom w:w="65" w:type="dxa"/>
              <w:right w:w="65" w:type="dxa"/>
            </w:tcMar>
          </w:tcPr>
          <w:p>
            <w:pPr>
              <w:pStyle w:val="TableText"/>
              <w:keepNext w:val="0"/>
              <w:widowControl/>
              <w:jc w:val="left"/>
            </w:pPr>
            <w:r>
              <w:rPr>
                <w:b w:val="0"/>
                <w:sz w:val="18"/>
              </w:rPr>
              <w:t>낮을수록 우량한 방향</w:t>
            </w:r>
          </w:p>
        </w:tc>
      </w:tr>
      <w:tr>
        <w:trPr>
          <w:cantSplit/>
        </w:trPr>
        <w:tc>
          <w:tcPr>
            <w:tcW w:type="dxa" w:w="1134"/>
            <w:vAlign w:val="center"/>
            <w:tcMar>
              <w:top w:w="65" w:type="dxa"/>
              <w:left w:w="65" w:type="dxa"/>
              <w:bottom w:w="65" w:type="dxa"/>
              <w:right w:w="65" w:type="dxa"/>
            </w:tcMar>
          </w:tcPr>
          <w:p>
            <w:pPr>
              <w:pStyle w:val="TableText"/>
              <w:keepNext w:val="0"/>
              <w:widowControl/>
              <w:jc w:val="left"/>
            </w:pPr>
            <w:r>
              <w:rPr>
                <w:b w:val="0"/>
                <w:sz w:val="18"/>
              </w:rPr>
              <w:t>신뢰도</w:t>
            </w:r>
          </w:p>
        </w:tc>
        <w:tc>
          <w:tcPr>
            <w:tcW w:type="dxa" w:w="2835"/>
            <w:vAlign w:val="center"/>
            <w:tcMar>
              <w:top w:w="65" w:type="dxa"/>
              <w:left w:w="65" w:type="dxa"/>
              <w:bottom w:w="65" w:type="dxa"/>
              <w:right w:w="65" w:type="dxa"/>
            </w:tcMar>
          </w:tcPr>
          <w:p>
            <w:pPr>
              <w:pStyle w:val="TableText"/>
              <w:keepNext w:val="0"/>
              <w:widowControl/>
              <w:jc w:val="left"/>
            </w:pPr>
            <w:r>
              <w:rPr>
                <w:b w:val="0"/>
                <w:sz w:val="18"/>
              </w:rPr>
              <w:t>재무비율 결측률</w:t>
            </w:r>
          </w:p>
        </w:tc>
        <w:tc>
          <w:tcPr>
            <w:tcW w:type="dxa" w:w="3969"/>
            <w:vAlign w:val="center"/>
            <w:tcMar>
              <w:top w:w="65" w:type="dxa"/>
              <w:left w:w="65" w:type="dxa"/>
              <w:bottom w:w="65" w:type="dxa"/>
              <w:right w:w="65" w:type="dxa"/>
            </w:tcMar>
          </w:tcPr>
          <w:p>
            <w:pPr>
              <w:pStyle w:val="TableText"/>
              <w:keepNext w:val="0"/>
              <w:widowControl/>
              <w:jc w:val="left"/>
            </w:pPr>
            <w:r>
              <w:rPr>
                <w:b w:val="0"/>
                <w:sz w:val="18"/>
              </w:rPr>
              <w:t>자료 누락 비중</w:t>
            </w:r>
          </w:p>
        </w:tc>
      </w:tr>
    </w:tbl>
    <w:p>
      <w:pPr>
        <w:pStyle w:val="SourceNote"/>
        <w:widowControl/>
      </w:pPr>
      <w:r>
        <w:t>자료: 개발 단계 분석기록 부록 A. Oracle의 비재무 대리변수와 LLM에 전달한 입력필드 집합은 동일하지 않다.</w:t>
      </w:r>
    </w:p>
    <w:p>
      <w:bookmarkStart w:id="211" w:name="cap_62"/>
      <w:pPr>
        <w:pStyle w:val="af"/>
        <w:widowControl/>
      </w:pPr>
      <w:r>
        <w:t>표 B-2. 개발 단계 Oracle-α 항목 가중치</w:t>
      </w:r>
      <w:bookmarkEnd w:id="211"/>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3969"/>
        <w:gridCol w:w="1984"/>
        <w:gridCol w:w="1984"/>
      </w:tblGrid>
      <w:tr>
        <w:trPr>
          <w:cantSplit/>
          <w:tblHeader/>
        </w:trPr>
        <w:tc>
          <w:tcPr>
            <w:tcW w:type="dxa" w:w="3969"/>
            <w:vAlign w:val="center"/>
            <w:shd w:fill="F1F1F1"/>
            <w:tcMar>
              <w:top w:w="65" w:type="dxa"/>
              <w:left w:w="65" w:type="dxa"/>
              <w:bottom w:w="65" w:type="dxa"/>
              <w:right w:w="65" w:type="dxa"/>
            </w:tcMar>
          </w:tcPr>
          <w:p>
            <w:pPr>
              <w:pStyle w:val="TableText"/>
              <w:keepNext/>
              <w:widowControl/>
              <w:jc w:val="center"/>
            </w:pPr>
            <w:r>
              <w:rPr>
                <w:b/>
                <w:sz w:val="18"/>
              </w:rPr>
              <w:t>변수</w:t>
            </w:r>
          </w:p>
        </w:tc>
        <w:tc>
          <w:tcPr>
            <w:tcW w:type="dxa" w:w="1984"/>
            <w:vAlign w:val="center"/>
            <w:shd w:fill="F1F1F1"/>
            <w:tcMar>
              <w:top w:w="65" w:type="dxa"/>
              <w:left w:w="65" w:type="dxa"/>
              <w:bottom w:w="65" w:type="dxa"/>
              <w:right w:w="65" w:type="dxa"/>
            </w:tcMar>
          </w:tcPr>
          <w:p>
            <w:pPr>
              <w:pStyle w:val="TableText"/>
              <w:keepNext/>
              <w:widowControl/>
              <w:jc w:val="center"/>
            </w:pPr>
            <w:r>
              <w:rPr>
                <w:b/>
                <w:sz w:val="18"/>
              </w:rPr>
              <w:t>사전 가중치</w:t>
            </w:r>
          </w:p>
        </w:tc>
        <w:tc>
          <w:tcPr>
            <w:tcW w:type="dxa" w:w="1984"/>
            <w:vAlign w:val="center"/>
            <w:shd w:fill="F1F1F1"/>
            <w:tcMar>
              <w:top w:w="65" w:type="dxa"/>
              <w:left w:w="65" w:type="dxa"/>
              <w:bottom w:w="65" w:type="dxa"/>
              <w:right w:w="65" w:type="dxa"/>
            </w:tcMar>
          </w:tcPr>
          <w:p>
            <w:pPr>
              <w:pStyle w:val="TableText"/>
              <w:keepNext/>
              <w:widowControl/>
              <w:jc w:val="center"/>
            </w:pPr>
            <w:r>
              <w:rPr>
                <w:b/>
                <w:sz w:val="18"/>
              </w:rPr>
              <w:t>최적화 가중치</w:t>
            </w:r>
          </w:p>
        </w:tc>
      </w:tr>
      <w:tr>
        <w:trPr>
          <w:cantSplit/>
        </w:trPr>
        <w:tc>
          <w:tcPr>
            <w:tcW w:type="dxa" w:w="3969"/>
            <w:vAlign w:val="center"/>
            <w:tcMar>
              <w:top w:w="65" w:type="dxa"/>
              <w:left w:w="65" w:type="dxa"/>
              <w:bottom w:w="65" w:type="dxa"/>
              <w:right w:w="65" w:type="dxa"/>
            </w:tcMar>
          </w:tcPr>
          <w:p>
            <w:pPr>
              <w:pStyle w:val="TableText"/>
              <w:keepNext/>
              <w:widowControl/>
              <w:jc w:val="left"/>
            </w:pPr>
            <w:r>
              <w:rPr>
                <w:b w:val="0"/>
                <w:sz w:val="18"/>
              </w:rPr>
              <w:t>R006</w:t>
            </w:r>
          </w:p>
        </w:tc>
        <w:tc>
          <w:tcPr>
            <w:tcW w:type="dxa" w:w="1984"/>
            <w:vAlign w:val="center"/>
            <w:tcMar>
              <w:top w:w="65" w:type="dxa"/>
              <w:left w:w="65" w:type="dxa"/>
              <w:bottom w:w="65" w:type="dxa"/>
              <w:right w:w="65" w:type="dxa"/>
            </w:tcMar>
          </w:tcPr>
          <w:p>
            <w:pPr>
              <w:pStyle w:val="TableText"/>
              <w:keepNext/>
              <w:widowControl/>
              <w:jc w:val="left"/>
            </w:pPr>
            <w:r>
              <w:rPr>
                <w:b w:val="0"/>
                <w:sz w:val="18"/>
              </w:rPr>
              <w:t>.186</w:t>
            </w:r>
          </w:p>
        </w:tc>
        <w:tc>
          <w:tcPr>
            <w:tcW w:type="dxa" w:w="1984"/>
            <w:vAlign w:val="center"/>
            <w:tcMar>
              <w:top w:w="65" w:type="dxa"/>
              <w:left w:w="65" w:type="dxa"/>
              <w:bottom w:w="65" w:type="dxa"/>
              <w:right w:w="65" w:type="dxa"/>
            </w:tcMar>
          </w:tcPr>
          <w:p>
            <w:pPr>
              <w:pStyle w:val="TableText"/>
              <w:keepNext/>
              <w:widowControl/>
              <w:jc w:val="left"/>
            </w:pPr>
            <w:r>
              <w:rPr>
                <w:b w:val="0"/>
                <w:sz w:val="18"/>
              </w:rPr>
              <w:t>.257</w:t>
            </w:r>
          </w:p>
        </w:tc>
      </w:tr>
      <w:tr>
        <w:trPr>
          <w:cantSplit/>
        </w:trPr>
        <w:tc>
          <w:tcPr>
            <w:tcW w:type="dxa" w:w="3969"/>
            <w:vAlign w:val="center"/>
            <w:tcMar>
              <w:top w:w="65" w:type="dxa"/>
              <w:left w:w="65" w:type="dxa"/>
              <w:bottom w:w="65" w:type="dxa"/>
              <w:right w:w="65" w:type="dxa"/>
            </w:tcMar>
          </w:tcPr>
          <w:p>
            <w:pPr>
              <w:pStyle w:val="TableText"/>
              <w:keepNext w:val="0"/>
              <w:widowControl/>
              <w:jc w:val="left"/>
            </w:pPr>
            <w:r>
              <w:rPr>
                <w:b w:val="0"/>
                <w:sz w:val="18"/>
              </w:rPr>
              <w:t>R064</w:t>
            </w:r>
          </w:p>
        </w:tc>
        <w:tc>
          <w:tcPr>
            <w:tcW w:type="dxa" w:w="1984"/>
            <w:vAlign w:val="center"/>
            <w:tcMar>
              <w:top w:w="65" w:type="dxa"/>
              <w:left w:w="65" w:type="dxa"/>
              <w:bottom w:w="65" w:type="dxa"/>
              <w:right w:w="65" w:type="dxa"/>
            </w:tcMar>
          </w:tcPr>
          <w:p>
            <w:pPr>
              <w:pStyle w:val="TableText"/>
              <w:keepNext w:val="0"/>
              <w:widowControl/>
              <w:jc w:val="left"/>
            </w:pPr>
            <w:r>
              <w:rPr>
                <w:b w:val="0"/>
                <w:sz w:val="18"/>
              </w:rPr>
              <w:t>.187</w:t>
            </w:r>
          </w:p>
        </w:tc>
        <w:tc>
          <w:tcPr>
            <w:tcW w:type="dxa" w:w="1984"/>
            <w:vAlign w:val="center"/>
            <w:tcMar>
              <w:top w:w="65" w:type="dxa"/>
              <w:left w:w="65" w:type="dxa"/>
              <w:bottom w:w="65" w:type="dxa"/>
              <w:right w:w="65" w:type="dxa"/>
            </w:tcMar>
          </w:tcPr>
          <w:p>
            <w:pPr>
              <w:pStyle w:val="TableText"/>
              <w:keepNext w:val="0"/>
              <w:widowControl/>
              <w:jc w:val="left"/>
            </w:pPr>
            <w:r>
              <w:rPr>
                <w:b w:val="0"/>
                <w:sz w:val="18"/>
              </w:rPr>
              <w:t>.234</w:t>
            </w:r>
          </w:p>
        </w:tc>
      </w:tr>
      <w:tr>
        <w:trPr>
          <w:cantSplit/>
        </w:trPr>
        <w:tc>
          <w:tcPr>
            <w:tcW w:type="dxa" w:w="3969"/>
            <w:vAlign w:val="center"/>
            <w:tcMar>
              <w:top w:w="65" w:type="dxa"/>
              <w:left w:w="65" w:type="dxa"/>
              <w:bottom w:w="65" w:type="dxa"/>
              <w:right w:w="65" w:type="dxa"/>
            </w:tcMar>
          </w:tcPr>
          <w:p>
            <w:pPr>
              <w:pStyle w:val="TableText"/>
              <w:keepNext w:val="0"/>
              <w:widowControl/>
              <w:jc w:val="left"/>
            </w:pPr>
            <w:r>
              <w:rPr>
                <w:b w:val="0"/>
                <w:sz w:val="18"/>
              </w:rPr>
              <w:t>R085</w:t>
            </w:r>
          </w:p>
        </w:tc>
        <w:tc>
          <w:tcPr>
            <w:tcW w:type="dxa" w:w="1984"/>
            <w:vAlign w:val="center"/>
            <w:tcMar>
              <w:top w:w="65" w:type="dxa"/>
              <w:left w:w="65" w:type="dxa"/>
              <w:bottom w:w="65" w:type="dxa"/>
              <w:right w:w="65" w:type="dxa"/>
            </w:tcMar>
          </w:tcPr>
          <w:p>
            <w:pPr>
              <w:pStyle w:val="TableText"/>
              <w:keepNext w:val="0"/>
              <w:widowControl/>
              <w:jc w:val="left"/>
            </w:pPr>
            <w:r>
              <w:rPr>
                <w:b w:val="0"/>
                <w:sz w:val="18"/>
              </w:rPr>
              <w:t>.188</w:t>
            </w:r>
          </w:p>
        </w:tc>
        <w:tc>
          <w:tcPr>
            <w:tcW w:type="dxa" w:w="1984"/>
            <w:vAlign w:val="center"/>
            <w:tcMar>
              <w:top w:w="65" w:type="dxa"/>
              <w:left w:w="65" w:type="dxa"/>
              <w:bottom w:w="65" w:type="dxa"/>
              <w:right w:w="65" w:type="dxa"/>
            </w:tcMar>
          </w:tcPr>
          <w:p>
            <w:pPr>
              <w:pStyle w:val="TableText"/>
              <w:keepNext w:val="0"/>
              <w:widowControl/>
              <w:jc w:val="left"/>
            </w:pPr>
            <w:r>
              <w:rPr>
                <w:b w:val="0"/>
                <w:sz w:val="18"/>
              </w:rPr>
              <w:t>.113</w:t>
            </w:r>
          </w:p>
        </w:tc>
      </w:tr>
      <w:tr>
        <w:trPr>
          <w:cantSplit/>
        </w:trPr>
        <w:tc>
          <w:tcPr>
            <w:tcW w:type="dxa" w:w="3969"/>
            <w:vAlign w:val="center"/>
            <w:tcMar>
              <w:top w:w="65" w:type="dxa"/>
              <w:left w:w="65" w:type="dxa"/>
              <w:bottom w:w="65" w:type="dxa"/>
              <w:right w:w="65" w:type="dxa"/>
            </w:tcMar>
          </w:tcPr>
          <w:p>
            <w:pPr>
              <w:pStyle w:val="TableText"/>
              <w:keepNext w:val="0"/>
              <w:widowControl/>
              <w:jc w:val="left"/>
            </w:pPr>
            <w:r>
              <w:rPr>
                <w:b w:val="0"/>
                <w:sz w:val="18"/>
              </w:rPr>
              <w:t>R133</w:t>
            </w:r>
          </w:p>
        </w:tc>
        <w:tc>
          <w:tcPr>
            <w:tcW w:type="dxa" w:w="1984"/>
            <w:vAlign w:val="center"/>
            <w:tcMar>
              <w:top w:w="65" w:type="dxa"/>
              <w:left w:w="65" w:type="dxa"/>
              <w:bottom w:w="65" w:type="dxa"/>
              <w:right w:w="65" w:type="dxa"/>
            </w:tcMar>
          </w:tcPr>
          <w:p>
            <w:pPr>
              <w:pStyle w:val="TableText"/>
              <w:keepNext w:val="0"/>
              <w:widowControl/>
              <w:jc w:val="left"/>
            </w:pPr>
            <w:r>
              <w:rPr>
                <w:b w:val="0"/>
                <w:sz w:val="18"/>
              </w:rPr>
              <w:t>.116</w:t>
            </w:r>
          </w:p>
        </w:tc>
        <w:tc>
          <w:tcPr>
            <w:tcW w:type="dxa" w:w="1984"/>
            <w:vAlign w:val="center"/>
            <w:tcMar>
              <w:top w:w="65" w:type="dxa"/>
              <w:left w:w="65" w:type="dxa"/>
              <w:bottom w:w="65" w:type="dxa"/>
              <w:right w:w="65" w:type="dxa"/>
            </w:tcMar>
          </w:tcPr>
          <w:p>
            <w:pPr>
              <w:pStyle w:val="TableText"/>
              <w:keepNext w:val="0"/>
              <w:widowControl/>
              <w:jc w:val="left"/>
            </w:pPr>
            <w:r>
              <w:rPr>
                <w:b w:val="0"/>
                <w:sz w:val="18"/>
              </w:rPr>
              <w:t>.093</w:t>
            </w:r>
          </w:p>
        </w:tc>
      </w:tr>
      <w:tr>
        <w:trPr>
          <w:cantSplit/>
        </w:trPr>
        <w:tc>
          <w:tcPr>
            <w:tcW w:type="dxa" w:w="3969"/>
            <w:vAlign w:val="center"/>
            <w:tcMar>
              <w:top w:w="65" w:type="dxa"/>
              <w:left w:w="65" w:type="dxa"/>
              <w:bottom w:w="65" w:type="dxa"/>
              <w:right w:w="65" w:type="dxa"/>
            </w:tcMar>
          </w:tcPr>
          <w:p>
            <w:pPr>
              <w:pStyle w:val="TableText"/>
              <w:keepNext w:val="0"/>
              <w:widowControl/>
              <w:jc w:val="left"/>
            </w:pPr>
            <w:r>
              <w:rPr>
                <w:b w:val="0"/>
                <w:sz w:val="18"/>
              </w:rPr>
              <w:t>R157</w:t>
            </w:r>
          </w:p>
        </w:tc>
        <w:tc>
          <w:tcPr>
            <w:tcW w:type="dxa" w:w="1984"/>
            <w:vAlign w:val="center"/>
            <w:tcMar>
              <w:top w:w="65" w:type="dxa"/>
              <w:left w:w="65" w:type="dxa"/>
              <w:bottom w:w="65" w:type="dxa"/>
              <w:right w:w="65" w:type="dxa"/>
            </w:tcMar>
          </w:tcPr>
          <w:p>
            <w:pPr>
              <w:pStyle w:val="TableText"/>
              <w:keepNext w:val="0"/>
              <w:widowControl/>
              <w:jc w:val="left"/>
            </w:pPr>
            <w:r>
              <w:rPr>
                <w:b w:val="0"/>
                <w:sz w:val="18"/>
              </w:rPr>
              <w:t>.196</w:t>
            </w:r>
          </w:p>
        </w:tc>
        <w:tc>
          <w:tcPr>
            <w:tcW w:type="dxa" w:w="1984"/>
            <w:vAlign w:val="center"/>
            <w:tcMar>
              <w:top w:w="65" w:type="dxa"/>
              <w:left w:w="65" w:type="dxa"/>
              <w:bottom w:w="65" w:type="dxa"/>
              <w:right w:w="65" w:type="dxa"/>
            </w:tcMar>
          </w:tcPr>
          <w:p>
            <w:pPr>
              <w:pStyle w:val="TableText"/>
              <w:keepNext w:val="0"/>
              <w:widowControl/>
              <w:jc w:val="left"/>
            </w:pPr>
            <w:r>
              <w:rPr>
                <w:b w:val="0"/>
                <w:sz w:val="18"/>
              </w:rPr>
              <w:t>.194</w:t>
            </w:r>
          </w:p>
        </w:tc>
      </w:tr>
      <w:tr>
        <w:trPr>
          <w:cantSplit/>
        </w:trPr>
        <w:tc>
          <w:tcPr>
            <w:tcW w:type="dxa" w:w="3969"/>
            <w:vAlign w:val="center"/>
            <w:tcMar>
              <w:top w:w="65" w:type="dxa"/>
              <w:left w:w="65" w:type="dxa"/>
              <w:bottom w:w="65" w:type="dxa"/>
              <w:right w:w="65" w:type="dxa"/>
            </w:tcMar>
          </w:tcPr>
          <w:p>
            <w:pPr>
              <w:pStyle w:val="TableText"/>
              <w:keepNext w:val="0"/>
              <w:widowControl/>
              <w:jc w:val="left"/>
            </w:pPr>
            <w:r>
              <w:rPr>
                <w:b w:val="0"/>
                <w:sz w:val="18"/>
              </w:rPr>
              <w:t>R182</w:t>
            </w:r>
          </w:p>
        </w:tc>
        <w:tc>
          <w:tcPr>
            <w:tcW w:type="dxa" w:w="1984"/>
            <w:vAlign w:val="center"/>
            <w:tcMar>
              <w:top w:w="65" w:type="dxa"/>
              <w:left w:w="65" w:type="dxa"/>
              <w:bottom w:w="65" w:type="dxa"/>
              <w:right w:w="65" w:type="dxa"/>
            </w:tcMar>
          </w:tcPr>
          <w:p>
            <w:pPr>
              <w:pStyle w:val="TableText"/>
              <w:keepNext w:val="0"/>
              <w:widowControl/>
              <w:jc w:val="left"/>
            </w:pPr>
            <w:r>
              <w:rPr>
                <w:b w:val="0"/>
                <w:sz w:val="18"/>
              </w:rPr>
              <w:t>.128</w:t>
            </w:r>
          </w:p>
        </w:tc>
        <w:tc>
          <w:tcPr>
            <w:tcW w:type="dxa" w:w="1984"/>
            <w:vAlign w:val="center"/>
            <w:tcMar>
              <w:top w:w="65" w:type="dxa"/>
              <w:left w:w="65" w:type="dxa"/>
              <w:bottom w:w="65" w:type="dxa"/>
              <w:right w:w="65" w:type="dxa"/>
            </w:tcMar>
          </w:tcPr>
          <w:p>
            <w:pPr>
              <w:pStyle w:val="TableText"/>
              <w:keepNext w:val="0"/>
              <w:widowControl/>
              <w:jc w:val="left"/>
            </w:pPr>
            <w:r>
              <w:rPr>
                <w:b w:val="0"/>
                <w:sz w:val="18"/>
              </w:rPr>
              <w:t>.108</w:t>
            </w:r>
          </w:p>
        </w:tc>
      </w:tr>
      <w:tr>
        <w:trPr>
          <w:cantSplit/>
        </w:trPr>
        <w:tc>
          <w:tcPr>
            <w:tcW w:type="dxa" w:w="3969"/>
            <w:vAlign w:val="center"/>
            <w:tcMar>
              <w:top w:w="65" w:type="dxa"/>
              <w:left w:w="65" w:type="dxa"/>
              <w:bottom w:w="65" w:type="dxa"/>
              <w:right w:w="65" w:type="dxa"/>
            </w:tcMar>
          </w:tcPr>
          <w:p>
            <w:pPr>
              <w:pStyle w:val="TableText"/>
              <w:keepNext w:val="0"/>
              <w:widowControl/>
              <w:jc w:val="left"/>
            </w:pPr>
            <w:r>
              <w:rPr>
                <w:b w:val="0"/>
                <w:sz w:val="18"/>
              </w:rPr>
              <w:t>업종 평균등급</w:t>
            </w:r>
          </w:p>
        </w:tc>
        <w:tc>
          <w:tcPr>
            <w:tcW w:type="dxa" w:w="1984"/>
            <w:vAlign w:val="center"/>
            <w:tcMar>
              <w:top w:w="65" w:type="dxa"/>
              <w:left w:w="65" w:type="dxa"/>
              <w:bottom w:w="65" w:type="dxa"/>
              <w:right w:w="65" w:type="dxa"/>
            </w:tcMar>
          </w:tcPr>
          <w:p>
            <w:pPr>
              <w:pStyle w:val="TableText"/>
              <w:keepNext w:val="0"/>
              <w:widowControl/>
              <w:jc w:val="left"/>
            </w:pPr>
            <w:r>
              <w:rPr>
                <w:b w:val="0"/>
                <w:sz w:val="18"/>
              </w:rPr>
              <w:t>.139</w:t>
            </w:r>
          </w:p>
        </w:tc>
        <w:tc>
          <w:tcPr>
            <w:tcW w:type="dxa" w:w="1984"/>
            <w:vAlign w:val="center"/>
            <w:tcMar>
              <w:top w:w="65" w:type="dxa"/>
              <w:left w:w="65" w:type="dxa"/>
              <w:bottom w:w="65" w:type="dxa"/>
              <w:right w:w="65" w:type="dxa"/>
            </w:tcMar>
          </w:tcPr>
          <w:p>
            <w:pPr>
              <w:pStyle w:val="TableText"/>
              <w:keepNext w:val="0"/>
              <w:widowControl/>
              <w:jc w:val="left"/>
            </w:pPr>
            <w:r>
              <w:rPr>
                <w:b w:val="0"/>
                <w:sz w:val="18"/>
              </w:rPr>
              <w:t>.225</w:t>
            </w:r>
          </w:p>
        </w:tc>
      </w:tr>
      <w:tr>
        <w:trPr>
          <w:cantSplit/>
        </w:trPr>
        <w:tc>
          <w:tcPr>
            <w:tcW w:type="dxa" w:w="3969"/>
            <w:vAlign w:val="center"/>
            <w:tcMar>
              <w:top w:w="65" w:type="dxa"/>
              <w:left w:w="65" w:type="dxa"/>
              <w:bottom w:w="65" w:type="dxa"/>
              <w:right w:w="65" w:type="dxa"/>
            </w:tcMar>
          </w:tcPr>
          <w:p>
            <w:pPr>
              <w:pStyle w:val="TableText"/>
              <w:keepNext w:val="0"/>
              <w:widowControl/>
              <w:jc w:val="left"/>
            </w:pPr>
            <w:r>
              <w:rPr>
                <w:b w:val="0"/>
                <w:sz w:val="18"/>
              </w:rPr>
              <w:t>자본금 변동 횟수</w:t>
            </w:r>
          </w:p>
        </w:tc>
        <w:tc>
          <w:tcPr>
            <w:tcW w:type="dxa" w:w="1984"/>
            <w:vAlign w:val="center"/>
            <w:tcMar>
              <w:top w:w="65" w:type="dxa"/>
              <w:left w:w="65" w:type="dxa"/>
              <w:bottom w:w="65" w:type="dxa"/>
              <w:right w:w="65" w:type="dxa"/>
            </w:tcMar>
          </w:tcPr>
          <w:p>
            <w:pPr>
              <w:pStyle w:val="TableText"/>
              <w:keepNext w:val="0"/>
              <w:widowControl/>
              <w:jc w:val="left"/>
            </w:pPr>
            <w:r>
              <w:rPr>
                <w:b w:val="0"/>
                <w:sz w:val="18"/>
              </w:rPr>
              <w:t>.239</w:t>
            </w:r>
          </w:p>
        </w:tc>
        <w:tc>
          <w:tcPr>
            <w:tcW w:type="dxa" w:w="1984"/>
            <w:vAlign w:val="center"/>
            <w:tcMar>
              <w:top w:w="65" w:type="dxa"/>
              <w:left w:w="65" w:type="dxa"/>
              <w:bottom w:w="65" w:type="dxa"/>
              <w:right w:w="65" w:type="dxa"/>
            </w:tcMar>
          </w:tcPr>
          <w:p>
            <w:pPr>
              <w:pStyle w:val="TableText"/>
              <w:keepNext w:val="0"/>
              <w:widowControl/>
              <w:jc w:val="left"/>
            </w:pPr>
            <w:r>
              <w:rPr>
                <w:b w:val="0"/>
                <w:sz w:val="18"/>
              </w:rPr>
              <w:t>.278</w:t>
            </w:r>
          </w:p>
        </w:tc>
      </w:tr>
      <w:tr>
        <w:trPr>
          <w:cantSplit/>
        </w:trPr>
        <w:tc>
          <w:tcPr>
            <w:tcW w:type="dxa" w:w="3969"/>
            <w:vAlign w:val="center"/>
            <w:tcMar>
              <w:top w:w="65" w:type="dxa"/>
              <w:left w:w="65" w:type="dxa"/>
              <w:bottom w:w="65" w:type="dxa"/>
              <w:right w:w="65" w:type="dxa"/>
            </w:tcMar>
          </w:tcPr>
          <w:p>
            <w:pPr>
              <w:pStyle w:val="TableText"/>
              <w:keepNext w:val="0"/>
              <w:widowControl/>
              <w:jc w:val="left"/>
            </w:pPr>
            <w:r>
              <w:rPr>
                <w:b w:val="0"/>
                <w:sz w:val="18"/>
              </w:rPr>
              <w:t>ln(총자산)</w:t>
            </w:r>
          </w:p>
        </w:tc>
        <w:tc>
          <w:tcPr>
            <w:tcW w:type="dxa" w:w="1984"/>
            <w:vAlign w:val="center"/>
            <w:tcMar>
              <w:top w:w="65" w:type="dxa"/>
              <w:left w:w="65" w:type="dxa"/>
              <w:bottom w:w="65" w:type="dxa"/>
              <w:right w:w="65" w:type="dxa"/>
            </w:tcMar>
          </w:tcPr>
          <w:p>
            <w:pPr>
              <w:pStyle w:val="TableText"/>
              <w:keepNext w:val="0"/>
              <w:widowControl/>
              <w:jc w:val="left"/>
            </w:pPr>
            <w:r>
              <w:rPr>
                <w:b w:val="0"/>
                <w:sz w:val="18"/>
              </w:rPr>
              <w:t>.239</w:t>
            </w:r>
          </w:p>
        </w:tc>
        <w:tc>
          <w:tcPr>
            <w:tcW w:type="dxa" w:w="1984"/>
            <w:vAlign w:val="center"/>
            <w:tcMar>
              <w:top w:w="65" w:type="dxa"/>
              <w:left w:w="65" w:type="dxa"/>
              <w:bottom w:w="65" w:type="dxa"/>
              <w:right w:w="65" w:type="dxa"/>
            </w:tcMar>
          </w:tcPr>
          <w:p>
            <w:pPr>
              <w:pStyle w:val="TableText"/>
              <w:keepNext w:val="0"/>
              <w:widowControl/>
              <w:jc w:val="left"/>
            </w:pPr>
            <w:r>
              <w:rPr>
                <w:b w:val="0"/>
                <w:sz w:val="18"/>
              </w:rPr>
              <w:t>.299</w:t>
            </w:r>
          </w:p>
        </w:tc>
      </w:tr>
      <w:tr>
        <w:trPr>
          <w:cantSplit/>
        </w:trPr>
        <w:tc>
          <w:tcPr>
            <w:tcW w:type="dxa" w:w="3969"/>
            <w:vAlign w:val="center"/>
            <w:tcMar>
              <w:top w:w="65" w:type="dxa"/>
              <w:left w:w="65" w:type="dxa"/>
              <w:bottom w:w="65" w:type="dxa"/>
              <w:right w:w="65" w:type="dxa"/>
            </w:tcMar>
          </w:tcPr>
          <w:p>
            <w:pPr>
              <w:pStyle w:val="TableText"/>
              <w:keepNext w:val="0"/>
              <w:widowControl/>
              <w:jc w:val="left"/>
            </w:pPr>
            <w:r>
              <w:rPr>
                <w:b w:val="0"/>
                <w:sz w:val="18"/>
              </w:rPr>
              <w:t>영업손실 빈도</w:t>
            </w:r>
          </w:p>
        </w:tc>
        <w:tc>
          <w:tcPr>
            <w:tcW w:type="dxa" w:w="1984"/>
            <w:vAlign w:val="center"/>
            <w:tcMar>
              <w:top w:w="65" w:type="dxa"/>
              <w:left w:w="65" w:type="dxa"/>
              <w:bottom w:w="65" w:type="dxa"/>
              <w:right w:w="65" w:type="dxa"/>
            </w:tcMar>
          </w:tcPr>
          <w:p>
            <w:pPr>
              <w:pStyle w:val="TableText"/>
              <w:keepNext w:val="0"/>
              <w:widowControl/>
              <w:jc w:val="left"/>
            </w:pPr>
            <w:r>
              <w:rPr>
                <w:b w:val="0"/>
                <w:sz w:val="18"/>
              </w:rPr>
              <w:t>.215</w:t>
            </w:r>
          </w:p>
        </w:tc>
        <w:tc>
          <w:tcPr>
            <w:tcW w:type="dxa" w:w="1984"/>
            <w:vAlign w:val="center"/>
            <w:tcMar>
              <w:top w:w="65" w:type="dxa"/>
              <w:left w:w="65" w:type="dxa"/>
              <w:bottom w:w="65" w:type="dxa"/>
              <w:right w:w="65" w:type="dxa"/>
            </w:tcMar>
          </w:tcPr>
          <w:p>
            <w:pPr>
              <w:pStyle w:val="TableText"/>
              <w:keepNext w:val="0"/>
              <w:widowControl/>
              <w:jc w:val="left"/>
            </w:pPr>
            <w:r>
              <w:rPr>
                <w:b w:val="0"/>
                <w:sz w:val="18"/>
              </w:rPr>
              <w:t>.145</w:t>
            </w:r>
          </w:p>
        </w:tc>
      </w:tr>
      <w:tr>
        <w:trPr>
          <w:cantSplit/>
        </w:trPr>
        <w:tc>
          <w:tcPr>
            <w:tcW w:type="dxa" w:w="3969"/>
            <w:vAlign w:val="center"/>
            <w:tcMar>
              <w:top w:w="65" w:type="dxa"/>
              <w:left w:w="65" w:type="dxa"/>
              <w:bottom w:w="65" w:type="dxa"/>
              <w:right w:w="65" w:type="dxa"/>
            </w:tcMar>
          </w:tcPr>
          <w:p>
            <w:pPr>
              <w:pStyle w:val="TableText"/>
              <w:keepNext w:val="0"/>
              <w:widowControl/>
              <w:jc w:val="left"/>
            </w:pPr>
            <w:r>
              <w:rPr>
                <w:b w:val="0"/>
                <w:sz w:val="18"/>
              </w:rPr>
              <w:t>결측률</w:t>
            </w:r>
          </w:p>
        </w:tc>
        <w:tc>
          <w:tcPr>
            <w:tcW w:type="dxa" w:w="1984"/>
            <w:vAlign w:val="center"/>
            <w:tcMar>
              <w:top w:w="65" w:type="dxa"/>
              <w:left w:w="65" w:type="dxa"/>
              <w:bottom w:w="65" w:type="dxa"/>
              <w:right w:w="65" w:type="dxa"/>
            </w:tcMar>
          </w:tcPr>
          <w:p>
            <w:pPr>
              <w:pStyle w:val="TableText"/>
              <w:keepNext w:val="0"/>
              <w:widowControl/>
              <w:jc w:val="left"/>
            </w:pPr>
            <w:r>
              <w:rPr>
                <w:b w:val="0"/>
                <w:sz w:val="18"/>
              </w:rPr>
              <w:t>.168</w:t>
            </w:r>
          </w:p>
        </w:tc>
        <w:tc>
          <w:tcPr>
            <w:tcW w:type="dxa" w:w="1984"/>
            <w:vAlign w:val="center"/>
            <w:tcMar>
              <w:top w:w="65" w:type="dxa"/>
              <w:left w:w="65" w:type="dxa"/>
              <w:bottom w:w="65" w:type="dxa"/>
              <w:right w:w="65" w:type="dxa"/>
            </w:tcMar>
          </w:tcPr>
          <w:p>
            <w:pPr>
              <w:pStyle w:val="TableText"/>
              <w:keepNext w:val="0"/>
              <w:widowControl/>
              <w:jc w:val="left"/>
            </w:pPr>
            <w:r>
              <w:rPr>
                <w:b w:val="0"/>
                <w:sz w:val="18"/>
              </w:rPr>
              <w:t>.052</w:t>
            </w:r>
          </w:p>
        </w:tc>
      </w:tr>
    </w:tbl>
    <w:p>
      <w:pPr>
        <w:pStyle w:val="SourceNote"/>
        <w:widowControl/>
      </w:pPr>
      <w:r>
        <w:t>자료: 개발 단계 분석기록 표 B-1. 원래 재무·비재무 묶음의 가중치이며 이 열 전체를 하나의 가중합으로 새로 구성하지 않았다.</w:t>
      </w:r>
    </w:p>
    <w:p>
      <w:bookmarkStart w:id="212" w:name="cap_63"/>
      <w:pPr>
        <w:pStyle w:val="af"/>
        <w:widowControl/>
      </w:pPr>
      <w:r>
        <w:t>표 B-3. 개발 단계 Oracle-β 계수</w:t>
      </w:r>
      <w:bookmarkEnd w:id="212"/>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3969"/>
        <w:gridCol w:w="1984"/>
        <w:gridCol w:w="1984"/>
      </w:tblGrid>
      <w:tr>
        <w:trPr>
          <w:cantSplit/>
          <w:tblHeader/>
        </w:trPr>
        <w:tc>
          <w:tcPr>
            <w:tcW w:type="dxa" w:w="3969"/>
            <w:vAlign w:val="center"/>
            <w:shd w:fill="F1F1F1"/>
            <w:tcMar>
              <w:top w:w="65" w:type="dxa"/>
              <w:left w:w="65" w:type="dxa"/>
              <w:bottom w:w="65" w:type="dxa"/>
              <w:right w:w="65" w:type="dxa"/>
            </w:tcMar>
          </w:tcPr>
          <w:p>
            <w:pPr>
              <w:pStyle w:val="TableText"/>
              <w:keepNext/>
              <w:widowControl/>
              <w:jc w:val="center"/>
            </w:pPr>
            <w:r>
              <w:rPr>
                <w:b/>
                <w:sz w:val="18"/>
              </w:rPr>
              <w:t>변수</w:t>
            </w:r>
          </w:p>
        </w:tc>
        <w:tc>
          <w:tcPr>
            <w:tcW w:type="dxa" w:w="1984"/>
            <w:vAlign w:val="center"/>
            <w:shd w:fill="F1F1F1"/>
            <w:tcMar>
              <w:top w:w="65" w:type="dxa"/>
              <w:left w:w="65" w:type="dxa"/>
              <w:bottom w:w="65" w:type="dxa"/>
              <w:right w:w="65" w:type="dxa"/>
            </w:tcMar>
          </w:tcPr>
          <w:p>
            <w:pPr>
              <w:pStyle w:val="TableText"/>
              <w:keepNext/>
              <w:widowControl/>
              <w:jc w:val="center"/>
            </w:pPr>
            <w:r>
              <w:rPr>
                <w:b/>
                <w:sz w:val="18"/>
              </w:rPr>
              <w:t>계수</w:t>
            </w:r>
          </w:p>
        </w:tc>
        <w:tc>
          <w:tcPr>
            <w:tcW w:type="dxa" w:w="1984"/>
            <w:vAlign w:val="center"/>
            <w:shd w:fill="F1F1F1"/>
            <w:tcMar>
              <w:top w:w="65" w:type="dxa"/>
              <w:left w:w="65" w:type="dxa"/>
              <w:bottom w:w="65" w:type="dxa"/>
              <w:right w:w="65" w:type="dxa"/>
            </w:tcMar>
          </w:tcPr>
          <w:p>
            <w:pPr>
              <w:pStyle w:val="TableText"/>
              <w:keepNext/>
              <w:widowControl/>
              <w:jc w:val="center"/>
            </w:pPr>
            <w:r>
              <w:rPr>
                <w:b/>
                <w:sz w:val="18"/>
              </w:rPr>
              <w:t>z</w:t>
            </w:r>
          </w:p>
        </w:tc>
      </w:tr>
      <w:tr>
        <w:trPr>
          <w:cantSplit/>
        </w:trPr>
        <w:tc>
          <w:tcPr>
            <w:tcW w:type="dxa" w:w="3969"/>
            <w:vAlign w:val="center"/>
            <w:tcMar>
              <w:top w:w="65" w:type="dxa"/>
              <w:left w:w="65" w:type="dxa"/>
              <w:bottom w:w="65" w:type="dxa"/>
              <w:right w:w="65" w:type="dxa"/>
            </w:tcMar>
          </w:tcPr>
          <w:p>
            <w:pPr>
              <w:pStyle w:val="TableText"/>
              <w:keepNext/>
              <w:widowControl/>
              <w:jc w:val="left"/>
            </w:pPr>
            <w:r>
              <w:rPr>
                <w:b w:val="0"/>
                <w:sz w:val="18"/>
              </w:rPr>
              <w:t>R006</w:t>
            </w:r>
          </w:p>
        </w:tc>
        <w:tc>
          <w:tcPr>
            <w:tcW w:type="dxa" w:w="1984"/>
            <w:vAlign w:val="center"/>
            <w:tcMar>
              <w:top w:w="65" w:type="dxa"/>
              <w:left w:w="65" w:type="dxa"/>
              <w:bottom w:w="65" w:type="dxa"/>
              <w:right w:w="65" w:type="dxa"/>
            </w:tcMar>
          </w:tcPr>
          <w:p>
            <w:pPr>
              <w:pStyle w:val="TableText"/>
              <w:keepNext/>
              <w:widowControl/>
              <w:jc w:val="left"/>
            </w:pPr>
            <w:r>
              <w:rPr>
                <w:b w:val="0"/>
                <w:sz w:val="18"/>
              </w:rPr>
              <w:t>−.035</w:t>
            </w:r>
          </w:p>
        </w:tc>
        <w:tc>
          <w:tcPr>
            <w:tcW w:type="dxa" w:w="1984"/>
            <w:vAlign w:val="center"/>
            <w:tcMar>
              <w:top w:w="65" w:type="dxa"/>
              <w:left w:w="65" w:type="dxa"/>
              <w:bottom w:w="65" w:type="dxa"/>
              <w:right w:w="65" w:type="dxa"/>
            </w:tcMar>
          </w:tcPr>
          <w:p>
            <w:pPr>
              <w:pStyle w:val="TableText"/>
              <w:keepNext/>
              <w:widowControl/>
              <w:jc w:val="left"/>
            </w:pPr>
            <w:r>
              <w:rPr>
                <w:b w:val="0"/>
                <w:sz w:val="18"/>
              </w:rPr>
              <w:t>−0.7</w:t>
            </w:r>
          </w:p>
        </w:tc>
      </w:tr>
      <w:tr>
        <w:trPr>
          <w:cantSplit/>
        </w:trPr>
        <w:tc>
          <w:tcPr>
            <w:tcW w:type="dxa" w:w="3969"/>
            <w:vAlign w:val="center"/>
            <w:tcMar>
              <w:top w:w="65" w:type="dxa"/>
              <w:left w:w="65" w:type="dxa"/>
              <w:bottom w:w="65" w:type="dxa"/>
              <w:right w:w="65" w:type="dxa"/>
            </w:tcMar>
          </w:tcPr>
          <w:p>
            <w:pPr>
              <w:pStyle w:val="TableText"/>
              <w:keepNext w:val="0"/>
              <w:widowControl/>
              <w:jc w:val="left"/>
            </w:pPr>
            <w:r>
              <w:rPr>
                <w:b w:val="0"/>
                <w:sz w:val="18"/>
              </w:rPr>
              <w:t>R064</w:t>
            </w:r>
          </w:p>
        </w:tc>
        <w:tc>
          <w:tcPr>
            <w:tcW w:type="dxa" w:w="1984"/>
            <w:vAlign w:val="center"/>
            <w:tcMar>
              <w:top w:w="65" w:type="dxa"/>
              <w:left w:w="65" w:type="dxa"/>
              <w:bottom w:w="65" w:type="dxa"/>
              <w:right w:w="65" w:type="dxa"/>
            </w:tcMar>
          </w:tcPr>
          <w:p>
            <w:pPr>
              <w:pStyle w:val="TableText"/>
              <w:keepNext w:val="0"/>
              <w:widowControl/>
              <w:jc w:val="left"/>
            </w:pPr>
            <w:r>
              <w:rPr>
                <w:b w:val="0"/>
                <w:sz w:val="18"/>
              </w:rPr>
              <w:t>−.945</w:t>
            </w:r>
          </w:p>
        </w:tc>
        <w:tc>
          <w:tcPr>
            <w:tcW w:type="dxa" w:w="1984"/>
            <w:vAlign w:val="center"/>
            <w:tcMar>
              <w:top w:w="65" w:type="dxa"/>
              <w:left w:w="65" w:type="dxa"/>
              <w:bottom w:w="65" w:type="dxa"/>
              <w:right w:w="65" w:type="dxa"/>
            </w:tcMar>
          </w:tcPr>
          <w:p>
            <w:pPr>
              <w:pStyle w:val="TableText"/>
              <w:keepNext w:val="0"/>
              <w:widowControl/>
              <w:jc w:val="left"/>
            </w:pPr>
            <w:r>
              <w:rPr>
                <w:b w:val="0"/>
                <w:sz w:val="18"/>
              </w:rPr>
              <w:t>−13.7</w:t>
            </w:r>
          </w:p>
        </w:tc>
      </w:tr>
      <w:tr>
        <w:trPr>
          <w:cantSplit/>
        </w:trPr>
        <w:tc>
          <w:tcPr>
            <w:tcW w:type="dxa" w:w="3969"/>
            <w:vAlign w:val="center"/>
            <w:tcMar>
              <w:top w:w="65" w:type="dxa"/>
              <w:left w:w="65" w:type="dxa"/>
              <w:bottom w:w="65" w:type="dxa"/>
              <w:right w:w="65" w:type="dxa"/>
            </w:tcMar>
          </w:tcPr>
          <w:p>
            <w:pPr>
              <w:pStyle w:val="TableText"/>
              <w:keepNext w:val="0"/>
              <w:widowControl/>
              <w:jc w:val="left"/>
            </w:pPr>
            <w:r>
              <w:rPr>
                <w:b w:val="0"/>
                <w:sz w:val="18"/>
              </w:rPr>
              <w:t>R085</w:t>
            </w:r>
          </w:p>
        </w:tc>
        <w:tc>
          <w:tcPr>
            <w:tcW w:type="dxa" w:w="1984"/>
            <w:vAlign w:val="center"/>
            <w:tcMar>
              <w:top w:w="65" w:type="dxa"/>
              <w:left w:w="65" w:type="dxa"/>
              <w:bottom w:w="65" w:type="dxa"/>
              <w:right w:w="65" w:type="dxa"/>
            </w:tcMar>
          </w:tcPr>
          <w:p>
            <w:pPr>
              <w:pStyle w:val="TableText"/>
              <w:keepNext w:val="0"/>
              <w:widowControl/>
              <w:jc w:val="left"/>
            </w:pPr>
            <w:r>
              <w:rPr>
                <w:b w:val="0"/>
                <w:sz w:val="18"/>
              </w:rPr>
              <w:t>−.189</w:t>
            </w:r>
          </w:p>
        </w:tc>
        <w:tc>
          <w:tcPr>
            <w:tcW w:type="dxa" w:w="1984"/>
            <w:vAlign w:val="center"/>
            <w:tcMar>
              <w:top w:w="65" w:type="dxa"/>
              <w:left w:w="65" w:type="dxa"/>
              <w:bottom w:w="65" w:type="dxa"/>
              <w:right w:w="65" w:type="dxa"/>
            </w:tcMar>
          </w:tcPr>
          <w:p>
            <w:pPr>
              <w:pStyle w:val="TableText"/>
              <w:keepNext w:val="0"/>
              <w:widowControl/>
              <w:jc w:val="left"/>
            </w:pPr>
            <w:r>
              <w:rPr>
                <w:b w:val="0"/>
                <w:sz w:val="18"/>
              </w:rPr>
              <w:t>−3.7</w:t>
            </w:r>
          </w:p>
        </w:tc>
      </w:tr>
      <w:tr>
        <w:trPr>
          <w:cantSplit/>
        </w:trPr>
        <w:tc>
          <w:tcPr>
            <w:tcW w:type="dxa" w:w="3969"/>
            <w:vAlign w:val="center"/>
            <w:tcMar>
              <w:top w:w="65" w:type="dxa"/>
              <w:left w:w="65" w:type="dxa"/>
              <w:bottom w:w="65" w:type="dxa"/>
              <w:right w:w="65" w:type="dxa"/>
            </w:tcMar>
          </w:tcPr>
          <w:p>
            <w:pPr>
              <w:pStyle w:val="TableText"/>
              <w:keepNext w:val="0"/>
              <w:widowControl/>
              <w:jc w:val="left"/>
            </w:pPr>
            <w:r>
              <w:rPr>
                <w:b w:val="0"/>
                <w:sz w:val="18"/>
              </w:rPr>
              <w:t>R133</w:t>
            </w:r>
          </w:p>
        </w:tc>
        <w:tc>
          <w:tcPr>
            <w:tcW w:type="dxa" w:w="1984"/>
            <w:vAlign w:val="center"/>
            <w:tcMar>
              <w:top w:w="65" w:type="dxa"/>
              <w:left w:w="65" w:type="dxa"/>
              <w:bottom w:w="65" w:type="dxa"/>
              <w:right w:w="65" w:type="dxa"/>
            </w:tcMar>
          </w:tcPr>
          <w:p>
            <w:pPr>
              <w:pStyle w:val="TableText"/>
              <w:keepNext w:val="0"/>
              <w:widowControl/>
              <w:jc w:val="left"/>
            </w:pPr>
            <w:r>
              <w:rPr>
                <w:b w:val="0"/>
                <w:sz w:val="18"/>
              </w:rPr>
              <w:t>−.097</w:t>
            </w:r>
          </w:p>
        </w:tc>
        <w:tc>
          <w:tcPr>
            <w:tcW w:type="dxa" w:w="1984"/>
            <w:vAlign w:val="center"/>
            <w:tcMar>
              <w:top w:w="65" w:type="dxa"/>
              <w:left w:w="65" w:type="dxa"/>
              <w:bottom w:w="65" w:type="dxa"/>
              <w:right w:w="65" w:type="dxa"/>
            </w:tcMar>
          </w:tcPr>
          <w:p>
            <w:pPr>
              <w:pStyle w:val="TableText"/>
              <w:keepNext w:val="0"/>
              <w:widowControl/>
              <w:jc w:val="left"/>
            </w:pPr>
            <w:r>
              <w:rPr>
                <w:b w:val="0"/>
                <w:sz w:val="18"/>
              </w:rPr>
              <w:t>−2.2</w:t>
            </w:r>
          </w:p>
        </w:tc>
      </w:tr>
      <w:tr>
        <w:trPr>
          <w:cantSplit/>
        </w:trPr>
        <w:tc>
          <w:tcPr>
            <w:tcW w:type="dxa" w:w="3969"/>
            <w:vAlign w:val="center"/>
            <w:tcMar>
              <w:top w:w="65" w:type="dxa"/>
              <w:left w:w="65" w:type="dxa"/>
              <w:bottom w:w="65" w:type="dxa"/>
              <w:right w:w="65" w:type="dxa"/>
            </w:tcMar>
          </w:tcPr>
          <w:p>
            <w:pPr>
              <w:pStyle w:val="TableText"/>
              <w:keepNext w:val="0"/>
              <w:widowControl/>
              <w:jc w:val="left"/>
            </w:pPr>
            <w:r>
              <w:rPr>
                <w:b w:val="0"/>
                <w:sz w:val="18"/>
              </w:rPr>
              <w:t>R157</w:t>
            </w:r>
          </w:p>
        </w:tc>
        <w:tc>
          <w:tcPr>
            <w:tcW w:type="dxa" w:w="1984"/>
            <w:vAlign w:val="center"/>
            <w:tcMar>
              <w:top w:w="65" w:type="dxa"/>
              <w:left w:w="65" w:type="dxa"/>
              <w:bottom w:w="65" w:type="dxa"/>
              <w:right w:w="65" w:type="dxa"/>
            </w:tcMar>
          </w:tcPr>
          <w:p>
            <w:pPr>
              <w:pStyle w:val="TableText"/>
              <w:keepNext w:val="0"/>
              <w:widowControl/>
              <w:jc w:val="left"/>
            </w:pPr>
            <w:r>
              <w:rPr>
                <w:b w:val="0"/>
                <w:sz w:val="18"/>
              </w:rPr>
              <w:t>−.195</w:t>
            </w:r>
          </w:p>
        </w:tc>
        <w:tc>
          <w:tcPr>
            <w:tcW w:type="dxa" w:w="1984"/>
            <w:vAlign w:val="center"/>
            <w:tcMar>
              <w:top w:w="65" w:type="dxa"/>
              <w:left w:w="65" w:type="dxa"/>
              <w:bottom w:w="65" w:type="dxa"/>
              <w:right w:w="65" w:type="dxa"/>
            </w:tcMar>
          </w:tcPr>
          <w:p>
            <w:pPr>
              <w:pStyle w:val="TableText"/>
              <w:keepNext w:val="0"/>
              <w:widowControl/>
              <w:jc w:val="left"/>
            </w:pPr>
            <w:r>
              <w:rPr>
                <w:b w:val="0"/>
                <w:sz w:val="18"/>
              </w:rPr>
              <w:t>−4.3</w:t>
            </w:r>
          </w:p>
        </w:tc>
      </w:tr>
      <w:tr>
        <w:trPr>
          <w:cantSplit/>
        </w:trPr>
        <w:tc>
          <w:tcPr>
            <w:tcW w:type="dxa" w:w="3969"/>
            <w:vAlign w:val="center"/>
            <w:tcMar>
              <w:top w:w="65" w:type="dxa"/>
              <w:left w:w="65" w:type="dxa"/>
              <w:bottom w:w="65" w:type="dxa"/>
              <w:right w:w="65" w:type="dxa"/>
            </w:tcMar>
          </w:tcPr>
          <w:p>
            <w:pPr>
              <w:pStyle w:val="TableText"/>
              <w:keepNext w:val="0"/>
              <w:widowControl/>
              <w:jc w:val="left"/>
            </w:pPr>
            <w:r>
              <w:rPr>
                <w:b w:val="0"/>
                <w:sz w:val="18"/>
              </w:rPr>
              <w:t>R182</w:t>
            </w:r>
          </w:p>
        </w:tc>
        <w:tc>
          <w:tcPr>
            <w:tcW w:type="dxa" w:w="1984"/>
            <w:vAlign w:val="center"/>
            <w:tcMar>
              <w:top w:w="65" w:type="dxa"/>
              <w:left w:w="65" w:type="dxa"/>
              <w:bottom w:w="65" w:type="dxa"/>
              <w:right w:w="65" w:type="dxa"/>
            </w:tcMar>
          </w:tcPr>
          <w:p>
            <w:pPr>
              <w:pStyle w:val="TableText"/>
              <w:keepNext w:val="0"/>
              <w:widowControl/>
              <w:jc w:val="left"/>
            </w:pPr>
            <w:r>
              <w:rPr>
                <w:b w:val="0"/>
                <w:sz w:val="18"/>
              </w:rPr>
              <w:t>−.001</w:t>
            </w:r>
          </w:p>
        </w:tc>
        <w:tc>
          <w:tcPr>
            <w:tcW w:type="dxa" w:w="1984"/>
            <w:vAlign w:val="center"/>
            <w:tcMar>
              <w:top w:w="65" w:type="dxa"/>
              <w:left w:w="65" w:type="dxa"/>
              <w:bottom w:w="65" w:type="dxa"/>
              <w:right w:w="65" w:type="dxa"/>
            </w:tcMar>
          </w:tcPr>
          <w:p>
            <w:pPr>
              <w:pStyle w:val="TableText"/>
              <w:keepNext w:val="0"/>
              <w:widowControl/>
              <w:jc w:val="left"/>
            </w:pPr>
            <w:r>
              <w:rPr>
                <w:b w:val="0"/>
                <w:sz w:val="18"/>
              </w:rPr>
              <w:t>−0.0</w:t>
            </w:r>
          </w:p>
        </w:tc>
      </w:tr>
      <w:tr>
        <w:trPr>
          <w:cantSplit/>
        </w:trPr>
        <w:tc>
          <w:tcPr>
            <w:tcW w:type="dxa" w:w="3969"/>
            <w:vAlign w:val="center"/>
            <w:tcMar>
              <w:top w:w="65" w:type="dxa"/>
              <w:left w:w="65" w:type="dxa"/>
              <w:bottom w:w="65" w:type="dxa"/>
              <w:right w:w="65" w:type="dxa"/>
            </w:tcMar>
          </w:tcPr>
          <w:p>
            <w:pPr>
              <w:pStyle w:val="TableText"/>
              <w:keepNext w:val="0"/>
              <w:widowControl/>
              <w:jc w:val="left"/>
            </w:pPr>
            <w:r>
              <w:rPr>
                <w:b w:val="0"/>
                <w:sz w:val="18"/>
              </w:rPr>
              <w:t>업종 평균등급</w:t>
            </w:r>
          </w:p>
        </w:tc>
        <w:tc>
          <w:tcPr>
            <w:tcW w:type="dxa" w:w="1984"/>
            <w:vAlign w:val="center"/>
            <w:tcMar>
              <w:top w:w="65" w:type="dxa"/>
              <w:left w:w="65" w:type="dxa"/>
              <w:bottom w:w="65" w:type="dxa"/>
              <w:right w:w="65" w:type="dxa"/>
            </w:tcMar>
          </w:tcPr>
          <w:p>
            <w:pPr>
              <w:pStyle w:val="TableText"/>
              <w:keepNext w:val="0"/>
              <w:widowControl/>
              <w:jc w:val="left"/>
            </w:pPr>
            <w:r>
              <w:rPr>
                <w:b w:val="0"/>
                <w:sz w:val="18"/>
              </w:rPr>
              <w:t>+.334</w:t>
            </w:r>
          </w:p>
        </w:tc>
        <w:tc>
          <w:tcPr>
            <w:tcW w:type="dxa" w:w="1984"/>
            <w:vAlign w:val="center"/>
            <w:tcMar>
              <w:top w:w="65" w:type="dxa"/>
              <w:left w:w="65" w:type="dxa"/>
              <w:bottom w:w="65" w:type="dxa"/>
              <w:right w:w="65" w:type="dxa"/>
            </w:tcMar>
          </w:tcPr>
          <w:p>
            <w:pPr>
              <w:pStyle w:val="TableText"/>
              <w:keepNext w:val="0"/>
              <w:widowControl/>
              <w:jc w:val="left"/>
            </w:pPr>
            <w:r>
              <w:rPr>
                <w:b w:val="0"/>
                <w:sz w:val="18"/>
              </w:rPr>
              <w:t>+7.8</w:t>
            </w:r>
          </w:p>
        </w:tc>
      </w:tr>
      <w:tr>
        <w:trPr>
          <w:cantSplit/>
        </w:trPr>
        <w:tc>
          <w:tcPr>
            <w:tcW w:type="dxa" w:w="3969"/>
            <w:vAlign w:val="center"/>
            <w:tcMar>
              <w:top w:w="65" w:type="dxa"/>
              <w:left w:w="65" w:type="dxa"/>
              <w:bottom w:w="65" w:type="dxa"/>
              <w:right w:w="65" w:type="dxa"/>
            </w:tcMar>
          </w:tcPr>
          <w:p>
            <w:pPr>
              <w:pStyle w:val="TableText"/>
              <w:keepNext w:val="0"/>
              <w:widowControl/>
              <w:jc w:val="left"/>
            </w:pPr>
            <w:r>
              <w:rPr>
                <w:b w:val="0"/>
                <w:sz w:val="18"/>
              </w:rPr>
              <w:t>자본금 변동 횟수</w:t>
            </w:r>
          </w:p>
        </w:tc>
        <w:tc>
          <w:tcPr>
            <w:tcW w:type="dxa" w:w="1984"/>
            <w:vAlign w:val="center"/>
            <w:tcMar>
              <w:top w:w="65" w:type="dxa"/>
              <w:left w:w="65" w:type="dxa"/>
              <w:bottom w:w="65" w:type="dxa"/>
              <w:right w:w="65" w:type="dxa"/>
            </w:tcMar>
          </w:tcPr>
          <w:p>
            <w:pPr>
              <w:pStyle w:val="TableText"/>
              <w:keepNext w:val="0"/>
              <w:widowControl/>
              <w:jc w:val="left"/>
            </w:pPr>
            <w:r>
              <w:rPr>
                <w:b w:val="0"/>
                <w:sz w:val="18"/>
              </w:rPr>
              <w:t>+.178</w:t>
            </w:r>
          </w:p>
        </w:tc>
        <w:tc>
          <w:tcPr>
            <w:tcW w:type="dxa" w:w="1984"/>
            <w:vAlign w:val="center"/>
            <w:tcMar>
              <w:top w:w="65" w:type="dxa"/>
              <w:left w:w="65" w:type="dxa"/>
              <w:bottom w:w="65" w:type="dxa"/>
              <w:right w:w="65" w:type="dxa"/>
            </w:tcMar>
          </w:tcPr>
          <w:p>
            <w:pPr>
              <w:pStyle w:val="TableText"/>
              <w:keepNext w:val="0"/>
              <w:widowControl/>
              <w:jc w:val="left"/>
            </w:pPr>
            <w:r>
              <w:rPr>
                <w:b w:val="0"/>
                <w:sz w:val="18"/>
              </w:rPr>
              <w:t>+3.6</w:t>
            </w:r>
          </w:p>
        </w:tc>
      </w:tr>
      <w:tr>
        <w:trPr>
          <w:cantSplit/>
        </w:trPr>
        <w:tc>
          <w:tcPr>
            <w:tcW w:type="dxa" w:w="3969"/>
            <w:vAlign w:val="center"/>
            <w:tcMar>
              <w:top w:w="65" w:type="dxa"/>
              <w:left w:w="65" w:type="dxa"/>
              <w:bottom w:w="65" w:type="dxa"/>
              <w:right w:w="65" w:type="dxa"/>
            </w:tcMar>
          </w:tcPr>
          <w:p>
            <w:pPr>
              <w:pStyle w:val="TableText"/>
              <w:keepNext w:val="0"/>
              <w:widowControl/>
              <w:jc w:val="left"/>
            </w:pPr>
            <w:r>
              <w:rPr>
                <w:b w:val="0"/>
                <w:sz w:val="18"/>
              </w:rPr>
              <w:t>ln(총자산)</w:t>
            </w:r>
          </w:p>
        </w:tc>
        <w:tc>
          <w:tcPr>
            <w:tcW w:type="dxa" w:w="1984"/>
            <w:vAlign w:val="center"/>
            <w:tcMar>
              <w:top w:w="65" w:type="dxa"/>
              <w:left w:w="65" w:type="dxa"/>
              <w:bottom w:w="65" w:type="dxa"/>
              <w:right w:w="65" w:type="dxa"/>
            </w:tcMar>
          </w:tcPr>
          <w:p>
            <w:pPr>
              <w:pStyle w:val="TableText"/>
              <w:keepNext w:val="0"/>
              <w:widowControl/>
              <w:jc w:val="left"/>
            </w:pPr>
            <w:r>
              <w:rPr>
                <w:b w:val="0"/>
                <w:sz w:val="18"/>
              </w:rPr>
              <w:t>−.942</w:t>
            </w:r>
          </w:p>
        </w:tc>
        <w:tc>
          <w:tcPr>
            <w:tcW w:type="dxa" w:w="1984"/>
            <w:vAlign w:val="center"/>
            <w:tcMar>
              <w:top w:w="65" w:type="dxa"/>
              <w:left w:w="65" w:type="dxa"/>
              <w:bottom w:w="65" w:type="dxa"/>
              <w:right w:w="65" w:type="dxa"/>
            </w:tcMar>
          </w:tcPr>
          <w:p>
            <w:pPr>
              <w:pStyle w:val="TableText"/>
              <w:keepNext w:val="0"/>
              <w:widowControl/>
              <w:jc w:val="left"/>
            </w:pPr>
            <w:r>
              <w:rPr>
                <w:b w:val="0"/>
                <w:sz w:val="18"/>
              </w:rPr>
              <w:t>−18.8</w:t>
            </w:r>
          </w:p>
        </w:tc>
      </w:tr>
      <w:tr>
        <w:trPr>
          <w:cantSplit/>
        </w:trPr>
        <w:tc>
          <w:tcPr>
            <w:tcW w:type="dxa" w:w="3969"/>
            <w:vAlign w:val="center"/>
            <w:tcMar>
              <w:top w:w="65" w:type="dxa"/>
              <w:left w:w="65" w:type="dxa"/>
              <w:bottom w:w="65" w:type="dxa"/>
              <w:right w:w="65" w:type="dxa"/>
            </w:tcMar>
          </w:tcPr>
          <w:p>
            <w:pPr>
              <w:pStyle w:val="TableText"/>
              <w:keepNext w:val="0"/>
              <w:widowControl/>
              <w:jc w:val="left"/>
            </w:pPr>
            <w:r>
              <w:rPr>
                <w:b w:val="0"/>
                <w:sz w:val="18"/>
              </w:rPr>
              <w:t>영업손실 빈도</w:t>
            </w:r>
          </w:p>
        </w:tc>
        <w:tc>
          <w:tcPr>
            <w:tcW w:type="dxa" w:w="1984"/>
            <w:vAlign w:val="center"/>
            <w:tcMar>
              <w:top w:w="65" w:type="dxa"/>
              <w:left w:w="65" w:type="dxa"/>
              <w:bottom w:w="65" w:type="dxa"/>
              <w:right w:w="65" w:type="dxa"/>
            </w:tcMar>
          </w:tcPr>
          <w:p>
            <w:pPr>
              <w:pStyle w:val="TableText"/>
              <w:keepNext w:val="0"/>
              <w:widowControl/>
              <w:jc w:val="left"/>
            </w:pPr>
            <w:r>
              <w:rPr>
                <w:b w:val="0"/>
                <w:sz w:val="18"/>
              </w:rPr>
              <w:t>+.394</w:t>
            </w:r>
          </w:p>
        </w:tc>
        <w:tc>
          <w:tcPr>
            <w:tcW w:type="dxa" w:w="1984"/>
            <w:vAlign w:val="center"/>
            <w:tcMar>
              <w:top w:w="65" w:type="dxa"/>
              <w:left w:w="65" w:type="dxa"/>
              <w:bottom w:w="65" w:type="dxa"/>
              <w:right w:w="65" w:type="dxa"/>
            </w:tcMar>
          </w:tcPr>
          <w:p>
            <w:pPr>
              <w:pStyle w:val="TableText"/>
              <w:keepNext w:val="0"/>
              <w:widowControl/>
              <w:jc w:val="left"/>
            </w:pPr>
            <w:r>
              <w:rPr>
                <w:b w:val="0"/>
                <w:sz w:val="18"/>
              </w:rPr>
              <w:t>+8.1</w:t>
            </w:r>
          </w:p>
        </w:tc>
      </w:tr>
      <w:tr>
        <w:trPr>
          <w:cantSplit/>
        </w:trPr>
        <w:tc>
          <w:tcPr>
            <w:tcW w:type="dxa" w:w="3969"/>
            <w:vAlign w:val="center"/>
            <w:tcMar>
              <w:top w:w="65" w:type="dxa"/>
              <w:left w:w="65" w:type="dxa"/>
              <w:bottom w:w="65" w:type="dxa"/>
              <w:right w:w="65" w:type="dxa"/>
            </w:tcMar>
          </w:tcPr>
          <w:p>
            <w:pPr>
              <w:pStyle w:val="TableText"/>
              <w:keepNext w:val="0"/>
              <w:widowControl/>
              <w:jc w:val="left"/>
            </w:pPr>
            <w:r>
              <w:rPr>
                <w:b w:val="0"/>
                <w:sz w:val="18"/>
              </w:rPr>
              <w:t>결측률</w:t>
            </w:r>
          </w:p>
        </w:tc>
        <w:tc>
          <w:tcPr>
            <w:tcW w:type="dxa" w:w="1984"/>
            <w:vAlign w:val="center"/>
            <w:tcMar>
              <w:top w:w="65" w:type="dxa"/>
              <w:left w:w="65" w:type="dxa"/>
              <w:bottom w:w="65" w:type="dxa"/>
              <w:right w:w="65" w:type="dxa"/>
            </w:tcMar>
          </w:tcPr>
          <w:p>
            <w:pPr>
              <w:pStyle w:val="TableText"/>
              <w:keepNext w:val="0"/>
              <w:widowControl/>
              <w:jc w:val="left"/>
            </w:pPr>
            <w:r>
              <w:rPr>
                <w:b w:val="0"/>
                <w:sz w:val="18"/>
              </w:rPr>
              <w:t>−.073</w:t>
            </w:r>
          </w:p>
        </w:tc>
        <w:tc>
          <w:tcPr>
            <w:tcW w:type="dxa" w:w="1984"/>
            <w:vAlign w:val="center"/>
            <w:tcMar>
              <w:top w:w="65" w:type="dxa"/>
              <w:left w:w="65" w:type="dxa"/>
              <w:bottom w:w="65" w:type="dxa"/>
              <w:right w:w="65" w:type="dxa"/>
            </w:tcMar>
          </w:tcPr>
          <w:p>
            <w:pPr>
              <w:pStyle w:val="TableText"/>
              <w:keepNext w:val="0"/>
              <w:widowControl/>
              <w:jc w:val="left"/>
            </w:pPr>
            <w:r>
              <w:rPr>
                <w:b w:val="0"/>
                <w:sz w:val="18"/>
              </w:rPr>
              <w:t>−1.7</w:t>
            </w:r>
          </w:p>
        </w:tc>
      </w:tr>
    </w:tbl>
    <w:p>
      <w:pPr>
        <w:pStyle w:val="SourceNote"/>
        <w:widowControl/>
      </w:pPr>
      <w:r>
        <w:t>자료: 개발 단계 분석기록 표 B-2. 순서형 종속변수의 등급 부호와 연계되는 계수이므로 부호만으로 현재의 정책효과를 판단하지 않는다.</w:t>
      </w:r>
    </w:p>
    <w:p>
      <w:bookmarkStart w:id="213" w:name="cap_64"/>
      <w:pPr>
        <w:pStyle w:val="af"/>
        <w:widowControl/>
      </w:pPr>
      <w:r>
        <w:t>표 B-4. 개발 단계 실제 등급 대비 예측성능</w:t>
      </w:r>
      <w:bookmarkEnd w:id="213"/>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1701"/>
        <w:gridCol w:w="907"/>
        <w:gridCol w:w="1417"/>
        <w:gridCol w:w="1417"/>
        <w:gridCol w:w="1247"/>
        <w:gridCol w:w="1247"/>
      </w:tblGrid>
      <w:tr>
        <w:trPr>
          <w:cantSplit/>
          <w:tblHeader/>
        </w:trPr>
        <w:tc>
          <w:tcPr>
            <w:tcW w:type="dxa" w:w="1701"/>
            <w:vAlign w:val="center"/>
            <w:shd w:fill="F1F1F1"/>
            <w:tcMar>
              <w:top w:w="65" w:type="dxa"/>
              <w:left w:w="65" w:type="dxa"/>
              <w:bottom w:w="65" w:type="dxa"/>
              <w:right w:w="65" w:type="dxa"/>
            </w:tcMar>
          </w:tcPr>
          <w:p>
            <w:pPr>
              <w:pStyle w:val="TableText"/>
              <w:keepNext/>
              <w:widowControl/>
              <w:jc w:val="center"/>
            </w:pPr>
            <w:r>
              <w:rPr>
                <w:b/>
                <w:sz w:val="17"/>
              </w:rPr>
              <w:t>Oracle·기간</w:t>
            </w:r>
          </w:p>
        </w:tc>
        <w:tc>
          <w:tcPr>
            <w:tcW w:type="dxa" w:w="907"/>
            <w:vAlign w:val="center"/>
            <w:shd w:fill="F1F1F1"/>
            <w:tcMar>
              <w:top w:w="65" w:type="dxa"/>
              <w:left w:w="65" w:type="dxa"/>
              <w:bottom w:w="65" w:type="dxa"/>
              <w:right w:w="65" w:type="dxa"/>
            </w:tcMar>
          </w:tcPr>
          <w:p>
            <w:pPr>
              <w:pStyle w:val="TableText"/>
              <w:keepNext/>
              <w:widowControl/>
              <w:jc w:val="center"/>
            </w:pPr>
            <w:r>
              <w:rPr>
                <w:b/>
                <w:sz w:val="17"/>
              </w:rPr>
              <w:t>N</w:t>
            </w:r>
          </w:p>
        </w:tc>
        <w:tc>
          <w:tcPr>
            <w:tcW w:type="dxa" w:w="1417"/>
            <w:vAlign w:val="center"/>
            <w:shd w:fill="F1F1F1"/>
            <w:tcMar>
              <w:top w:w="65" w:type="dxa"/>
              <w:left w:w="65" w:type="dxa"/>
              <w:bottom w:w="65" w:type="dxa"/>
              <w:right w:w="65" w:type="dxa"/>
            </w:tcMar>
          </w:tcPr>
          <w:p>
            <w:pPr>
              <w:pStyle w:val="TableText"/>
              <w:keepNext/>
              <w:widowControl/>
              <w:jc w:val="center"/>
            </w:pPr>
            <w:r>
              <w:rPr>
                <w:b/>
                <w:sz w:val="17"/>
              </w:rPr>
              <w:t>정확일치</w:t>
            </w:r>
          </w:p>
        </w:tc>
        <w:tc>
          <w:tcPr>
            <w:tcW w:type="dxa" w:w="1417"/>
            <w:vAlign w:val="center"/>
            <w:shd w:fill="F1F1F1"/>
            <w:tcMar>
              <w:top w:w="65" w:type="dxa"/>
              <w:left w:w="65" w:type="dxa"/>
              <w:bottom w:w="65" w:type="dxa"/>
              <w:right w:w="65" w:type="dxa"/>
            </w:tcMar>
          </w:tcPr>
          <w:p>
            <w:pPr>
              <w:pStyle w:val="TableText"/>
              <w:keepNext/>
              <w:widowControl/>
              <w:jc w:val="center"/>
            </w:pPr>
            <w:r>
              <w:rPr>
                <w:b/>
                <w:sz w:val="17"/>
              </w:rPr>
              <w:t>Within-1</w:t>
            </w:r>
          </w:p>
        </w:tc>
        <w:tc>
          <w:tcPr>
            <w:tcW w:type="dxa" w:w="1247"/>
            <w:vAlign w:val="center"/>
            <w:shd w:fill="F1F1F1"/>
            <w:tcMar>
              <w:top w:w="65" w:type="dxa"/>
              <w:left w:w="65" w:type="dxa"/>
              <w:bottom w:w="65" w:type="dxa"/>
              <w:right w:w="65" w:type="dxa"/>
            </w:tcMar>
          </w:tcPr>
          <w:p>
            <w:pPr>
              <w:pStyle w:val="TableText"/>
              <w:keepNext/>
              <w:widowControl/>
              <w:jc w:val="center"/>
            </w:pPr>
            <w:r>
              <w:rPr>
                <w:b/>
                <w:sz w:val="17"/>
              </w:rPr>
              <w:t>MAE</w:t>
            </w:r>
          </w:p>
        </w:tc>
        <w:tc>
          <w:tcPr>
            <w:tcW w:type="dxa" w:w="1247"/>
            <w:vAlign w:val="center"/>
            <w:shd w:fill="F1F1F1"/>
            <w:tcMar>
              <w:top w:w="65" w:type="dxa"/>
              <w:left w:w="65" w:type="dxa"/>
              <w:bottom w:w="65" w:type="dxa"/>
              <w:right w:w="65" w:type="dxa"/>
            </w:tcMar>
          </w:tcPr>
          <w:p>
            <w:pPr>
              <w:pStyle w:val="TableText"/>
              <w:keepNext/>
              <w:widowControl/>
              <w:jc w:val="center"/>
            </w:pPr>
            <w:r>
              <w:rPr>
                <w:b/>
                <w:sz w:val="17"/>
              </w:rPr>
              <w:t>|ρ|</w:t>
            </w:r>
          </w:p>
        </w:tc>
      </w:tr>
      <w:tr>
        <w:trPr>
          <w:cantSplit/>
        </w:trPr>
        <w:tc>
          <w:tcPr>
            <w:tcW w:type="dxa" w:w="1701"/>
            <w:vAlign w:val="center"/>
            <w:tcMar>
              <w:top w:w="65" w:type="dxa"/>
              <w:left w:w="65" w:type="dxa"/>
              <w:bottom w:w="65" w:type="dxa"/>
              <w:right w:w="65" w:type="dxa"/>
            </w:tcMar>
          </w:tcPr>
          <w:p>
            <w:pPr>
              <w:pStyle w:val="TableText"/>
              <w:keepNext/>
              <w:widowControl/>
              <w:jc w:val="left"/>
            </w:pPr>
            <w:r>
              <w:rPr>
                <w:b w:val="0"/>
                <w:sz w:val="17"/>
              </w:rPr>
              <w:t>α DEV</w:t>
            </w:r>
          </w:p>
        </w:tc>
        <w:tc>
          <w:tcPr>
            <w:tcW w:type="dxa" w:w="907"/>
            <w:vAlign w:val="center"/>
            <w:tcMar>
              <w:top w:w="65" w:type="dxa"/>
              <w:left w:w="65" w:type="dxa"/>
              <w:bottom w:w="65" w:type="dxa"/>
              <w:right w:w="65" w:type="dxa"/>
            </w:tcMar>
          </w:tcPr>
          <w:p>
            <w:pPr>
              <w:pStyle w:val="TableText"/>
              <w:keepNext/>
              <w:widowControl/>
              <w:jc w:val="left"/>
            </w:pPr>
            <w:r>
              <w:rPr>
                <w:b w:val="0"/>
                <w:sz w:val="17"/>
              </w:rPr>
              <w:t>2032</w:t>
            </w:r>
          </w:p>
        </w:tc>
        <w:tc>
          <w:tcPr>
            <w:tcW w:type="dxa" w:w="1417"/>
            <w:vAlign w:val="center"/>
            <w:tcMar>
              <w:top w:w="65" w:type="dxa"/>
              <w:left w:w="65" w:type="dxa"/>
              <w:bottom w:w="65" w:type="dxa"/>
              <w:right w:w="65" w:type="dxa"/>
            </w:tcMar>
          </w:tcPr>
          <w:p>
            <w:pPr>
              <w:pStyle w:val="TableText"/>
              <w:keepNext/>
              <w:widowControl/>
              <w:jc w:val="left"/>
            </w:pPr>
            <w:r>
              <w:rPr>
                <w:b w:val="0"/>
                <w:sz w:val="17"/>
              </w:rPr>
              <w:t>.470</w:t>
            </w:r>
          </w:p>
        </w:tc>
        <w:tc>
          <w:tcPr>
            <w:tcW w:type="dxa" w:w="1417"/>
            <w:vAlign w:val="center"/>
            <w:tcMar>
              <w:top w:w="65" w:type="dxa"/>
              <w:left w:w="65" w:type="dxa"/>
              <w:bottom w:w="65" w:type="dxa"/>
              <w:right w:w="65" w:type="dxa"/>
            </w:tcMar>
          </w:tcPr>
          <w:p>
            <w:pPr>
              <w:pStyle w:val="TableText"/>
              <w:keepNext/>
              <w:widowControl/>
              <w:jc w:val="left"/>
            </w:pPr>
            <w:r>
              <w:rPr>
                <w:b w:val="0"/>
                <w:sz w:val="17"/>
              </w:rPr>
              <w:t>.911</w:t>
            </w:r>
          </w:p>
        </w:tc>
        <w:tc>
          <w:tcPr>
            <w:tcW w:type="dxa" w:w="1247"/>
            <w:vAlign w:val="center"/>
            <w:tcMar>
              <w:top w:w="65" w:type="dxa"/>
              <w:left w:w="65" w:type="dxa"/>
              <w:bottom w:w="65" w:type="dxa"/>
              <w:right w:w="65" w:type="dxa"/>
            </w:tcMar>
          </w:tcPr>
          <w:p>
            <w:pPr>
              <w:pStyle w:val="TableText"/>
              <w:keepNext/>
              <w:widowControl/>
              <w:jc w:val="left"/>
            </w:pPr>
            <w:r>
              <w:rPr>
                <w:b w:val="0"/>
                <w:sz w:val="17"/>
              </w:rPr>
              <w:t>.656</w:t>
            </w:r>
          </w:p>
        </w:tc>
        <w:tc>
          <w:tcPr>
            <w:tcW w:type="dxa" w:w="1247"/>
            <w:vAlign w:val="center"/>
            <w:tcMar>
              <w:top w:w="65" w:type="dxa"/>
              <w:left w:w="65" w:type="dxa"/>
              <w:bottom w:w="65" w:type="dxa"/>
              <w:right w:w="65" w:type="dxa"/>
            </w:tcMar>
          </w:tcPr>
          <w:p>
            <w:pPr>
              <w:pStyle w:val="TableText"/>
              <w:keepNext/>
              <w:widowControl/>
              <w:jc w:val="left"/>
            </w:pPr>
            <w:r>
              <w:rPr>
                <w:b w:val="0"/>
                <w:sz w:val="17"/>
              </w:rPr>
              <w:t>.662</w:t>
            </w:r>
          </w:p>
        </w:tc>
      </w:tr>
      <w:tr>
        <w:trPr>
          <w:cantSplit/>
        </w:trPr>
        <w:tc>
          <w:tcPr>
            <w:tcW w:type="dxa" w:w="1701"/>
            <w:vAlign w:val="center"/>
            <w:tcMar>
              <w:top w:w="65" w:type="dxa"/>
              <w:left w:w="65" w:type="dxa"/>
              <w:bottom w:w="65" w:type="dxa"/>
              <w:right w:w="65" w:type="dxa"/>
            </w:tcMar>
          </w:tcPr>
          <w:p>
            <w:pPr>
              <w:pStyle w:val="TableText"/>
              <w:keepNext w:val="0"/>
              <w:widowControl/>
              <w:jc w:val="left"/>
            </w:pPr>
            <w:r>
              <w:rPr>
                <w:b w:val="0"/>
                <w:sz w:val="17"/>
              </w:rPr>
              <w:t>α OOT</w:t>
            </w:r>
          </w:p>
        </w:tc>
        <w:tc>
          <w:tcPr>
            <w:tcW w:type="dxa" w:w="907"/>
            <w:vAlign w:val="center"/>
            <w:tcMar>
              <w:top w:w="65" w:type="dxa"/>
              <w:left w:w="65" w:type="dxa"/>
              <w:bottom w:w="65" w:type="dxa"/>
              <w:right w:w="65" w:type="dxa"/>
            </w:tcMar>
          </w:tcPr>
          <w:p>
            <w:pPr>
              <w:pStyle w:val="TableText"/>
              <w:keepNext w:val="0"/>
              <w:widowControl/>
              <w:jc w:val="left"/>
            </w:pPr>
            <w:r>
              <w:rPr>
                <w:b w:val="0"/>
                <w:sz w:val="17"/>
              </w:rPr>
              <w:t>1790</w:t>
            </w:r>
          </w:p>
        </w:tc>
        <w:tc>
          <w:tcPr>
            <w:tcW w:type="dxa" w:w="1417"/>
            <w:vAlign w:val="center"/>
            <w:tcMar>
              <w:top w:w="65" w:type="dxa"/>
              <w:left w:w="65" w:type="dxa"/>
              <w:bottom w:w="65" w:type="dxa"/>
              <w:right w:w="65" w:type="dxa"/>
            </w:tcMar>
          </w:tcPr>
          <w:p>
            <w:pPr>
              <w:pStyle w:val="TableText"/>
              <w:keepNext w:val="0"/>
              <w:widowControl/>
              <w:jc w:val="left"/>
            </w:pPr>
            <w:r>
              <w:rPr>
                <w:b w:val="0"/>
                <w:sz w:val="17"/>
              </w:rPr>
              <w:t>.482</w:t>
            </w:r>
          </w:p>
        </w:tc>
        <w:tc>
          <w:tcPr>
            <w:tcW w:type="dxa" w:w="1417"/>
            <w:vAlign w:val="center"/>
            <w:tcMar>
              <w:top w:w="65" w:type="dxa"/>
              <w:left w:w="65" w:type="dxa"/>
              <w:bottom w:w="65" w:type="dxa"/>
              <w:right w:w="65" w:type="dxa"/>
            </w:tcMar>
          </w:tcPr>
          <w:p>
            <w:pPr>
              <w:pStyle w:val="TableText"/>
              <w:keepNext w:val="0"/>
              <w:widowControl/>
              <w:jc w:val="left"/>
            </w:pPr>
            <w:r>
              <w:rPr>
                <w:b w:val="0"/>
                <w:sz w:val="17"/>
              </w:rPr>
              <w:t>.921</w:t>
            </w:r>
          </w:p>
        </w:tc>
        <w:tc>
          <w:tcPr>
            <w:tcW w:type="dxa" w:w="1247"/>
            <w:vAlign w:val="center"/>
            <w:tcMar>
              <w:top w:w="65" w:type="dxa"/>
              <w:left w:w="65" w:type="dxa"/>
              <w:bottom w:w="65" w:type="dxa"/>
              <w:right w:w="65" w:type="dxa"/>
            </w:tcMar>
          </w:tcPr>
          <w:p>
            <w:pPr>
              <w:pStyle w:val="TableText"/>
              <w:keepNext w:val="0"/>
              <w:widowControl/>
              <w:jc w:val="left"/>
            </w:pPr>
            <w:r>
              <w:rPr>
                <w:b w:val="0"/>
                <w:sz w:val="17"/>
              </w:rPr>
              <w:t>.634</w:t>
            </w:r>
          </w:p>
        </w:tc>
        <w:tc>
          <w:tcPr>
            <w:tcW w:type="dxa" w:w="1247"/>
            <w:vAlign w:val="center"/>
            <w:tcMar>
              <w:top w:w="65" w:type="dxa"/>
              <w:left w:w="65" w:type="dxa"/>
              <w:bottom w:w="65" w:type="dxa"/>
              <w:right w:w="65" w:type="dxa"/>
            </w:tcMar>
          </w:tcPr>
          <w:p>
            <w:pPr>
              <w:pStyle w:val="TableText"/>
              <w:keepNext w:val="0"/>
              <w:widowControl/>
              <w:jc w:val="left"/>
            </w:pPr>
            <w:r>
              <w:rPr>
                <w:b w:val="0"/>
                <w:sz w:val="17"/>
              </w:rPr>
              <w:t>.699</w:t>
            </w:r>
          </w:p>
        </w:tc>
      </w:tr>
      <w:tr>
        <w:trPr>
          <w:cantSplit/>
        </w:trPr>
        <w:tc>
          <w:tcPr>
            <w:tcW w:type="dxa" w:w="1701"/>
            <w:vAlign w:val="center"/>
            <w:tcMar>
              <w:top w:w="65" w:type="dxa"/>
              <w:left w:w="65" w:type="dxa"/>
              <w:bottom w:w="65" w:type="dxa"/>
              <w:right w:w="65" w:type="dxa"/>
            </w:tcMar>
          </w:tcPr>
          <w:p>
            <w:pPr>
              <w:pStyle w:val="TableText"/>
              <w:keepNext w:val="0"/>
              <w:widowControl/>
              <w:jc w:val="left"/>
            </w:pPr>
            <w:r>
              <w:rPr>
                <w:b w:val="0"/>
                <w:sz w:val="17"/>
              </w:rPr>
              <w:t>β DEV</w:t>
            </w:r>
          </w:p>
        </w:tc>
        <w:tc>
          <w:tcPr>
            <w:tcW w:type="dxa" w:w="907"/>
            <w:vAlign w:val="center"/>
            <w:tcMar>
              <w:top w:w="65" w:type="dxa"/>
              <w:left w:w="65" w:type="dxa"/>
              <w:bottom w:w="65" w:type="dxa"/>
              <w:right w:w="65" w:type="dxa"/>
            </w:tcMar>
          </w:tcPr>
          <w:p>
            <w:pPr>
              <w:pStyle w:val="TableText"/>
              <w:keepNext w:val="0"/>
              <w:widowControl/>
              <w:jc w:val="left"/>
            </w:pPr>
            <w:r>
              <w:rPr>
                <w:b w:val="0"/>
                <w:sz w:val="17"/>
              </w:rPr>
              <w:t>2032</w:t>
            </w:r>
          </w:p>
        </w:tc>
        <w:tc>
          <w:tcPr>
            <w:tcW w:type="dxa" w:w="1417"/>
            <w:vAlign w:val="center"/>
            <w:tcMar>
              <w:top w:w="65" w:type="dxa"/>
              <w:left w:w="65" w:type="dxa"/>
              <w:bottom w:w="65" w:type="dxa"/>
              <w:right w:w="65" w:type="dxa"/>
            </w:tcMar>
          </w:tcPr>
          <w:p>
            <w:pPr>
              <w:pStyle w:val="TableText"/>
              <w:keepNext w:val="0"/>
              <w:widowControl/>
              <w:jc w:val="left"/>
            </w:pPr>
            <w:r>
              <w:rPr>
                <w:b w:val="0"/>
                <w:sz w:val="17"/>
              </w:rPr>
              <w:t>.468</w:t>
            </w:r>
          </w:p>
        </w:tc>
        <w:tc>
          <w:tcPr>
            <w:tcW w:type="dxa" w:w="1417"/>
            <w:vAlign w:val="center"/>
            <w:tcMar>
              <w:top w:w="65" w:type="dxa"/>
              <w:left w:w="65" w:type="dxa"/>
              <w:bottom w:w="65" w:type="dxa"/>
              <w:right w:w="65" w:type="dxa"/>
            </w:tcMar>
          </w:tcPr>
          <w:p>
            <w:pPr>
              <w:pStyle w:val="TableText"/>
              <w:keepNext w:val="0"/>
              <w:widowControl/>
              <w:jc w:val="left"/>
            </w:pPr>
            <w:r>
              <w:rPr>
                <w:b w:val="0"/>
                <w:sz w:val="17"/>
              </w:rPr>
              <w:t>.920</w:t>
            </w:r>
          </w:p>
        </w:tc>
        <w:tc>
          <w:tcPr>
            <w:tcW w:type="dxa" w:w="1247"/>
            <w:vAlign w:val="center"/>
            <w:tcMar>
              <w:top w:w="65" w:type="dxa"/>
              <w:left w:w="65" w:type="dxa"/>
              <w:bottom w:w="65" w:type="dxa"/>
              <w:right w:w="65" w:type="dxa"/>
            </w:tcMar>
          </w:tcPr>
          <w:p>
            <w:pPr>
              <w:pStyle w:val="TableText"/>
              <w:keepNext w:val="0"/>
              <w:widowControl/>
              <w:jc w:val="left"/>
            </w:pPr>
            <w:r>
              <w:rPr>
                <w:b w:val="0"/>
                <w:sz w:val="17"/>
              </w:rPr>
              <w:t>.650</w:t>
            </w:r>
          </w:p>
        </w:tc>
        <w:tc>
          <w:tcPr>
            <w:tcW w:type="dxa" w:w="1247"/>
            <w:vAlign w:val="center"/>
            <w:tcMar>
              <w:top w:w="65" w:type="dxa"/>
              <w:left w:w="65" w:type="dxa"/>
              <w:bottom w:w="65" w:type="dxa"/>
              <w:right w:w="65" w:type="dxa"/>
            </w:tcMar>
          </w:tcPr>
          <w:p>
            <w:pPr>
              <w:pStyle w:val="TableText"/>
              <w:keepNext w:val="0"/>
              <w:widowControl/>
              <w:jc w:val="left"/>
            </w:pPr>
            <w:r>
              <w:rPr>
                <w:b w:val="0"/>
                <w:sz w:val="17"/>
              </w:rPr>
              <w:t>.676</w:t>
            </w:r>
          </w:p>
        </w:tc>
      </w:tr>
      <w:tr>
        <w:trPr>
          <w:cantSplit/>
        </w:trPr>
        <w:tc>
          <w:tcPr>
            <w:tcW w:type="dxa" w:w="1701"/>
            <w:vAlign w:val="center"/>
            <w:tcMar>
              <w:top w:w="65" w:type="dxa"/>
              <w:left w:w="65" w:type="dxa"/>
              <w:bottom w:w="65" w:type="dxa"/>
              <w:right w:w="65" w:type="dxa"/>
            </w:tcMar>
          </w:tcPr>
          <w:p>
            <w:pPr>
              <w:pStyle w:val="TableText"/>
              <w:keepNext w:val="0"/>
              <w:widowControl/>
              <w:jc w:val="left"/>
            </w:pPr>
            <w:r>
              <w:rPr>
                <w:b w:val="0"/>
                <w:sz w:val="17"/>
              </w:rPr>
              <w:t>β OOT</w:t>
            </w:r>
          </w:p>
        </w:tc>
        <w:tc>
          <w:tcPr>
            <w:tcW w:type="dxa" w:w="907"/>
            <w:vAlign w:val="center"/>
            <w:tcMar>
              <w:top w:w="65" w:type="dxa"/>
              <w:left w:w="65" w:type="dxa"/>
              <w:bottom w:w="65" w:type="dxa"/>
              <w:right w:w="65" w:type="dxa"/>
            </w:tcMar>
          </w:tcPr>
          <w:p>
            <w:pPr>
              <w:pStyle w:val="TableText"/>
              <w:keepNext w:val="0"/>
              <w:widowControl/>
              <w:jc w:val="left"/>
            </w:pPr>
            <w:r>
              <w:rPr>
                <w:b w:val="0"/>
                <w:sz w:val="17"/>
              </w:rPr>
              <w:t>1790</w:t>
            </w:r>
          </w:p>
        </w:tc>
        <w:tc>
          <w:tcPr>
            <w:tcW w:type="dxa" w:w="1417"/>
            <w:vAlign w:val="center"/>
            <w:tcMar>
              <w:top w:w="65" w:type="dxa"/>
              <w:left w:w="65" w:type="dxa"/>
              <w:bottom w:w="65" w:type="dxa"/>
              <w:right w:w="65" w:type="dxa"/>
            </w:tcMar>
          </w:tcPr>
          <w:p>
            <w:pPr>
              <w:pStyle w:val="TableText"/>
              <w:keepNext w:val="0"/>
              <w:widowControl/>
              <w:jc w:val="left"/>
            </w:pPr>
            <w:r>
              <w:rPr>
                <w:b w:val="0"/>
                <w:sz w:val="17"/>
              </w:rPr>
              <w:t>.522</w:t>
            </w:r>
          </w:p>
        </w:tc>
        <w:tc>
          <w:tcPr>
            <w:tcW w:type="dxa" w:w="1417"/>
            <w:vAlign w:val="center"/>
            <w:tcMar>
              <w:top w:w="65" w:type="dxa"/>
              <w:left w:w="65" w:type="dxa"/>
              <w:bottom w:w="65" w:type="dxa"/>
              <w:right w:w="65" w:type="dxa"/>
            </w:tcMar>
          </w:tcPr>
          <w:p>
            <w:pPr>
              <w:pStyle w:val="TableText"/>
              <w:keepNext w:val="0"/>
              <w:widowControl/>
              <w:jc w:val="left"/>
            </w:pPr>
            <w:r>
              <w:rPr>
                <w:b w:val="0"/>
                <w:sz w:val="17"/>
              </w:rPr>
              <w:t>.936</w:t>
            </w:r>
          </w:p>
        </w:tc>
        <w:tc>
          <w:tcPr>
            <w:tcW w:type="dxa" w:w="1247"/>
            <w:vAlign w:val="center"/>
            <w:tcMar>
              <w:top w:w="65" w:type="dxa"/>
              <w:left w:w="65" w:type="dxa"/>
              <w:bottom w:w="65" w:type="dxa"/>
              <w:right w:w="65" w:type="dxa"/>
            </w:tcMar>
          </w:tcPr>
          <w:p>
            <w:pPr>
              <w:pStyle w:val="TableText"/>
              <w:keepNext w:val="0"/>
              <w:widowControl/>
              <w:jc w:val="left"/>
            </w:pPr>
            <w:r>
              <w:rPr>
                <w:b w:val="0"/>
                <w:sz w:val="17"/>
              </w:rPr>
              <w:t>.579</w:t>
            </w:r>
          </w:p>
        </w:tc>
        <w:tc>
          <w:tcPr>
            <w:tcW w:type="dxa" w:w="1247"/>
            <w:vAlign w:val="center"/>
            <w:tcMar>
              <w:top w:w="65" w:type="dxa"/>
              <w:left w:w="65" w:type="dxa"/>
              <w:bottom w:w="65" w:type="dxa"/>
              <w:right w:w="65" w:type="dxa"/>
            </w:tcMar>
          </w:tcPr>
          <w:p>
            <w:pPr>
              <w:pStyle w:val="TableText"/>
              <w:keepNext w:val="0"/>
              <w:widowControl/>
              <w:jc w:val="left"/>
            </w:pPr>
            <w:r>
              <w:rPr>
                <w:b w:val="0"/>
                <w:sz w:val="17"/>
              </w:rPr>
              <w:t>.729</w:t>
            </w:r>
          </w:p>
        </w:tc>
      </w:tr>
      <w:tr>
        <w:trPr>
          <w:cantSplit/>
        </w:trPr>
        <w:tc>
          <w:tcPr>
            <w:tcW w:type="dxa" w:w="1701"/>
            <w:vAlign w:val="center"/>
            <w:tcMar>
              <w:top w:w="65" w:type="dxa"/>
              <w:left w:w="65" w:type="dxa"/>
              <w:bottom w:w="65" w:type="dxa"/>
              <w:right w:w="65" w:type="dxa"/>
            </w:tcMar>
          </w:tcPr>
          <w:p>
            <w:pPr>
              <w:pStyle w:val="TableText"/>
              <w:keepNext w:val="0"/>
              <w:widowControl/>
              <w:jc w:val="left"/>
            </w:pPr>
            <w:r>
              <w:rPr>
                <w:b w:val="0"/>
                <w:sz w:val="17"/>
              </w:rPr>
              <w:t>γ DEV</w:t>
            </w:r>
          </w:p>
        </w:tc>
        <w:tc>
          <w:tcPr>
            <w:tcW w:type="dxa" w:w="907"/>
            <w:vAlign w:val="center"/>
            <w:tcMar>
              <w:top w:w="65" w:type="dxa"/>
              <w:left w:w="65" w:type="dxa"/>
              <w:bottom w:w="65" w:type="dxa"/>
              <w:right w:w="65" w:type="dxa"/>
            </w:tcMar>
          </w:tcPr>
          <w:p>
            <w:pPr>
              <w:pStyle w:val="TableText"/>
              <w:keepNext w:val="0"/>
              <w:widowControl/>
              <w:jc w:val="left"/>
            </w:pPr>
            <w:r>
              <w:rPr>
                <w:b w:val="0"/>
                <w:sz w:val="17"/>
              </w:rPr>
              <w:t>2032</w:t>
            </w:r>
          </w:p>
        </w:tc>
        <w:tc>
          <w:tcPr>
            <w:tcW w:type="dxa" w:w="1417"/>
            <w:vAlign w:val="center"/>
            <w:tcMar>
              <w:top w:w="65" w:type="dxa"/>
              <w:left w:w="65" w:type="dxa"/>
              <w:bottom w:w="65" w:type="dxa"/>
              <w:right w:w="65" w:type="dxa"/>
            </w:tcMar>
          </w:tcPr>
          <w:p>
            <w:pPr>
              <w:pStyle w:val="TableText"/>
              <w:keepNext w:val="0"/>
              <w:widowControl/>
              <w:jc w:val="left"/>
            </w:pPr>
            <w:r>
              <w:rPr>
                <w:b w:val="0"/>
                <w:sz w:val="17"/>
              </w:rPr>
              <w:t>.586</w:t>
            </w:r>
          </w:p>
        </w:tc>
        <w:tc>
          <w:tcPr>
            <w:tcW w:type="dxa" w:w="1417"/>
            <w:vAlign w:val="center"/>
            <w:tcMar>
              <w:top w:w="65" w:type="dxa"/>
              <w:left w:w="65" w:type="dxa"/>
              <w:bottom w:w="65" w:type="dxa"/>
              <w:right w:w="65" w:type="dxa"/>
            </w:tcMar>
          </w:tcPr>
          <w:p>
            <w:pPr>
              <w:pStyle w:val="TableText"/>
              <w:keepNext w:val="0"/>
              <w:widowControl/>
              <w:jc w:val="left"/>
            </w:pPr>
            <w:r>
              <w:rPr>
                <w:b w:val="0"/>
                <w:sz w:val="17"/>
              </w:rPr>
              <w:t>.961</w:t>
            </w:r>
          </w:p>
        </w:tc>
        <w:tc>
          <w:tcPr>
            <w:tcW w:type="dxa" w:w="1247"/>
            <w:vAlign w:val="center"/>
            <w:tcMar>
              <w:top w:w="65" w:type="dxa"/>
              <w:left w:w="65" w:type="dxa"/>
              <w:bottom w:w="65" w:type="dxa"/>
              <w:right w:w="65" w:type="dxa"/>
            </w:tcMar>
          </w:tcPr>
          <w:p>
            <w:pPr>
              <w:pStyle w:val="TableText"/>
              <w:keepNext w:val="0"/>
              <w:widowControl/>
              <w:jc w:val="left"/>
            </w:pPr>
            <w:r>
              <w:rPr>
                <w:b w:val="0"/>
                <w:sz w:val="17"/>
              </w:rPr>
              <w:t>.550</w:t>
            </w:r>
          </w:p>
        </w:tc>
        <w:tc>
          <w:tcPr>
            <w:tcW w:type="dxa" w:w="1247"/>
            <w:vAlign w:val="center"/>
            <w:tcMar>
              <w:top w:w="65" w:type="dxa"/>
              <w:left w:w="65" w:type="dxa"/>
              <w:bottom w:w="65" w:type="dxa"/>
              <w:right w:w="65" w:type="dxa"/>
            </w:tcMar>
          </w:tcPr>
          <w:p>
            <w:pPr>
              <w:pStyle w:val="TableText"/>
              <w:keepNext w:val="0"/>
              <w:widowControl/>
              <w:jc w:val="left"/>
            </w:pPr>
            <w:r>
              <w:rPr>
                <w:b w:val="0"/>
                <w:sz w:val="17"/>
              </w:rPr>
              <w:t>.799</w:t>
            </w:r>
          </w:p>
        </w:tc>
      </w:tr>
      <w:tr>
        <w:trPr>
          <w:cantSplit/>
        </w:trPr>
        <w:tc>
          <w:tcPr>
            <w:tcW w:type="dxa" w:w="1701"/>
            <w:vAlign w:val="center"/>
            <w:tcMar>
              <w:top w:w="65" w:type="dxa"/>
              <w:left w:w="65" w:type="dxa"/>
              <w:bottom w:w="65" w:type="dxa"/>
              <w:right w:w="65" w:type="dxa"/>
            </w:tcMar>
          </w:tcPr>
          <w:p>
            <w:pPr>
              <w:pStyle w:val="TableText"/>
              <w:keepNext w:val="0"/>
              <w:widowControl/>
              <w:jc w:val="left"/>
            </w:pPr>
            <w:r>
              <w:rPr>
                <w:b w:val="0"/>
                <w:sz w:val="17"/>
              </w:rPr>
              <w:t>γ OOT</w:t>
            </w:r>
          </w:p>
        </w:tc>
        <w:tc>
          <w:tcPr>
            <w:tcW w:type="dxa" w:w="907"/>
            <w:vAlign w:val="center"/>
            <w:tcMar>
              <w:top w:w="65" w:type="dxa"/>
              <w:left w:w="65" w:type="dxa"/>
              <w:bottom w:w="65" w:type="dxa"/>
              <w:right w:w="65" w:type="dxa"/>
            </w:tcMar>
          </w:tcPr>
          <w:p>
            <w:pPr>
              <w:pStyle w:val="TableText"/>
              <w:keepNext w:val="0"/>
              <w:widowControl/>
              <w:jc w:val="left"/>
            </w:pPr>
            <w:r>
              <w:rPr>
                <w:b w:val="0"/>
                <w:sz w:val="17"/>
              </w:rPr>
              <w:t>1790</w:t>
            </w:r>
          </w:p>
        </w:tc>
        <w:tc>
          <w:tcPr>
            <w:tcW w:type="dxa" w:w="1417"/>
            <w:vAlign w:val="center"/>
            <w:tcMar>
              <w:top w:w="65" w:type="dxa"/>
              <w:left w:w="65" w:type="dxa"/>
              <w:bottom w:w="65" w:type="dxa"/>
              <w:right w:w="65" w:type="dxa"/>
            </w:tcMar>
          </w:tcPr>
          <w:p>
            <w:pPr>
              <w:pStyle w:val="TableText"/>
              <w:keepNext w:val="0"/>
              <w:widowControl/>
              <w:jc w:val="left"/>
            </w:pPr>
            <w:r>
              <w:rPr>
                <w:b w:val="0"/>
                <w:sz w:val="17"/>
              </w:rPr>
              <w:t>.546</w:t>
            </w:r>
          </w:p>
        </w:tc>
        <w:tc>
          <w:tcPr>
            <w:tcW w:type="dxa" w:w="1417"/>
            <w:vAlign w:val="center"/>
            <w:tcMar>
              <w:top w:w="65" w:type="dxa"/>
              <w:left w:w="65" w:type="dxa"/>
              <w:bottom w:w="65" w:type="dxa"/>
              <w:right w:w="65" w:type="dxa"/>
            </w:tcMar>
          </w:tcPr>
          <w:p>
            <w:pPr>
              <w:pStyle w:val="TableText"/>
              <w:keepNext w:val="0"/>
              <w:widowControl/>
              <w:jc w:val="left"/>
            </w:pPr>
            <w:r>
              <w:rPr>
                <w:b w:val="0"/>
                <w:sz w:val="17"/>
              </w:rPr>
              <w:t>.962</w:t>
            </w:r>
          </w:p>
        </w:tc>
        <w:tc>
          <w:tcPr>
            <w:tcW w:type="dxa" w:w="1247"/>
            <w:vAlign w:val="center"/>
            <w:tcMar>
              <w:top w:w="65" w:type="dxa"/>
              <w:left w:w="65" w:type="dxa"/>
              <w:bottom w:w="65" w:type="dxa"/>
              <w:right w:w="65" w:type="dxa"/>
            </w:tcMar>
          </w:tcPr>
          <w:p>
            <w:pPr>
              <w:pStyle w:val="TableText"/>
              <w:keepNext w:val="0"/>
              <w:widowControl/>
              <w:jc w:val="left"/>
            </w:pPr>
            <w:r>
              <w:rPr>
                <w:b w:val="0"/>
                <w:sz w:val="17"/>
              </w:rPr>
              <w:t>.555</w:t>
            </w:r>
          </w:p>
        </w:tc>
        <w:tc>
          <w:tcPr>
            <w:tcW w:type="dxa" w:w="1247"/>
            <w:vAlign w:val="center"/>
            <w:tcMar>
              <w:top w:w="65" w:type="dxa"/>
              <w:left w:w="65" w:type="dxa"/>
              <w:bottom w:w="65" w:type="dxa"/>
              <w:right w:w="65" w:type="dxa"/>
            </w:tcMar>
          </w:tcPr>
          <w:p>
            <w:pPr>
              <w:pStyle w:val="TableText"/>
              <w:keepNext w:val="0"/>
              <w:widowControl/>
              <w:jc w:val="left"/>
            </w:pPr>
            <w:r>
              <w:rPr>
                <w:b w:val="0"/>
                <w:sz w:val="17"/>
              </w:rPr>
              <w:t>.750</w:t>
            </w:r>
          </w:p>
        </w:tc>
      </w:tr>
    </w:tbl>
    <w:p>
      <w:pPr>
        <w:pStyle w:val="SourceNote"/>
        <w:widowControl/>
      </w:pPr>
      <w:r>
        <w:t>자료: 개발 단계 분석기록 표 B-3. 제4장 등급이동 방향일치율의 표본 및 지표와 다르므로 숫자를 직접 대체하지 않는다.</w:t>
      </w:r>
    </w:p>
    <w:p>
      <w:bookmarkStart w:id="214" w:name="head_150"/>
      <w:pPr>
        <w:pStyle w:val="1"/>
        <w:widowControl/>
      </w:pPr>
      <w:r>
        <w:t>부록 C. C3-E 배포와 학습 구성</w:t>
      </w:r>
      <w:bookmarkEnd w:id="214"/>
    </w:p>
    <w:p>
      <w:bookmarkStart w:id="215" w:name="head_151"/>
      <w:pPr>
        <w:pStyle w:val="2"/>
        <w:widowControl/>
      </w:pPr>
      <w:r>
        <w:t>C.1 최종 배포 식별과 정책의 정의</w:t>
      </w:r>
      <w:bookmarkEnd w:id="215"/>
    </w:p>
    <w:p>
      <w:bookmarkStart w:id="216" w:name="cap_65"/>
      <w:pPr>
        <w:pStyle w:val="af"/>
        <w:widowControl/>
      </w:pPr>
      <w:r>
        <w:t>표 C-1. 배포정책의 동결값</w:t>
      </w:r>
      <w:bookmarkEnd w:id="216"/>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2268"/>
        <w:gridCol w:w="5669"/>
      </w:tblGrid>
      <w:tr>
        <w:trPr>
          <w:cantSplit/>
          <w:tblHeader/>
        </w:trPr>
        <w:tc>
          <w:tcPr>
            <w:tcW w:type="dxa" w:w="2268"/>
            <w:vAlign w:val="center"/>
            <w:shd w:fill="F1F1F1"/>
            <w:tcMar>
              <w:top w:w="65" w:type="dxa"/>
              <w:left w:w="65" w:type="dxa"/>
              <w:bottom w:w="65" w:type="dxa"/>
              <w:right w:w="65" w:type="dxa"/>
            </w:tcMar>
          </w:tcPr>
          <w:p>
            <w:pPr>
              <w:pStyle w:val="TableText"/>
              <w:keepNext/>
              <w:widowControl/>
              <w:jc w:val="center"/>
            </w:pPr>
            <w:r>
              <w:rPr>
                <w:b/>
                <w:sz w:val="18"/>
              </w:rPr>
              <w:t>항목</w:t>
            </w:r>
          </w:p>
        </w:tc>
        <w:tc>
          <w:tcPr>
            <w:tcW w:type="dxa" w:w="5669"/>
            <w:vAlign w:val="center"/>
            <w:shd w:fill="F1F1F1"/>
            <w:tcMar>
              <w:top w:w="65" w:type="dxa"/>
              <w:left w:w="65" w:type="dxa"/>
              <w:bottom w:w="65" w:type="dxa"/>
              <w:right w:w="65" w:type="dxa"/>
            </w:tcMar>
          </w:tcPr>
          <w:p>
            <w:pPr>
              <w:pStyle w:val="TableText"/>
              <w:keepNext/>
              <w:widowControl/>
              <w:jc w:val="center"/>
            </w:pPr>
            <w:r>
              <w:rPr>
                <w:b/>
                <w:sz w:val="18"/>
              </w:rPr>
              <w:t>값</w:t>
            </w:r>
          </w:p>
        </w:tc>
      </w:tr>
      <w:tr>
        <w:trPr>
          <w:cantSplit/>
        </w:trPr>
        <w:tc>
          <w:tcPr>
            <w:tcW w:type="dxa" w:w="2268"/>
            <w:vAlign w:val="center"/>
            <w:tcMar>
              <w:top w:w="65" w:type="dxa"/>
              <w:left w:w="65" w:type="dxa"/>
              <w:bottom w:w="65" w:type="dxa"/>
              <w:right w:w="65" w:type="dxa"/>
            </w:tcMar>
          </w:tcPr>
          <w:p>
            <w:pPr>
              <w:pStyle w:val="TableText"/>
              <w:keepNext/>
              <w:widowControl/>
              <w:jc w:val="left"/>
            </w:pPr>
            <w:r>
              <w:rPr>
                <w:b w:val="0"/>
                <w:sz w:val="18"/>
              </w:rPr>
              <w:t>Release</w:t>
            </w:r>
          </w:p>
        </w:tc>
        <w:tc>
          <w:tcPr>
            <w:tcW w:type="dxa" w:w="5669"/>
            <w:vAlign w:val="center"/>
            <w:tcMar>
              <w:top w:w="65" w:type="dxa"/>
              <w:left w:w="65" w:type="dxa"/>
              <w:bottom w:w="65" w:type="dxa"/>
              <w:right w:w="65" w:type="dxa"/>
            </w:tcMar>
          </w:tcPr>
          <w:p>
            <w:pPr>
              <w:pStyle w:val="TableText"/>
              <w:keepNext/>
              <w:widowControl/>
              <w:jc w:val="left"/>
            </w:pPr>
            <w:r>
              <w:rPr>
                <w:b w:val="0"/>
                <w:sz w:val="18"/>
              </w:rPr>
              <w:t>C3E_E2_7SEED_BALANCED_DFEBAFA6</w:t>
            </w:r>
          </w:p>
        </w:tc>
      </w:tr>
      <w:tr>
        <w:trPr>
          <w:cantSplit/>
        </w:trPr>
        <w:tc>
          <w:tcPr>
            <w:tcW w:type="dxa" w:w="2268"/>
            <w:vAlign w:val="center"/>
            <w:tcMar>
              <w:top w:w="65" w:type="dxa"/>
              <w:left w:w="65" w:type="dxa"/>
              <w:bottom w:w="65" w:type="dxa"/>
              <w:right w:w="65" w:type="dxa"/>
            </w:tcMar>
          </w:tcPr>
          <w:p>
            <w:pPr>
              <w:pStyle w:val="TableText"/>
              <w:keepNext w:val="0"/>
              <w:widowControl/>
              <w:jc w:val="left"/>
            </w:pPr>
            <w:r>
              <w:rPr>
                <w:b w:val="0"/>
                <w:sz w:val="18"/>
              </w:rPr>
              <w:t>Encoder / actor 수</w:t>
            </w:r>
          </w:p>
        </w:tc>
        <w:tc>
          <w:tcPr>
            <w:tcW w:type="dxa" w:w="5669"/>
            <w:vAlign w:val="center"/>
            <w:tcMar>
              <w:top w:w="65" w:type="dxa"/>
              <w:left w:w="65" w:type="dxa"/>
              <w:bottom w:w="65" w:type="dxa"/>
              <w:right w:w="65" w:type="dxa"/>
            </w:tcMar>
          </w:tcPr>
          <w:p>
            <w:pPr>
              <w:pStyle w:val="TableText"/>
              <w:keepNext w:val="0"/>
              <w:widowControl/>
              <w:jc w:val="left"/>
            </w:pPr>
            <w:r>
              <w:rPr>
                <w:b w:val="0"/>
                <w:sz w:val="18"/>
              </w:rPr>
              <w:t>E2 / 28</w:t>
            </w:r>
          </w:p>
        </w:tc>
      </w:tr>
      <w:tr>
        <w:trPr>
          <w:cantSplit/>
        </w:trPr>
        <w:tc>
          <w:tcPr>
            <w:tcW w:type="dxa" w:w="2268"/>
            <w:vAlign w:val="center"/>
            <w:tcMar>
              <w:top w:w="65" w:type="dxa"/>
              <w:left w:w="65" w:type="dxa"/>
              <w:bottom w:w="65" w:type="dxa"/>
              <w:right w:w="65" w:type="dxa"/>
            </w:tcMar>
          </w:tcPr>
          <w:p>
            <w:pPr>
              <w:pStyle w:val="TableText"/>
              <w:keepNext w:val="0"/>
              <w:widowControl/>
              <w:jc w:val="left"/>
            </w:pPr>
            <w:r>
              <w:rPr>
                <w:b w:val="0"/>
                <w:sz w:val="18"/>
              </w:rPr>
              <w:t>Configuration</w:t>
            </w:r>
          </w:p>
        </w:tc>
        <w:tc>
          <w:tcPr>
            <w:tcW w:type="dxa" w:w="5669"/>
            <w:vAlign w:val="center"/>
            <w:tcMar>
              <w:top w:w="65" w:type="dxa"/>
              <w:left w:w="65" w:type="dxa"/>
              <w:bottom w:w="65" w:type="dxa"/>
              <w:right w:w="65" w:type="dxa"/>
            </w:tcMar>
          </w:tcPr>
          <w:p>
            <w:pPr>
              <w:pStyle w:val="TableText"/>
              <w:keepNext w:val="0"/>
              <w:widowControl/>
              <w:jc w:val="left"/>
            </w:pPr>
            <w:r>
              <w:rPr>
                <w:b w:val="0"/>
                <w:sz w:val="18"/>
              </w:rPr>
              <w:t>B27, M2_S0935, DT06, T15_REWARD_S088</w:t>
            </w:r>
          </w:p>
        </w:tc>
      </w:tr>
      <w:tr>
        <w:trPr>
          <w:cantSplit/>
        </w:trPr>
        <w:tc>
          <w:tcPr>
            <w:tcW w:type="dxa" w:w="2268"/>
            <w:vAlign w:val="center"/>
            <w:tcMar>
              <w:top w:w="65" w:type="dxa"/>
              <w:left w:w="65" w:type="dxa"/>
              <w:bottom w:w="65" w:type="dxa"/>
              <w:right w:w="65" w:type="dxa"/>
            </w:tcMar>
          </w:tcPr>
          <w:p>
            <w:pPr>
              <w:pStyle w:val="TableText"/>
              <w:keepNext w:val="0"/>
              <w:widowControl/>
              <w:jc w:val="left"/>
            </w:pPr>
            <w:r>
              <w:rPr>
                <w:b w:val="0"/>
                <w:sz w:val="18"/>
              </w:rPr>
              <w:t>Matched seed</w:t>
            </w:r>
          </w:p>
        </w:tc>
        <w:tc>
          <w:tcPr>
            <w:tcW w:type="dxa" w:w="5669"/>
            <w:vAlign w:val="center"/>
            <w:tcMar>
              <w:top w:w="65" w:type="dxa"/>
              <w:left w:w="65" w:type="dxa"/>
              <w:bottom w:w="65" w:type="dxa"/>
              <w:right w:w="65" w:type="dxa"/>
            </w:tcMar>
          </w:tcPr>
          <w:p>
            <w:pPr>
              <w:pStyle w:val="TableText"/>
              <w:keepNext w:val="0"/>
              <w:widowControl/>
              <w:jc w:val="left"/>
            </w:pPr>
            <w:r>
              <w:rPr>
                <w:b w:val="0"/>
                <w:sz w:val="18"/>
              </w:rPr>
              <w:t>2, 11, 12, 13, 14, 15, 16</w:t>
            </w:r>
          </w:p>
        </w:tc>
      </w:tr>
      <w:tr>
        <w:trPr>
          <w:cantSplit/>
        </w:trPr>
        <w:tc>
          <w:tcPr>
            <w:tcW w:type="dxa" w:w="2268"/>
            <w:vAlign w:val="center"/>
            <w:tcMar>
              <w:top w:w="65" w:type="dxa"/>
              <w:left w:w="65" w:type="dxa"/>
              <w:bottom w:w="65" w:type="dxa"/>
              <w:right w:w="65" w:type="dxa"/>
            </w:tcMar>
          </w:tcPr>
          <w:p>
            <w:pPr>
              <w:pStyle w:val="TableText"/>
              <w:keepNext w:val="0"/>
              <w:widowControl/>
              <w:jc w:val="left"/>
            </w:pPr>
            <w:r>
              <w:rPr>
                <w:b w:val="0"/>
                <w:sz w:val="18"/>
              </w:rPr>
              <w:t>확률결합</w:t>
            </w:r>
          </w:p>
        </w:tc>
        <w:tc>
          <w:tcPr>
            <w:tcW w:type="dxa" w:w="5669"/>
            <w:vAlign w:val="center"/>
            <w:tcMar>
              <w:top w:w="65" w:type="dxa"/>
              <w:left w:w="65" w:type="dxa"/>
              <w:bottom w:w="65" w:type="dxa"/>
              <w:right w:w="65" w:type="dxa"/>
            </w:tcMar>
          </w:tcPr>
          <w:p>
            <w:pPr>
              <w:pStyle w:val="TableText"/>
              <w:keepNext w:val="0"/>
              <w:widowControl/>
              <w:jc w:val="left"/>
            </w:pPr>
            <w:r>
              <w:rPr>
                <w:b w:val="0"/>
                <w:sz w:val="18"/>
              </w:rPr>
              <w:t>같은 configuration의 7 seed 평균 → 4 configuration 동일평균</w:t>
            </w:r>
          </w:p>
        </w:tc>
      </w:tr>
      <w:tr>
        <w:trPr>
          <w:cantSplit/>
        </w:trPr>
        <w:tc>
          <w:tcPr>
            <w:tcW w:type="dxa" w:w="2268"/>
            <w:vAlign w:val="center"/>
            <w:tcMar>
              <w:top w:w="65" w:type="dxa"/>
              <w:left w:w="65" w:type="dxa"/>
              <w:bottom w:w="65" w:type="dxa"/>
              <w:right w:w="65" w:type="dxa"/>
            </w:tcMar>
          </w:tcPr>
          <w:p>
            <w:pPr>
              <w:pStyle w:val="TableText"/>
              <w:keepNext w:val="0"/>
              <w:widowControl/>
              <w:jc w:val="left"/>
            </w:pPr>
            <w:r>
              <w:rPr>
                <w:b w:val="0"/>
                <w:sz w:val="18"/>
              </w:rPr>
              <w:t>최종 행동</w:t>
            </w:r>
          </w:p>
        </w:tc>
        <w:tc>
          <w:tcPr>
            <w:tcW w:type="dxa" w:w="5669"/>
            <w:vAlign w:val="center"/>
            <w:tcMar>
              <w:top w:w="65" w:type="dxa"/>
              <w:left w:w="65" w:type="dxa"/>
              <w:bottom w:w="65" w:type="dxa"/>
              <w:right w:w="65" w:type="dxa"/>
            </w:tcMar>
          </w:tcPr>
          <w:p>
            <w:pPr>
              <w:pStyle w:val="TableText"/>
              <w:keepNext w:val="0"/>
              <w:widowControl/>
              <w:jc w:val="left"/>
            </w:pPr>
            <w:r>
              <w:rPr>
                <w:b w:val="0"/>
                <w:sz w:val="18"/>
              </w:rPr>
              <w:t>canonical 순서 argmax; Q/Oracle 사후 재정렬 없음</w:t>
            </w:r>
          </w:p>
        </w:tc>
      </w:tr>
      <w:tr>
        <w:trPr>
          <w:cantSplit/>
        </w:trPr>
        <w:tc>
          <w:tcPr>
            <w:tcW w:type="dxa" w:w="2268"/>
            <w:vAlign w:val="center"/>
            <w:tcMar>
              <w:top w:w="65" w:type="dxa"/>
              <w:left w:w="65" w:type="dxa"/>
              <w:bottom w:w="65" w:type="dxa"/>
              <w:right w:w="65" w:type="dxa"/>
            </w:tcMar>
          </w:tcPr>
          <w:p>
            <w:pPr>
              <w:pStyle w:val="TableText"/>
              <w:keepNext w:val="0"/>
              <w:widowControl/>
              <w:jc w:val="left"/>
            </w:pPr>
            <w:r>
              <w:rPr>
                <w:b w:val="0"/>
                <w:sz w:val="18"/>
              </w:rPr>
              <w:t>α / β / γ 평균</w:t>
            </w:r>
          </w:p>
        </w:tc>
        <w:tc>
          <w:tcPr>
            <w:tcW w:type="dxa" w:w="5669"/>
            <w:vAlign w:val="center"/>
            <w:tcMar>
              <w:top w:w="65" w:type="dxa"/>
              <w:left w:w="65" w:type="dxa"/>
              <w:bottom w:w="65" w:type="dxa"/>
              <w:right w:w="65" w:type="dxa"/>
            </w:tcMar>
          </w:tcPr>
          <w:p>
            <w:pPr>
              <w:pStyle w:val="TableText"/>
              <w:keepNext w:val="0"/>
              <w:widowControl/>
              <w:jc w:val="left"/>
            </w:pPr>
            <w:r>
              <w:rPr>
                <w:b w:val="0"/>
                <w:sz w:val="18"/>
              </w:rPr>
              <w:t>55.959960 / 63.197863 / 65.902886</w:t>
            </w:r>
          </w:p>
        </w:tc>
      </w:tr>
      <w:tr>
        <w:trPr>
          <w:cantSplit/>
        </w:trPr>
        <w:tc>
          <w:tcPr>
            <w:tcW w:type="dxa" w:w="2268"/>
            <w:vAlign w:val="center"/>
            <w:tcMar>
              <w:top w:w="65" w:type="dxa"/>
              <w:left w:w="65" w:type="dxa"/>
              <w:bottom w:w="65" w:type="dxa"/>
              <w:right w:w="65" w:type="dxa"/>
            </w:tcMar>
          </w:tcPr>
          <w:p>
            <w:pPr>
              <w:pStyle w:val="TableText"/>
              <w:keepNext w:val="0"/>
              <w:widowControl/>
              <w:jc w:val="left"/>
            </w:pPr>
            <w:r>
              <w:rPr>
                <w:b w:val="0"/>
                <w:sz w:val="18"/>
              </w:rPr>
              <w:t>OE 대비 α / H</w:t>
            </w:r>
          </w:p>
        </w:tc>
        <w:tc>
          <w:tcPr>
            <w:tcW w:type="dxa" w:w="5669"/>
            <w:vAlign w:val="center"/>
            <w:tcMar>
              <w:top w:w="65" w:type="dxa"/>
              <w:left w:w="65" w:type="dxa"/>
              <w:bottom w:w="65" w:type="dxa"/>
              <w:right w:w="65" w:type="dxa"/>
            </w:tcMar>
          </w:tcPr>
          <w:p>
            <w:pPr>
              <w:pStyle w:val="TableText"/>
              <w:keepNext w:val="0"/>
              <w:widowControl/>
              <w:jc w:val="left"/>
            </w:pPr>
            <w:r>
              <w:rPr>
                <w:b w:val="0"/>
                <w:sz w:val="18"/>
              </w:rPr>
              <w:t>+0.157936 / 1.594461</w:t>
            </w:r>
          </w:p>
        </w:tc>
      </w:tr>
    </w:tbl>
    <w:p>
      <w:pPr>
        <w:pStyle w:val="SourceNote"/>
        <w:widowControl/>
      </w:pPr>
      <w:r>
        <w:t>자료: rl_contract.json, C3E_metrics.json, member_provenance.csv. 최종 배포 산출물의 값이며 추가 재학습이나 사후 재정렬을 하지 않았다.</w:t>
      </w:r>
    </w:p>
    <w:p>
      <w:pPr>
        <w:pStyle w:val="SourceNote"/>
        <w:widowControl/>
      </w:pPr>
      <w:r>
        <w:t>Release hash</w:t>
      </w:r>
    </w:p>
    <w:p>
      <w:pPr>
        <w:pStyle w:val="CodeExtract"/>
        <w:widowControl/>
      </w:pPr>
      <w:r>
        <w:t>1100b62b5523e6d96f6a6711f0f07c15</w:t>
        <w:br/>
        <w:t>9d6d7e889600905d6021205ee437aefd</w:t>
      </w:r>
    </w:p>
    <w:p>
      <w:pPr>
        <w:pStyle w:val="SourceNote"/>
        <w:widowControl/>
      </w:pPr>
      <w:r>
        <w:t>Decision hash</w:t>
      </w:r>
    </w:p>
    <w:p>
      <w:pPr>
        <w:pStyle w:val="CodeExtract"/>
        <w:widowControl/>
      </w:pPr>
      <w:r>
        <w:t>dfebafa6b50e55c2f5019766e0e540af</w:t>
        <w:br/>
        <w:t>9964b2a9ab7d4e49805d03e8011b792e</w:t>
      </w:r>
    </w:p>
    <w:p>
      <w:pPr>
        <w:pStyle w:val="SourceNote"/>
        <w:widowControl/>
      </w:pPr>
      <w:r>
        <w:t>Action contract hash</w:t>
      </w:r>
    </w:p>
    <w:p>
      <w:pPr>
        <w:pStyle w:val="CodeExtract"/>
        <w:widowControl/>
      </w:pPr>
      <w:r>
        <w:t>f722e189a265e111c018341254a648dd</w:t>
        <w:br/>
        <w:t>b9cecc05aa8c12c3547a023ea4c458c0</w:t>
      </w:r>
    </w:p>
    <w:p>
      <w:bookmarkStart w:id="217" w:name="head_152"/>
      <w:pPr>
        <w:pStyle w:val="2"/>
        <w:widowControl/>
      </w:pPr>
      <w:r>
        <w:t>C.2 최종 configuration의 Stage5 설정</w:t>
      </w:r>
      <w:bookmarkEnd w:id="217"/>
    </w:p>
    <w:p>
      <w:bookmarkStart w:id="218" w:name="cap_66"/>
      <w:pPr>
        <w:pStyle w:val="af"/>
        <w:widowControl/>
      </w:pPr>
      <w:r>
        <w:t>표 C-2. 구성별 주요 Stage5 설정</w:t>
      </w:r>
      <w:bookmarkEnd w:id="218"/>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2381"/>
        <w:gridCol w:w="1191"/>
        <w:gridCol w:w="1304"/>
        <w:gridCol w:w="1020"/>
        <w:gridCol w:w="1020"/>
        <w:gridCol w:w="1020"/>
      </w:tblGrid>
      <w:tr>
        <w:trPr>
          <w:cantSplit/>
          <w:tblHeader/>
        </w:trPr>
        <w:tc>
          <w:tcPr>
            <w:tcW w:type="dxa" w:w="2381"/>
            <w:vAlign w:val="center"/>
            <w:shd w:fill="F1F1F1"/>
            <w:tcMar>
              <w:top w:w="65" w:type="dxa"/>
              <w:left w:w="65" w:type="dxa"/>
              <w:bottom w:w="65" w:type="dxa"/>
              <w:right w:w="65" w:type="dxa"/>
            </w:tcMar>
          </w:tcPr>
          <w:p>
            <w:pPr>
              <w:pStyle w:val="TableText"/>
              <w:keepNext/>
              <w:widowControl/>
              <w:jc w:val="center"/>
            </w:pPr>
            <w:r>
              <w:rPr>
                <w:b/>
                <w:sz w:val="17"/>
              </w:rPr>
              <w:t>Configuration</w:t>
            </w:r>
          </w:p>
        </w:tc>
        <w:tc>
          <w:tcPr>
            <w:tcW w:type="dxa" w:w="1191"/>
            <w:vAlign w:val="center"/>
            <w:shd w:fill="F1F1F1"/>
            <w:tcMar>
              <w:top w:w="65" w:type="dxa"/>
              <w:left w:w="65" w:type="dxa"/>
              <w:bottom w:w="65" w:type="dxa"/>
              <w:right w:w="65" w:type="dxa"/>
            </w:tcMar>
          </w:tcPr>
          <w:p>
            <w:pPr>
              <w:pStyle w:val="TableText"/>
              <w:keepNext/>
              <w:widowControl/>
              <w:jc w:val="center"/>
            </w:pPr>
            <w:r>
              <w:rPr>
                <w:b/>
                <w:sz w:val="17"/>
              </w:rPr>
              <w:t>τ / β</w:t>
            </w:r>
          </w:p>
        </w:tc>
        <w:tc>
          <w:tcPr>
            <w:tcW w:type="dxa" w:w="1304"/>
            <w:vAlign w:val="center"/>
            <w:shd w:fill="F1F1F1"/>
            <w:tcMar>
              <w:top w:w="65" w:type="dxa"/>
              <w:left w:w="65" w:type="dxa"/>
              <w:bottom w:w="65" w:type="dxa"/>
              <w:right w:w="65" w:type="dxa"/>
            </w:tcMar>
          </w:tcPr>
          <w:p>
            <w:pPr>
              <w:pStyle w:val="TableText"/>
              <w:keepNext/>
              <w:widowControl/>
              <w:jc w:val="center"/>
            </w:pPr>
            <w:r>
              <w:rPr>
                <w:b/>
                <w:sz w:val="17"/>
              </w:rPr>
              <w:t>Q 학습률</w:t>
            </w:r>
          </w:p>
        </w:tc>
        <w:tc>
          <w:tcPr>
            <w:tcW w:type="dxa" w:w="1020"/>
            <w:vAlign w:val="center"/>
            <w:shd w:fill="F1F1F1"/>
            <w:tcMar>
              <w:top w:w="65" w:type="dxa"/>
              <w:left w:w="65" w:type="dxa"/>
              <w:bottom w:w="65" w:type="dxa"/>
              <w:right w:w="65" w:type="dxa"/>
            </w:tcMar>
          </w:tcPr>
          <w:p>
            <w:pPr>
              <w:pStyle w:val="TableText"/>
              <w:keepNext/>
              <w:widowControl/>
              <w:jc w:val="center"/>
            </w:pPr>
            <w:r>
              <w:rPr>
                <w:b/>
                <w:sz w:val="17"/>
              </w:rPr>
              <w:t>Q 감쇠</w:t>
            </w:r>
          </w:p>
        </w:tc>
        <w:tc>
          <w:tcPr>
            <w:tcW w:type="dxa" w:w="1020"/>
            <w:vAlign w:val="center"/>
            <w:shd w:fill="F1F1F1"/>
            <w:tcMar>
              <w:top w:w="65" w:type="dxa"/>
              <w:left w:w="65" w:type="dxa"/>
              <w:bottom w:w="65" w:type="dxa"/>
              <w:right w:w="65" w:type="dxa"/>
            </w:tcMar>
          </w:tcPr>
          <w:p>
            <w:pPr>
              <w:pStyle w:val="TableText"/>
              <w:keepNext/>
              <w:widowControl/>
              <w:jc w:val="center"/>
            </w:pPr>
            <w:r>
              <w:rPr>
                <w:b/>
                <w:sz w:val="17"/>
              </w:rPr>
              <w:t>Epoch</w:t>
            </w:r>
          </w:p>
        </w:tc>
        <w:tc>
          <w:tcPr>
            <w:tcW w:type="dxa" w:w="1020"/>
            <w:vAlign w:val="center"/>
            <w:shd w:fill="F1F1F1"/>
            <w:tcMar>
              <w:top w:w="65" w:type="dxa"/>
              <w:left w:w="65" w:type="dxa"/>
              <w:bottom w:w="65" w:type="dxa"/>
              <w:right w:w="65" w:type="dxa"/>
            </w:tcMar>
          </w:tcPr>
          <w:p>
            <w:pPr>
              <w:pStyle w:val="TableText"/>
              <w:keepNext/>
              <w:widowControl/>
              <w:jc w:val="center"/>
            </w:pPr>
            <w:r>
              <w:rPr>
                <w:b/>
                <w:sz w:val="17"/>
              </w:rPr>
              <w:t>Critic 비율</w:t>
            </w:r>
          </w:p>
        </w:tc>
      </w:tr>
      <w:tr>
        <w:trPr>
          <w:cantSplit/>
        </w:trPr>
        <w:tc>
          <w:tcPr>
            <w:tcW w:type="dxa" w:w="2381"/>
            <w:vAlign w:val="center"/>
            <w:tcMar>
              <w:top w:w="65" w:type="dxa"/>
              <w:left w:w="65" w:type="dxa"/>
              <w:bottom w:w="65" w:type="dxa"/>
              <w:right w:w="65" w:type="dxa"/>
            </w:tcMar>
          </w:tcPr>
          <w:p>
            <w:pPr>
              <w:pStyle w:val="TableText"/>
              <w:keepNext/>
              <w:widowControl/>
              <w:jc w:val="left"/>
            </w:pPr>
            <w:r>
              <w:rPr>
                <w:b w:val="0"/>
                <w:sz w:val="17"/>
              </w:rPr>
              <w:t>B27</w:t>
            </w:r>
          </w:p>
        </w:tc>
        <w:tc>
          <w:tcPr>
            <w:tcW w:type="dxa" w:w="1191"/>
            <w:vAlign w:val="center"/>
            <w:tcMar>
              <w:top w:w="65" w:type="dxa"/>
              <w:left w:w="65" w:type="dxa"/>
              <w:bottom w:w="65" w:type="dxa"/>
              <w:right w:w="65" w:type="dxa"/>
            </w:tcMar>
          </w:tcPr>
          <w:p>
            <w:pPr>
              <w:pStyle w:val="TableText"/>
              <w:keepNext/>
              <w:widowControl/>
              <w:jc w:val="left"/>
            </w:pPr>
            <w:r>
              <w:rPr>
                <w:b w:val="0"/>
                <w:sz w:val="17"/>
              </w:rPr>
              <w:t>.70 / 4</w:t>
            </w:r>
          </w:p>
        </w:tc>
        <w:tc>
          <w:tcPr>
            <w:tcW w:type="dxa" w:w="1304"/>
            <w:vAlign w:val="center"/>
            <w:tcMar>
              <w:top w:w="65" w:type="dxa"/>
              <w:left w:w="65" w:type="dxa"/>
              <w:bottom w:w="65" w:type="dxa"/>
              <w:right w:w="65" w:type="dxa"/>
            </w:tcMar>
          </w:tcPr>
          <w:p>
            <w:pPr>
              <w:pStyle w:val="TableText"/>
              <w:keepNext/>
              <w:widowControl/>
              <w:jc w:val="left"/>
            </w:pPr>
            <w:r>
              <w:rPr>
                <w:b w:val="0"/>
                <w:sz w:val="17"/>
              </w:rPr>
              <w:t>5×10⁻⁵</w:t>
            </w:r>
          </w:p>
        </w:tc>
        <w:tc>
          <w:tcPr>
            <w:tcW w:type="dxa" w:w="1020"/>
            <w:vAlign w:val="center"/>
            <w:tcMar>
              <w:top w:w="65" w:type="dxa"/>
              <w:left w:w="65" w:type="dxa"/>
              <w:bottom w:w="65" w:type="dxa"/>
              <w:right w:w="65" w:type="dxa"/>
            </w:tcMar>
          </w:tcPr>
          <w:p>
            <w:pPr>
              <w:pStyle w:val="TableText"/>
              <w:keepNext/>
              <w:widowControl/>
              <w:jc w:val="left"/>
            </w:pPr>
            <w:r>
              <w:rPr>
                <w:b w:val="0"/>
                <w:sz w:val="17"/>
              </w:rPr>
              <w:t>.02</w:t>
            </w:r>
          </w:p>
        </w:tc>
        <w:tc>
          <w:tcPr>
            <w:tcW w:type="dxa" w:w="1020"/>
            <w:vAlign w:val="center"/>
            <w:tcMar>
              <w:top w:w="65" w:type="dxa"/>
              <w:left w:w="65" w:type="dxa"/>
              <w:bottom w:w="65" w:type="dxa"/>
              <w:right w:w="65" w:type="dxa"/>
            </w:tcMar>
          </w:tcPr>
          <w:p>
            <w:pPr>
              <w:pStyle w:val="TableText"/>
              <w:keepNext/>
              <w:widowControl/>
              <w:jc w:val="left"/>
            </w:pPr>
            <w:r>
              <w:rPr>
                <w:b w:val="0"/>
                <w:sz w:val="17"/>
              </w:rPr>
              <w:t>180</w:t>
            </w:r>
          </w:p>
        </w:tc>
        <w:tc>
          <w:tcPr>
            <w:tcW w:type="dxa" w:w="1020"/>
            <w:vAlign w:val="center"/>
            <w:tcMar>
              <w:top w:w="65" w:type="dxa"/>
              <w:left w:w="65" w:type="dxa"/>
              <w:bottom w:w="65" w:type="dxa"/>
              <w:right w:w="65" w:type="dxa"/>
            </w:tcMar>
          </w:tcPr>
          <w:p>
            <w:pPr>
              <w:pStyle w:val="TableText"/>
              <w:keepNext/>
              <w:widowControl/>
              <w:jc w:val="left"/>
            </w:pPr>
            <w:r>
              <w:rPr>
                <w:b w:val="0"/>
                <w:sz w:val="17"/>
              </w:rPr>
              <w:t>1</w:t>
            </w:r>
          </w:p>
        </w:tc>
      </w:tr>
      <w:tr>
        <w:trPr>
          <w:cantSplit/>
        </w:trPr>
        <w:tc>
          <w:tcPr>
            <w:tcW w:type="dxa" w:w="2381"/>
            <w:vAlign w:val="center"/>
            <w:tcMar>
              <w:top w:w="65" w:type="dxa"/>
              <w:left w:w="65" w:type="dxa"/>
              <w:bottom w:w="65" w:type="dxa"/>
              <w:right w:w="65" w:type="dxa"/>
            </w:tcMar>
          </w:tcPr>
          <w:p>
            <w:pPr>
              <w:pStyle w:val="TableText"/>
              <w:keepNext w:val="0"/>
              <w:widowControl/>
              <w:jc w:val="left"/>
            </w:pPr>
            <w:r>
              <w:rPr>
                <w:b w:val="0"/>
                <w:sz w:val="17"/>
              </w:rPr>
              <w:t>M2_S0935</w:t>
            </w:r>
          </w:p>
        </w:tc>
        <w:tc>
          <w:tcPr>
            <w:tcW w:type="dxa" w:w="1191"/>
            <w:vAlign w:val="center"/>
            <w:tcMar>
              <w:top w:w="65" w:type="dxa"/>
              <w:left w:w="65" w:type="dxa"/>
              <w:bottom w:w="65" w:type="dxa"/>
              <w:right w:w="65" w:type="dxa"/>
            </w:tcMar>
          </w:tcPr>
          <w:p>
            <w:pPr>
              <w:pStyle w:val="TableText"/>
              <w:keepNext w:val="0"/>
              <w:widowControl/>
              <w:jc w:val="left"/>
            </w:pPr>
            <w:r>
              <w:rPr>
                <w:b w:val="0"/>
                <w:sz w:val="17"/>
              </w:rPr>
              <w:t>.70 / 4</w:t>
            </w:r>
          </w:p>
        </w:tc>
        <w:tc>
          <w:tcPr>
            <w:tcW w:type="dxa" w:w="1304"/>
            <w:vAlign w:val="center"/>
            <w:tcMar>
              <w:top w:w="65" w:type="dxa"/>
              <w:left w:w="65" w:type="dxa"/>
              <w:bottom w:w="65" w:type="dxa"/>
              <w:right w:w="65" w:type="dxa"/>
            </w:tcMar>
          </w:tcPr>
          <w:p>
            <w:pPr>
              <w:pStyle w:val="TableText"/>
              <w:keepNext w:val="0"/>
              <w:widowControl/>
              <w:jc w:val="left"/>
            </w:pPr>
            <w:r>
              <w:rPr>
                <w:b w:val="0"/>
                <w:sz w:val="17"/>
              </w:rPr>
              <w:t>5×10⁻⁵</w:t>
            </w:r>
          </w:p>
        </w:tc>
        <w:tc>
          <w:tcPr>
            <w:tcW w:type="dxa" w:w="1020"/>
            <w:vAlign w:val="center"/>
            <w:tcMar>
              <w:top w:w="65" w:type="dxa"/>
              <w:left w:w="65" w:type="dxa"/>
              <w:bottom w:w="65" w:type="dxa"/>
              <w:right w:w="65" w:type="dxa"/>
            </w:tcMar>
          </w:tcPr>
          <w:p>
            <w:pPr>
              <w:pStyle w:val="TableText"/>
              <w:keepNext w:val="0"/>
              <w:widowControl/>
              <w:jc w:val="left"/>
            </w:pPr>
            <w:r>
              <w:rPr>
                <w:b w:val="0"/>
                <w:sz w:val="17"/>
              </w:rPr>
              <w:t>.02</w:t>
            </w:r>
          </w:p>
        </w:tc>
        <w:tc>
          <w:tcPr>
            <w:tcW w:type="dxa" w:w="1020"/>
            <w:vAlign w:val="center"/>
            <w:tcMar>
              <w:top w:w="65" w:type="dxa"/>
              <w:left w:w="65" w:type="dxa"/>
              <w:bottom w:w="65" w:type="dxa"/>
              <w:right w:w="65" w:type="dxa"/>
            </w:tcMar>
          </w:tcPr>
          <w:p>
            <w:pPr>
              <w:pStyle w:val="TableText"/>
              <w:keepNext w:val="0"/>
              <w:widowControl/>
              <w:jc w:val="left"/>
            </w:pPr>
            <w:r>
              <w:rPr>
                <w:b w:val="0"/>
                <w:sz w:val="17"/>
              </w:rPr>
              <w:t>180</w:t>
            </w:r>
          </w:p>
        </w:tc>
        <w:tc>
          <w:tcPr>
            <w:tcW w:type="dxa" w:w="1020"/>
            <w:vAlign w:val="center"/>
            <w:tcMar>
              <w:top w:w="65" w:type="dxa"/>
              <w:left w:w="65" w:type="dxa"/>
              <w:bottom w:w="65" w:type="dxa"/>
              <w:right w:w="65" w:type="dxa"/>
            </w:tcMar>
          </w:tcPr>
          <w:p>
            <w:pPr>
              <w:pStyle w:val="TableText"/>
              <w:keepNext w:val="0"/>
              <w:widowControl/>
              <w:jc w:val="left"/>
            </w:pPr>
            <w:r>
              <w:rPr>
                <w:b w:val="0"/>
                <w:sz w:val="17"/>
              </w:rPr>
              <w:t>1</w:t>
            </w:r>
          </w:p>
        </w:tc>
      </w:tr>
      <w:tr>
        <w:trPr>
          <w:cantSplit/>
        </w:trPr>
        <w:tc>
          <w:tcPr>
            <w:tcW w:type="dxa" w:w="2381"/>
            <w:vAlign w:val="center"/>
            <w:tcMar>
              <w:top w:w="65" w:type="dxa"/>
              <w:left w:w="65" w:type="dxa"/>
              <w:bottom w:w="65" w:type="dxa"/>
              <w:right w:w="65" w:type="dxa"/>
            </w:tcMar>
          </w:tcPr>
          <w:p>
            <w:pPr>
              <w:pStyle w:val="TableText"/>
              <w:keepNext w:val="0"/>
              <w:widowControl/>
              <w:jc w:val="left"/>
            </w:pPr>
            <w:r>
              <w:rPr>
                <w:b w:val="0"/>
                <w:sz w:val="17"/>
              </w:rPr>
              <w:t>DT06</w:t>
            </w:r>
          </w:p>
        </w:tc>
        <w:tc>
          <w:tcPr>
            <w:tcW w:type="dxa" w:w="1191"/>
            <w:vAlign w:val="center"/>
            <w:tcMar>
              <w:top w:w="65" w:type="dxa"/>
              <w:left w:w="65" w:type="dxa"/>
              <w:bottom w:w="65" w:type="dxa"/>
              <w:right w:w="65" w:type="dxa"/>
            </w:tcMar>
          </w:tcPr>
          <w:p>
            <w:pPr>
              <w:pStyle w:val="TableText"/>
              <w:keepNext w:val="0"/>
              <w:widowControl/>
              <w:jc w:val="left"/>
            </w:pPr>
            <w:r>
              <w:rPr>
                <w:b w:val="0"/>
                <w:sz w:val="17"/>
              </w:rPr>
              <w:t>.70 / 4</w:t>
            </w:r>
          </w:p>
        </w:tc>
        <w:tc>
          <w:tcPr>
            <w:tcW w:type="dxa" w:w="1304"/>
            <w:vAlign w:val="center"/>
            <w:tcMar>
              <w:top w:w="65" w:type="dxa"/>
              <w:left w:w="65" w:type="dxa"/>
              <w:bottom w:w="65" w:type="dxa"/>
              <w:right w:w="65" w:type="dxa"/>
            </w:tcMar>
          </w:tcPr>
          <w:p>
            <w:pPr>
              <w:pStyle w:val="TableText"/>
              <w:keepNext w:val="0"/>
              <w:widowControl/>
              <w:jc w:val="left"/>
            </w:pPr>
            <w:r>
              <w:rPr>
                <w:b w:val="0"/>
                <w:sz w:val="17"/>
              </w:rPr>
              <w:t>4.5×10⁻⁵</w:t>
            </w:r>
          </w:p>
        </w:tc>
        <w:tc>
          <w:tcPr>
            <w:tcW w:type="dxa" w:w="1020"/>
            <w:vAlign w:val="center"/>
            <w:tcMar>
              <w:top w:w="65" w:type="dxa"/>
              <w:left w:w="65" w:type="dxa"/>
              <w:bottom w:w="65" w:type="dxa"/>
              <w:right w:w="65" w:type="dxa"/>
            </w:tcMar>
          </w:tcPr>
          <w:p>
            <w:pPr>
              <w:pStyle w:val="TableText"/>
              <w:keepNext w:val="0"/>
              <w:widowControl/>
              <w:jc w:val="left"/>
            </w:pPr>
            <w:r>
              <w:rPr>
                <w:b w:val="0"/>
                <w:sz w:val="17"/>
              </w:rPr>
              <w:t>.03</w:t>
            </w:r>
          </w:p>
        </w:tc>
        <w:tc>
          <w:tcPr>
            <w:tcW w:type="dxa" w:w="1020"/>
            <w:vAlign w:val="center"/>
            <w:tcMar>
              <w:top w:w="65" w:type="dxa"/>
              <w:left w:w="65" w:type="dxa"/>
              <w:bottom w:w="65" w:type="dxa"/>
              <w:right w:w="65" w:type="dxa"/>
            </w:tcMar>
          </w:tcPr>
          <w:p>
            <w:pPr>
              <w:pStyle w:val="TableText"/>
              <w:keepNext w:val="0"/>
              <w:widowControl/>
              <w:jc w:val="left"/>
            </w:pPr>
            <w:r>
              <w:rPr>
                <w:b w:val="0"/>
                <w:sz w:val="17"/>
              </w:rPr>
              <w:t>200</w:t>
            </w:r>
          </w:p>
        </w:tc>
        <w:tc>
          <w:tcPr>
            <w:tcW w:type="dxa" w:w="1020"/>
            <w:vAlign w:val="center"/>
            <w:tcMar>
              <w:top w:w="65" w:type="dxa"/>
              <w:left w:w="65" w:type="dxa"/>
              <w:bottom w:w="65" w:type="dxa"/>
              <w:right w:w="65" w:type="dxa"/>
            </w:tcMar>
          </w:tcPr>
          <w:p>
            <w:pPr>
              <w:pStyle w:val="TableText"/>
              <w:keepNext w:val="0"/>
              <w:widowControl/>
              <w:jc w:val="left"/>
            </w:pPr>
            <w:r>
              <w:rPr>
                <w:b w:val="0"/>
                <w:sz w:val="17"/>
              </w:rPr>
              <w:t>2</w:t>
            </w:r>
          </w:p>
        </w:tc>
      </w:tr>
      <w:tr>
        <w:trPr>
          <w:cantSplit/>
        </w:trPr>
        <w:tc>
          <w:tcPr>
            <w:tcW w:type="dxa" w:w="2381"/>
            <w:vAlign w:val="center"/>
            <w:tcMar>
              <w:top w:w="65" w:type="dxa"/>
              <w:left w:w="65" w:type="dxa"/>
              <w:bottom w:w="65" w:type="dxa"/>
              <w:right w:w="65" w:type="dxa"/>
            </w:tcMar>
          </w:tcPr>
          <w:p>
            <w:pPr>
              <w:pStyle w:val="TableText"/>
              <w:keepNext w:val="0"/>
              <w:widowControl/>
              <w:jc w:val="left"/>
            </w:pPr>
            <w:r>
              <w:rPr>
                <w:b w:val="0"/>
                <w:sz w:val="17"/>
              </w:rPr>
              <w:t>T15_REWARD_S088</w:t>
            </w:r>
          </w:p>
        </w:tc>
        <w:tc>
          <w:tcPr>
            <w:tcW w:type="dxa" w:w="1191"/>
            <w:vAlign w:val="center"/>
            <w:tcMar>
              <w:top w:w="65" w:type="dxa"/>
              <w:left w:w="65" w:type="dxa"/>
              <w:bottom w:w="65" w:type="dxa"/>
              <w:right w:w="65" w:type="dxa"/>
            </w:tcMar>
          </w:tcPr>
          <w:p>
            <w:pPr>
              <w:pStyle w:val="TableText"/>
              <w:keepNext w:val="0"/>
              <w:widowControl/>
              <w:jc w:val="left"/>
            </w:pPr>
            <w:r>
              <w:rPr>
                <w:b w:val="0"/>
                <w:sz w:val="17"/>
              </w:rPr>
              <w:t>.70 / 4</w:t>
            </w:r>
          </w:p>
        </w:tc>
        <w:tc>
          <w:tcPr>
            <w:tcW w:type="dxa" w:w="1304"/>
            <w:vAlign w:val="center"/>
            <w:tcMar>
              <w:top w:w="65" w:type="dxa"/>
              <w:left w:w="65" w:type="dxa"/>
              <w:bottom w:w="65" w:type="dxa"/>
              <w:right w:w="65" w:type="dxa"/>
            </w:tcMar>
          </w:tcPr>
          <w:p>
            <w:pPr>
              <w:pStyle w:val="TableText"/>
              <w:keepNext w:val="0"/>
              <w:widowControl/>
              <w:jc w:val="left"/>
            </w:pPr>
            <w:r>
              <w:rPr>
                <w:b w:val="0"/>
                <w:sz w:val="17"/>
              </w:rPr>
              <w:t>5×10⁻⁵</w:t>
            </w:r>
          </w:p>
        </w:tc>
        <w:tc>
          <w:tcPr>
            <w:tcW w:type="dxa" w:w="1020"/>
            <w:vAlign w:val="center"/>
            <w:tcMar>
              <w:top w:w="65" w:type="dxa"/>
              <w:left w:w="65" w:type="dxa"/>
              <w:bottom w:w="65" w:type="dxa"/>
              <w:right w:w="65" w:type="dxa"/>
            </w:tcMar>
          </w:tcPr>
          <w:p>
            <w:pPr>
              <w:pStyle w:val="TableText"/>
              <w:keepNext w:val="0"/>
              <w:widowControl/>
              <w:jc w:val="left"/>
            </w:pPr>
            <w:r>
              <w:rPr>
                <w:b w:val="0"/>
                <w:sz w:val="17"/>
              </w:rPr>
              <w:t>.02</w:t>
            </w:r>
          </w:p>
        </w:tc>
        <w:tc>
          <w:tcPr>
            <w:tcW w:type="dxa" w:w="1020"/>
            <w:vAlign w:val="center"/>
            <w:tcMar>
              <w:top w:w="65" w:type="dxa"/>
              <w:left w:w="65" w:type="dxa"/>
              <w:bottom w:w="65" w:type="dxa"/>
              <w:right w:w="65" w:type="dxa"/>
            </w:tcMar>
          </w:tcPr>
          <w:p>
            <w:pPr>
              <w:pStyle w:val="TableText"/>
              <w:keepNext w:val="0"/>
              <w:widowControl/>
              <w:jc w:val="left"/>
            </w:pPr>
            <w:r>
              <w:rPr>
                <w:b w:val="0"/>
                <w:sz w:val="17"/>
              </w:rPr>
              <w:t>180</w:t>
            </w:r>
          </w:p>
        </w:tc>
        <w:tc>
          <w:tcPr>
            <w:tcW w:type="dxa" w:w="1020"/>
            <w:vAlign w:val="center"/>
            <w:tcMar>
              <w:top w:w="65" w:type="dxa"/>
              <w:left w:w="65" w:type="dxa"/>
              <w:bottom w:w="65" w:type="dxa"/>
              <w:right w:w="65" w:type="dxa"/>
            </w:tcMar>
          </w:tcPr>
          <w:p>
            <w:pPr>
              <w:pStyle w:val="TableText"/>
              <w:keepNext w:val="0"/>
              <w:widowControl/>
              <w:jc w:val="left"/>
            </w:pPr>
            <w:r>
              <w:rPr>
                <w:b w:val="0"/>
                <w:sz w:val="17"/>
              </w:rPr>
              <w:t>1</w:t>
            </w:r>
          </w:p>
        </w:tc>
      </w:tr>
    </w:tbl>
    <w:p>
      <w:pPr>
        <w:pStyle w:val="SourceNote"/>
        <w:widowControl/>
      </w:pPr>
      <w:r>
        <w:t>자료: 실행 마스터 카탈로그의 최종 family 및 T15 검증기록. γ=0, CQL=0, sector shaping=0; actor 학습률 8×10⁻⁴. 예전 공통 γ=.6·11-class 명세를 최종 28 actor의 설정으로 재사용하지 않았다.</w:t>
      </w:r>
    </w:p>
    <w:p>
      <w:pPr>
        <w:widowControl/>
      </w:pPr>
      <w:r>
        <w:t>가중치와 학습률을 평균하여 하나의 새로운 actor를 학습한 것이 아니라, 각 configuration에서 이미 학습한 확률출력을 결합한다. predecessor hash가 같아야 같은 encoder/BC 경로로 해석할 수 있으며, 폴더명이나 seed 번호만으로 계보를 판단하지 않는다. 전체 설정과 가중치는 source manifest 및 실행 카탈로그에 연결한다.</w:t>
      </w:r>
    </w:p>
    <w:p>
      <w:bookmarkStart w:id="219" w:name="head_153"/>
      <w:pPr>
        <w:pStyle w:val="2"/>
        <w:widowControl/>
      </w:pPr>
      <w:r>
        <w:t>C.3 28개 actor의 checkpoint 연결</w:t>
      </w:r>
      <w:bookmarkEnd w:id="219"/>
    </w:p>
    <w:p>
      <w:bookmarkStart w:id="220" w:name="cap_67"/>
      <w:pPr>
        <w:pStyle w:val="af"/>
        <w:widowControl/>
      </w:pPr>
      <w:r>
        <w:t>표 C-3. 최종 구성원의 checkpoint 해시 접두어</w:t>
      </w:r>
      <w:bookmarkEnd w:id="220"/>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1701"/>
        <w:gridCol w:w="624"/>
        <w:gridCol w:w="1871"/>
        <w:gridCol w:w="1871"/>
        <w:gridCol w:w="1871"/>
      </w:tblGrid>
      <w:tr>
        <w:trPr>
          <w:cantSplit/>
          <w:tblHeader/>
        </w:trPr>
        <w:tc>
          <w:tcPr>
            <w:tcW w:type="dxa" w:w="1701"/>
            <w:vAlign w:val="center"/>
            <w:shd w:fill="F1F1F1"/>
            <w:tcMar>
              <w:top w:w="65" w:type="dxa"/>
              <w:left w:w="65" w:type="dxa"/>
              <w:bottom w:w="65" w:type="dxa"/>
              <w:right w:w="65" w:type="dxa"/>
            </w:tcMar>
          </w:tcPr>
          <w:p>
            <w:pPr>
              <w:pStyle w:val="TableText"/>
              <w:keepNext/>
              <w:widowControl/>
              <w:jc w:val="center"/>
            </w:pPr>
            <w:r>
              <w:rPr>
                <w:b/>
                <w:sz w:val="18"/>
              </w:rPr>
              <w:t>Config</w:t>
            </w:r>
          </w:p>
        </w:tc>
        <w:tc>
          <w:tcPr>
            <w:tcW w:type="dxa" w:w="624"/>
            <w:vAlign w:val="center"/>
            <w:shd w:fill="F1F1F1"/>
            <w:tcMar>
              <w:top w:w="65" w:type="dxa"/>
              <w:left w:w="65" w:type="dxa"/>
              <w:bottom w:w="65" w:type="dxa"/>
              <w:right w:w="65" w:type="dxa"/>
            </w:tcMar>
          </w:tcPr>
          <w:p>
            <w:pPr>
              <w:pStyle w:val="TableText"/>
              <w:keepNext/>
              <w:widowControl/>
              <w:jc w:val="center"/>
            </w:pPr>
            <w:r>
              <w:rPr>
                <w:b/>
                <w:sz w:val="18"/>
              </w:rPr>
              <w:t>Seed</w:t>
            </w:r>
          </w:p>
        </w:tc>
        <w:tc>
          <w:tcPr>
            <w:tcW w:type="dxa" w:w="1871"/>
            <w:vAlign w:val="center"/>
            <w:shd w:fill="F1F1F1"/>
            <w:tcMar>
              <w:top w:w="65" w:type="dxa"/>
              <w:left w:w="65" w:type="dxa"/>
              <w:bottom w:w="65" w:type="dxa"/>
              <w:right w:w="65" w:type="dxa"/>
            </w:tcMar>
          </w:tcPr>
          <w:p>
            <w:pPr>
              <w:pStyle w:val="TableText"/>
              <w:keepNext/>
              <w:widowControl/>
              <w:jc w:val="center"/>
            </w:pPr>
            <w:r>
              <w:rPr>
                <w:b/>
                <w:sz w:val="18"/>
              </w:rPr>
              <w:t>Stage3</w:t>
            </w:r>
          </w:p>
        </w:tc>
        <w:tc>
          <w:tcPr>
            <w:tcW w:type="dxa" w:w="1871"/>
            <w:vAlign w:val="center"/>
            <w:shd w:fill="F1F1F1"/>
            <w:tcMar>
              <w:top w:w="65" w:type="dxa"/>
              <w:left w:w="65" w:type="dxa"/>
              <w:bottom w:w="65" w:type="dxa"/>
              <w:right w:w="65" w:type="dxa"/>
            </w:tcMar>
          </w:tcPr>
          <w:p>
            <w:pPr>
              <w:pStyle w:val="TableText"/>
              <w:keepNext/>
              <w:widowControl/>
              <w:jc w:val="center"/>
            </w:pPr>
            <w:r>
              <w:rPr>
                <w:b/>
                <w:sz w:val="18"/>
              </w:rPr>
              <w:t>Stage4</w:t>
            </w:r>
          </w:p>
        </w:tc>
        <w:tc>
          <w:tcPr>
            <w:tcW w:type="dxa" w:w="1871"/>
            <w:vAlign w:val="center"/>
            <w:shd w:fill="F1F1F1"/>
            <w:tcMar>
              <w:top w:w="65" w:type="dxa"/>
              <w:left w:w="65" w:type="dxa"/>
              <w:bottom w:w="65" w:type="dxa"/>
              <w:right w:w="65" w:type="dxa"/>
            </w:tcMar>
          </w:tcPr>
          <w:p>
            <w:pPr>
              <w:pStyle w:val="TableText"/>
              <w:keepNext/>
              <w:widowControl/>
              <w:jc w:val="center"/>
            </w:pPr>
            <w:r>
              <w:rPr>
                <w:b/>
                <w:sz w:val="18"/>
              </w:rPr>
              <w:t>Stage5</w:t>
            </w:r>
          </w:p>
        </w:tc>
      </w:tr>
      <w:tr>
        <w:trPr>
          <w:cantSplit/>
        </w:trPr>
        <w:tc>
          <w:tcPr>
            <w:tcW w:type="dxa" w:w="1701"/>
            <w:vAlign w:val="center"/>
            <w:tcMar>
              <w:top w:w="65" w:type="dxa"/>
              <w:left w:w="65" w:type="dxa"/>
              <w:bottom w:w="65" w:type="dxa"/>
              <w:right w:w="65" w:type="dxa"/>
            </w:tcMar>
          </w:tcPr>
          <w:p>
            <w:pPr>
              <w:pStyle w:val="TableText"/>
              <w:keepNext/>
              <w:widowControl/>
              <w:jc w:val="left"/>
            </w:pPr>
            <w:r>
              <w:rPr>
                <w:b w:val="0"/>
                <w:sz w:val="18"/>
              </w:rPr>
              <w:t>B27</w:t>
            </w:r>
          </w:p>
        </w:tc>
        <w:tc>
          <w:tcPr>
            <w:tcW w:type="dxa" w:w="624"/>
            <w:vAlign w:val="center"/>
            <w:tcMar>
              <w:top w:w="65" w:type="dxa"/>
              <w:left w:w="65" w:type="dxa"/>
              <w:bottom w:w="65" w:type="dxa"/>
              <w:right w:w="65" w:type="dxa"/>
            </w:tcMar>
          </w:tcPr>
          <w:p>
            <w:pPr>
              <w:pStyle w:val="TableText"/>
              <w:keepNext/>
              <w:widowControl/>
              <w:jc w:val="left"/>
            </w:pPr>
            <w:r>
              <w:rPr>
                <w:b w:val="0"/>
                <w:sz w:val="18"/>
              </w:rPr>
              <w:t>2</w:t>
            </w:r>
          </w:p>
        </w:tc>
        <w:tc>
          <w:tcPr>
            <w:tcW w:type="dxa" w:w="1871"/>
            <w:vAlign w:val="center"/>
            <w:tcMar>
              <w:top w:w="65" w:type="dxa"/>
              <w:left w:w="65" w:type="dxa"/>
              <w:bottom w:w="65" w:type="dxa"/>
              <w:right w:w="65" w:type="dxa"/>
            </w:tcMar>
          </w:tcPr>
          <w:p>
            <w:pPr>
              <w:pStyle w:val="TableText"/>
              <w:keepNext/>
              <w:widowControl/>
              <w:jc w:val="left"/>
            </w:pPr>
            <w:r>
              <w:rPr>
                <w:b w:val="0"/>
                <w:sz w:val="18"/>
              </w:rPr>
              <w:t>fd1164cd5918</w:t>
            </w:r>
          </w:p>
        </w:tc>
        <w:tc>
          <w:tcPr>
            <w:tcW w:type="dxa" w:w="1871"/>
            <w:vAlign w:val="center"/>
            <w:tcMar>
              <w:top w:w="65" w:type="dxa"/>
              <w:left w:w="65" w:type="dxa"/>
              <w:bottom w:w="65" w:type="dxa"/>
              <w:right w:w="65" w:type="dxa"/>
            </w:tcMar>
          </w:tcPr>
          <w:p>
            <w:pPr>
              <w:pStyle w:val="TableText"/>
              <w:keepNext/>
              <w:widowControl/>
              <w:jc w:val="left"/>
            </w:pPr>
            <w:r>
              <w:rPr>
                <w:b w:val="0"/>
                <w:sz w:val="18"/>
              </w:rPr>
              <w:t>855da469144e</w:t>
            </w:r>
          </w:p>
        </w:tc>
        <w:tc>
          <w:tcPr>
            <w:tcW w:type="dxa" w:w="1871"/>
            <w:vAlign w:val="center"/>
            <w:tcMar>
              <w:top w:w="65" w:type="dxa"/>
              <w:left w:w="65" w:type="dxa"/>
              <w:bottom w:w="65" w:type="dxa"/>
              <w:right w:w="65" w:type="dxa"/>
            </w:tcMar>
          </w:tcPr>
          <w:p>
            <w:pPr>
              <w:pStyle w:val="TableText"/>
              <w:keepNext/>
              <w:widowControl/>
              <w:jc w:val="left"/>
            </w:pPr>
            <w:r>
              <w:rPr>
                <w:b w:val="0"/>
                <w:sz w:val="18"/>
              </w:rPr>
              <w:t>6ea4cb707057</w:t>
            </w:r>
          </w:p>
        </w:tc>
      </w:tr>
      <w:tr>
        <w:trPr>
          <w:cantSplit/>
        </w:trPr>
        <w:tc>
          <w:tcPr>
            <w:tcW w:type="dxa" w:w="1701"/>
            <w:vAlign w:val="center"/>
            <w:tcMar>
              <w:top w:w="65" w:type="dxa"/>
              <w:left w:w="65" w:type="dxa"/>
              <w:bottom w:w="65" w:type="dxa"/>
              <w:right w:w="65" w:type="dxa"/>
            </w:tcMar>
          </w:tcPr>
          <w:p>
            <w:pPr>
              <w:pStyle w:val="TableText"/>
              <w:keepNext w:val="0"/>
              <w:widowControl/>
              <w:jc w:val="left"/>
            </w:pPr>
            <w:r>
              <w:rPr>
                <w:b w:val="0"/>
                <w:sz w:val="18"/>
              </w:rPr>
              <w:t>B27</w:t>
            </w:r>
          </w:p>
        </w:tc>
        <w:tc>
          <w:tcPr>
            <w:tcW w:type="dxa" w:w="624"/>
            <w:vAlign w:val="center"/>
            <w:tcMar>
              <w:top w:w="65" w:type="dxa"/>
              <w:left w:w="65" w:type="dxa"/>
              <w:bottom w:w="65" w:type="dxa"/>
              <w:right w:w="65" w:type="dxa"/>
            </w:tcMar>
          </w:tcPr>
          <w:p>
            <w:pPr>
              <w:pStyle w:val="TableText"/>
              <w:keepNext w:val="0"/>
              <w:widowControl/>
              <w:jc w:val="left"/>
            </w:pPr>
            <w:r>
              <w:rPr>
                <w:b w:val="0"/>
                <w:sz w:val="18"/>
              </w:rPr>
              <w:t>11</w:t>
            </w:r>
          </w:p>
        </w:tc>
        <w:tc>
          <w:tcPr>
            <w:tcW w:type="dxa" w:w="1871"/>
            <w:vAlign w:val="center"/>
            <w:tcMar>
              <w:top w:w="65" w:type="dxa"/>
              <w:left w:w="65" w:type="dxa"/>
              <w:bottom w:w="65" w:type="dxa"/>
              <w:right w:w="65" w:type="dxa"/>
            </w:tcMar>
          </w:tcPr>
          <w:p>
            <w:pPr>
              <w:pStyle w:val="TableText"/>
              <w:keepNext w:val="0"/>
              <w:widowControl/>
              <w:jc w:val="left"/>
            </w:pPr>
            <w:r>
              <w:rPr>
                <w:b w:val="0"/>
                <w:sz w:val="18"/>
              </w:rPr>
              <w:t>ee6c82a66bfb</w:t>
            </w:r>
          </w:p>
        </w:tc>
        <w:tc>
          <w:tcPr>
            <w:tcW w:type="dxa" w:w="1871"/>
            <w:vAlign w:val="center"/>
            <w:tcMar>
              <w:top w:w="65" w:type="dxa"/>
              <w:left w:w="65" w:type="dxa"/>
              <w:bottom w:w="65" w:type="dxa"/>
              <w:right w:w="65" w:type="dxa"/>
            </w:tcMar>
          </w:tcPr>
          <w:p>
            <w:pPr>
              <w:pStyle w:val="TableText"/>
              <w:keepNext w:val="0"/>
              <w:widowControl/>
              <w:jc w:val="left"/>
            </w:pPr>
            <w:r>
              <w:rPr>
                <w:b w:val="0"/>
                <w:sz w:val="18"/>
              </w:rPr>
              <w:t>29555efde053</w:t>
            </w:r>
          </w:p>
        </w:tc>
        <w:tc>
          <w:tcPr>
            <w:tcW w:type="dxa" w:w="1871"/>
            <w:vAlign w:val="center"/>
            <w:tcMar>
              <w:top w:w="65" w:type="dxa"/>
              <w:left w:w="65" w:type="dxa"/>
              <w:bottom w:w="65" w:type="dxa"/>
              <w:right w:w="65" w:type="dxa"/>
            </w:tcMar>
          </w:tcPr>
          <w:p>
            <w:pPr>
              <w:pStyle w:val="TableText"/>
              <w:keepNext w:val="0"/>
              <w:widowControl/>
              <w:jc w:val="left"/>
            </w:pPr>
            <w:r>
              <w:rPr>
                <w:b w:val="0"/>
                <w:sz w:val="18"/>
              </w:rPr>
              <w:t>38d12a3393b5</w:t>
            </w:r>
          </w:p>
        </w:tc>
      </w:tr>
      <w:tr>
        <w:trPr>
          <w:cantSplit/>
        </w:trPr>
        <w:tc>
          <w:tcPr>
            <w:tcW w:type="dxa" w:w="1701"/>
            <w:vAlign w:val="center"/>
            <w:tcMar>
              <w:top w:w="65" w:type="dxa"/>
              <w:left w:w="65" w:type="dxa"/>
              <w:bottom w:w="65" w:type="dxa"/>
              <w:right w:w="65" w:type="dxa"/>
            </w:tcMar>
          </w:tcPr>
          <w:p>
            <w:pPr>
              <w:pStyle w:val="TableText"/>
              <w:keepNext w:val="0"/>
              <w:widowControl/>
              <w:jc w:val="left"/>
            </w:pPr>
            <w:r>
              <w:rPr>
                <w:b w:val="0"/>
                <w:sz w:val="18"/>
              </w:rPr>
              <w:t>B27</w:t>
            </w:r>
          </w:p>
        </w:tc>
        <w:tc>
          <w:tcPr>
            <w:tcW w:type="dxa" w:w="624"/>
            <w:vAlign w:val="center"/>
            <w:tcMar>
              <w:top w:w="65" w:type="dxa"/>
              <w:left w:w="65" w:type="dxa"/>
              <w:bottom w:w="65" w:type="dxa"/>
              <w:right w:w="65" w:type="dxa"/>
            </w:tcMar>
          </w:tcPr>
          <w:p>
            <w:pPr>
              <w:pStyle w:val="TableText"/>
              <w:keepNext w:val="0"/>
              <w:widowControl/>
              <w:jc w:val="left"/>
            </w:pPr>
            <w:r>
              <w:rPr>
                <w:b w:val="0"/>
                <w:sz w:val="18"/>
              </w:rPr>
              <w:t>12</w:t>
            </w:r>
          </w:p>
        </w:tc>
        <w:tc>
          <w:tcPr>
            <w:tcW w:type="dxa" w:w="1871"/>
            <w:vAlign w:val="center"/>
            <w:tcMar>
              <w:top w:w="65" w:type="dxa"/>
              <w:left w:w="65" w:type="dxa"/>
              <w:bottom w:w="65" w:type="dxa"/>
              <w:right w:w="65" w:type="dxa"/>
            </w:tcMar>
          </w:tcPr>
          <w:p>
            <w:pPr>
              <w:pStyle w:val="TableText"/>
              <w:keepNext w:val="0"/>
              <w:widowControl/>
              <w:jc w:val="left"/>
            </w:pPr>
            <w:r>
              <w:rPr>
                <w:b w:val="0"/>
                <w:sz w:val="18"/>
              </w:rPr>
              <w:t>37031e713d6f</w:t>
            </w:r>
          </w:p>
        </w:tc>
        <w:tc>
          <w:tcPr>
            <w:tcW w:type="dxa" w:w="1871"/>
            <w:vAlign w:val="center"/>
            <w:tcMar>
              <w:top w:w="65" w:type="dxa"/>
              <w:left w:w="65" w:type="dxa"/>
              <w:bottom w:w="65" w:type="dxa"/>
              <w:right w:w="65" w:type="dxa"/>
            </w:tcMar>
          </w:tcPr>
          <w:p>
            <w:pPr>
              <w:pStyle w:val="TableText"/>
              <w:keepNext w:val="0"/>
              <w:widowControl/>
              <w:jc w:val="left"/>
            </w:pPr>
            <w:r>
              <w:rPr>
                <w:b w:val="0"/>
                <w:sz w:val="18"/>
              </w:rPr>
              <w:t>6c86baadb413</w:t>
            </w:r>
          </w:p>
        </w:tc>
        <w:tc>
          <w:tcPr>
            <w:tcW w:type="dxa" w:w="1871"/>
            <w:vAlign w:val="center"/>
            <w:tcMar>
              <w:top w:w="65" w:type="dxa"/>
              <w:left w:w="65" w:type="dxa"/>
              <w:bottom w:w="65" w:type="dxa"/>
              <w:right w:w="65" w:type="dxa"/>
            </w:tcMar>
          </w:tcPr>
          <w:p>
            <w:pPr>
              <w:pStyle w:val="TableText"/>
              <w:keepNext w:val="0"/>
              <w:widowControl/>
              <w:jc w:val="left"/>
            </w:pPr>
            <w:r>
              <w:rPr>
                <w:b w:val="0"/>
                <w:sz w:val="18"/>
              </w:rPr>
              <w:t>141f9519d86c</w:t>
            </w:r>
          </w:p>
        </w:tc>
      </w:tr>
      <w:tr>
        <w:trPr>
          <w:cantSplit/>
        </w:trPr>
        <w:tc>
          <w:tcPr>
            <w:tcW w:type="dxa" w:w="1701"/>
            <w:vAlign w:val="center"/>
            <w:tcMar>
              <w:top w:w="65" w:type="dxa"/>
              <w:left w:w="65" w:type="dxa"/>
              <w:bottom w:w="65" w:type="dxa"/>
              <w:right w:w="65" w:type="dxa"/>
            </w:tcMar>
          </w:tcPr>
          <w:p>
            <w:pPr>
              <w:pStyle w:val="TableText"/>
              <w:keepNext w:val="0"/>
              <w:widowControl/>
              <w:jc w:val="left"/>
            </w:pPr>
            <w:r>
              <w:rPr>
                <w:b w:val="0"/>
                <w:sz w:val="18"/>
              </w:rPr>
              <w:t>B27</w:t>
            </w:r>
          </w:p>
        </w:tc>
        <w:tc>
          <w:tcPr>
            <w:tcW w:type="dxa" w:w="624"/>
            <w:vAlign w:val="center"/>
            <w:tcMar>
              <w:top w:w="65" w:type="dxa"/>
              <w:left w:w="65" w:type="dxa"/>
              <w:bottom w:w="65" w:type="dxa"/>
              <w:right w:w="65" w:type="dxa"/>
            </w:tcMar>
          </w:tcPr>
          <w:p>
            <w:pPr>
              <w:pStyle w:val="TableText"/>
              <w:keepNext w:val="0"/>
              <w:widowControl/>
              <w:jc w:val="left"/>
            </w:pPr>
            <w:r>
              <w:rPr>
                <w:b w:val="0"/>
                <w:sz w:val="18"/>
              </w:rPr>
              <w:t>13</w:t>
            </w:r>
          </w:p>
        </w:tc>
        <w:tc>
          <w:tcPr>
            <w:tcW w:type="dxa" w:w="1871"/>
            <w:vAlign w:val="center"/>
            <w:tcMar>
              <w:top w:w="65" w:type="dxa"/>
              <w:left w:w="65" w:type="dxa"/>
              <w:bottom w:w="65" w:type="dxa"/>
              <w:right w:w="65" w:type="dxa"/>
            </w:tcMar>
          </w:tcPr>
          <w:p>
            <w:pPr>
              <w:pStyle w:val="TableText"/>
              <w:keepNext w:val="0"/>
              <w:widowControl/>
              <w:jc w:val="left"/>
            </w:pPr>
            <w:r>
              <w:rPr>
                <w:b w:val="0"/>
                <w:sz w:val="18"/>
              </w:rPr>
              <w:t>de56bfd12bdf</w:t>
            </w:r>
          </w:p>
        </w:tc>
        <w:tc>
          <w:tcPr>
            <w:tcW w:type="dxa" w:w="1871"/>
            <w:vAlign w:val="center"/>
            <w:tcMar>
              <w:top w:w="65" w:type="dxa"/>
              <w:left w:w="65" w:type="dxa"/>
              <w:bottom w:w="65" w:type="dxa"/>
              <w:right w:w="65" w:type="dxa"/>
            </w:tcMar>
          </w:tcPr>
          <w:p>
            <w:pPr>
              <w:pStyle w:val="TableText"/>
              <w:keepNext w:val="0"/>
              <w:widowControl/>
              <w:jc w:val="left"/>
            </w:pPr>
            <w:r>
              <w:rPr>
                <w:b w:val="0"/>
                <w:sz w:val="18"/>
              </w:rPr>
              <w:t>ee003af1a3a1</w:t>
            </w:r>
          </w:p>
        </w:tc>
        <w:tc>
          <w:tcPr>
            <w:tcW w:type="dxa" w:w="1871"/>
            <w:vAlign w:val="center"/>
            <w:tcMar>
              <w:top w:w="65" w:type="dxa"/>
              <w:left w:w="65" w:type="dxa"/>
              <w:bottom w:w="65" w:type="dxa"/>
              <w:right w:w="65" w:type="dxa"/>
            </w:tcMar>
          </w:tcPr>
          <w:p>
            <w:pPr>
              <w:pStyle w:val="TableText"/>
              <w:keepNext w:val="0"/>
              <w:widowControl/>
              <w:jc w:val="left"/>
            </w:pPr>
            <w:r>
              <w:rPr>
                <w:b w:val="0"/>
                <w:sz w:val="18"/>
              </w:rPr>
              <w:t>f64897cac612</w:t>
            </w:r>
          </w:p>
        </w:tc>
      </w:tr>
      <w:tr>
        <w:trPr>
          <w:cantSplit/>
        </w:trPr>
        <w:tc>
          <w:tcPr>
            <w:tcW w:type="dxa" w:w="1701"/>
            <w:vAlign w:val="center"/>
            <w:tcMar>
              <w:top w:w="65" w:type="dxa"/>
              <w:left w:w="65" w:type="dxa"/>
              <w:bottom w:w="65" w:type="dxa"/>
              <w:right w:w="65" w:type="dxa"/>
            </w:tcMar>
          </w:tcPr>
          <w:p>
            <w:pPr>
              <w:pStyle w:val="TableText"/>
              <w:keepNext w:val="0"/>
              <w:widowControl/>
              <w:jc w:val="left"/>
            </w:pPr>
            <w:r>
              <w:rPr>
                <w:b w:val="0"/>
                <w:sz w:val="18"/>
              </w:rPr>
              <w:t>B27</w:t>
            </w:r>
          </w:p>
        </w:tc>
        <w:tc>
          <w:tcPr>
            <w:tcW w:type="dxa" w:w="624"/>
            <w:vAlign w:val="center"/>
            <w:tcMar>
              <w:top w:w="65" w:type="dxa"/>
              <w:left w:w="65" w:type="dxa"/>
              <w:bottom w:w="65" w:type="dxa"/>
              <w:right w:w="65" w:type="dxa"/>
            </w:tcMar>
          </w:tcPr>
          <w:p>
            <w:pPr>
              <w:pStyle w:val="TableText"/>
              <w:keepNext w:val="0"/>
              <w:widowControl/>
              <w:jc w:val="left"/>
            </w:pPr>
            <w:r>
              <w:rPr>
                <w:b w:val="0"/>
                <w:sz w:val="18"/>
              </w:rPr>
              <w:t>14</w:t>
            </w:r>
          </w:p>
        </w:tc>
        <w:tc>
          <w:tcPr>
            <w:tcW w:type="dxa" w:w="1871"/>
            <w:vAlign w:val="center"/>
            <w:tcMar>
              <w:top w:w="65" w:type="dxa"/>
              <w:left w:w="65" w:type="dxa"/>
              <w:bottom w:w="65" w:type="dxa"/>
              <w:right w:w="65" w:type="dxa"/>
            </w:tcMar>
          </w:tcPr>
          <w:p>
            <w:pPr>
              <w:pStyle w:val="TableText"/>
              <w:keepNext w:val="0"/>
              <w:widowControl/>
              <w:jc w:val="left"/>
            </w:pPr>
            <w:r>
              <w:rPr>
                <w:b w:val="0"/>
                <w:sz w:val="18"/>
              </w:rPr>
              <w:t>8049552b9548</w:t>
            </w:r>
          </w:p>
        </w:tc>
        <w:tc>
          <w:tcPr>
            <w:tcW w:type="dxa" w:w="1871"/>
            <w:vAlign w:val="center"/>
            <w:tcMar>
              <w:top w:w="65" w:type="dxa"/>
              <w:left w:w="65" w:type="dxa"/>
              <w:bottom w:w="65" w:type="dxa"/>
              <w:right w:w="65" w:type="dxa"/>
            </w:tcMar>
          </w:tcPr>
          <w:p>
            <w:pPr>
              <w:pStyle w:val="TableText"/>
              <w:keepNext w:val="0"/>
              <w:widowControl/>
              <w:jc w:val="left"/>
            </w:pPr>
            <w:r>
              <w:rPr>
                <w:b w:val="0"/>
                <w:sz w:val="18"/>
              </w:rPr>
              <w:t>a494becded26</w:t>
            </w:r>
          </w:p>
        </w:tc>
        <w:tc>
          <w:tcPr>
            <w:tcW w:type="dxa" w:w="1871"/>
            <w:vAlign w:val="center"/>
            <w:tcMar>
              <w:top w:w="65" w:type="dxa"/>
              <w:left w:w="65" w:type="dxa"/>
              <w:bottom w:w="65" w:type="dxa"/>
              <w:right w:w="65" w:type="dxa"/>
            </w:tcMar>
          </w:tcPr>
          <w:p>
            <w:pPr>
              <w:pStyle w:val="TableText"/>
              <w:keepNext w:val="0"/>
              <w:widowControl/>
              <w:jc w:val="left"/>
            </w:pPr>
            <w:r>
              <w:rPr>
                <w:b w:val="0"/>
                <w:sz w:val="18"/>
              </w:rPr>
              <w:t>972d6bc6b8a8</w:t>
            </w:r>
          </w:p>
        </w:tc>
      </w:tr>
      <w:tr>
        <w:trPr>
          <w:cantSplit/>
        </w:trPr>
        <w:tc>
          <w:tcPr>
            <w:tcW w:type="dxa" w:w="1701"/>
            <w:vAlign w:val="center"/>
            <w:tcMar>
              <w:top w:w="65" w:type="dxa"/>
              <w:left w:w="65" w:type="dxa"/>
              <w:bottom w:w="65" w:type="dxa"/>
              <w:right w:w="65" w:type="dxa"/>
            </w:tcMar>
          </w:tcPr>
          <w:p>
            <w:pPr>
              <w:pStyle w:val="TableText"/>
              <w:keepNext w:val="0"/>
              <w:widowControl/>
              <w:jc w:val="left"/>
            </w:pPr>
            <w:r>
              <w:rPr>
                <w:b w:val="0"/>
                <w:sz w:val="18"/>
              </w:rPr>
              <w:t>B27</w:t>
            </w:r>
          </w:p>
        </w:tc>
        <w:tc>
          <w:tcPr>
            <w:tcW w:type="dxa" w:w="624"/>
            <w:vAlign w:val="center"/>
            <w:tcMar>
              <w:top w:w="65" w:type="dxa"/>
              <w:left w:w="65" w:type="dxa"/>
              <w:bottom w:w="65" w:type="dxa"/>
              <w:right w:w="65" w:type="dxa"/>
            </w:tcMar>
          </w:tcPr>
          <w:p>
            <w:pPr>
              <w:pStyle w:val="TableText"/>
              <w:keepNext w:val="0"/>
              <w:widowControl/>
              <w:jc w:val="left"/>
            </w:pPr>
            <w:r>
              <w:rPr>
                <w:b w:val="0"/>
                <w:sz w:val="18"/>
              </w:rPr>
              <w:t>15</w:t>
            </w:r>
          </w:p>
        </w:tc>
        <w:tc>
          <w:tcPr>
            <w:tcW w:type="dxa" w:w="1871"/>
            <w:vAlign w:val="center"/>
            <w:tcMar>
              <w:top w:w="65" w:type="dxa"/>
              <w:left w:w="65" w:type="dxa"/>
              <w:bottom w:w="65" w:type="dxa"/>
              <w:right w:w="65" w:type="dxa"/>
            </w:tcMar>
          </w:tcPr>
          <w:p>
            <w:pPr>
              <w:pStyle w:val="TableText"/>
              <w:keepNext w:val="0"/>
              <w:widowControl/>
              <w:jc w:val="left"/>
            </w:pPr>
            <w:r>
              <w:rPr>
                <w:b w:val="0"/>
                <w:sz w:val="18"/>
              </w:rPr>
              <w:t>e87beb0ef6b2</w:t>
            </w:r>
          </w:p>
        </w:tc>
        <w:tc>
          <w:tcPr>
            <w:tcW w:type="dxa" w:w="1871"/>
            <w:vAlign w:val="center"/>
            <w:tcMar>
              <w:top w:w="65" w:type="dxa"/>
              <w:left w:w="65" w:type="dxa"/>
              <w:bottom w:w="65" w:type="dxa"/>
              <w:right w:w="65" w:type="dxa"/>
            </w:tcMar>
          </w:tcPr>
          <w:p>
            <w:pPr>
              <w:pStyle w:val="TableText"/>
              <w:keepNext w:val="0"/>
              <w:widowControl/>
              <w:jc w:val="left"/>
            </w:pPr>
            <w:r>
              <w:rPr>
                <w:b w:val="0"/>
                <w:sz w:val="18"/>
              </w:rPr>
              <w:t>9e585088ef41</w:t>
            </w:r>
          </w:p>
        </w:tc>
        <w:tc>
          <w:tcPr>
            <w:tcW w:type="dxa" w:w="1871"/>
            <w:vAlign w:val="center"/>
            <w:tcMar>
              <w:top w:w="65" w:type="dxa"/>
              <w:left w:w="65" w:type="dxa"/>
              <w:bottom w:w="65" w:type="dxa"/>
              <w:right w:w="65" w:type="dxa"/>
            </w:tcMar>
          </w:tcPr>
          <w:p>
            <w:pPr>
              <w:pStyle w:val="TableText"/>
              <w:keepNext w:val="0"/>
              <w:widowControl/>
              <w:jc w:val="left"/>
            </w:pPr>
            <w:r>
              <w:rPr>
                <w:b w:val="0"/>
                <w:sz w:val="18"/>
              </w:rPr>
              <w:t>41277b216d59</w:t>
            </w:r>
          </w:p>
        </w:tc>
      </w:tr>
      <w:tr>
        <w:trPr>
          <w:cantSplit/>
        </w:trPr>
        <w:tc>
          <w:tcPr>
            <w:tcW w:type="dxa" w:w="1701"/>
            <w:vAlign w:val="center"/>
            <w:tcMar>
              <w:top w:w="65" w:type="dxa"/>
              <w:left w:w="65" w:type="dxa"/>
              <w:bottom w:w="65" w:type="dxa"/>
              <w:right w:w="65" w:type="dxa"/>
            </w:tcMar>
          </w:tcPr>
          <w:p>
            <w:pPr>
              <w:pStyle w:val="TableText"/>
              <w:keepNext w:val="0"/>
              <w:widowControl/>
              <w:jc w:val="left"/>
            </w:pPr>
            <w:r>
              <w:rPr>
                <w:b w:val="0"/>
                <w:sz w:val="18"/>
              </w:rPr>
              <w:t>B27</w:t>
            </w:r>
          </w:p>
        </w:tc>
        <w:tc>
          <w:tcPr>
            <w:tcW w:type="dxa" w:w="624"/>
            <w:vAlign w:val="center"/>
            <w:tcMar>
              <w:top w:w="65" w:type="dxa"/>
              <w:left w:w="65" w:type="dxa"/>
              <w:bottom w:w="65" w:type="dxa"/>
              <w:right w:w="65" w:type="dxa"/>
            </w:tcMar>
          </w:tcPr>
          <w:p>
            <w:pPr>
              <w:pStyle w:val="TableText"/>
              <w:keepNext w:val="0"/>
              <w:widowControl/>
              <w:jc w:val="left"/>
            </w:pPr>
            <w:r>
              <w:rPr>
                <w:b w:val="0"/>
                <w:sz w:val="18"/>
              </w:rPr>
              <w:t>16</w:t>
            </w:r>
          </w:p>
        </w:tc>
        <w:tc>
          <w:tcPr>
            <w:tcW w:type="dxa" w:w="1871"/>
            <w:vAlign w:val="center"/>
            <w:tcMar>
              <w:top w:w="65" w:type="dxa"/>
              <w:left w:w="65" w:type="dxa"/>
              <w:bottom w:w="65" w:type="dxa"/>
              <w:right w:w="65" w:type="dxa"/>
            </w:tcMar>
          </w:tcPr>
          <w:p>
            <w:pPr>
              <w:pStyle w:val="TableText"/>
              <w:keepNext w:val="0"/>
              <w:widowControl/>
              <w:jc w:val="left"/>
            </w:pPr>
            <w:r>
              <w:rPr>
                <w:b w:val="0"/>
                <w:sz w:val="18"/>
              </w:rPr>
              <w:t>cf90b760c7cc</w:t>
            </w:r>
          </w:p>
        </w:tc>
        <w:tc>
          <w:tcPr>
            <w:tcW w:type="dxa" w:w="1871"/>
            <w:vAlign w:val="center"/>
            <w:tcMar>
              <w:top w:w="65" w:type="dxa"/>
              <w:left w:w="65" w:type="dxa"/>
              <w:bottom w:w="65" w:type="dxa"/>
              <w:right w:w="65" w:type="dxa"/>
            </w:tcMar>
          </w:tcPr>
          <w:p>
            <w:pPr>
              <w:pStyle w:val="TableText"/>
              <w:keepNext w:val="0"/>
              <w:widowControl/>
              <w:jc w:val="left"/>
            </w:pPr>
            <w:r>
              <w:rPr>
                <w:b w:val="0"/>
                <w:sz w:val="18"/>
              </w:rPr>
              <w:t>ff135a368d16</w:t>
            </w:r>
          </w:p>
        </w:tc>
        <w:tc>
          <w:tcPr>
            <w:tcW w:type="dxa" w:w="1871"/>
            <w:vAlign w:val="center"/>
            <w:tcMar>
              <w:top w:w="65" w:type="dxa"/>
              <w:left w:w="65" w:type="dxa"/>
              <w:bottom w:w="65" w:type="dxa"/>
              <w:right w:w="65" w:type="dxa"/>
            </w:tcMar>
          </w:tcPr>
          <w:p>
            <w:pPr>
              <w:pStyle w:val="TableText"/>
              <w:keepNext w:val="0"/>
              <w:widowControl/>
              <w:jc w:val="left"/>
            </w:pPr>
            <w:r>
              <w:rPr>
                <w:b w:val="0"/>
                <w:sz w:val="18"/>
              </w:rPr>
              <w:t>d5f0bf77eed4</w:t>
            </w:r>
          </w:p>
        </w:tc>
      </w:tr>
      <w:tr>
        <w:trPr>
          <w:cantSplit/>
        </w:trPr>
        <w:tc>
          <w:tcPr>
            <w:tcW w:type="dxa" w:w="1701"/>
            <w:vAlign w:val="center"/>
            <w:tcMar>
              <w:top w:w="65" w:type="dxa"/>
              <w:left w:w="65" w:type="dxa"/>
              <w:bottom w:w="65" w:type="dxa"/>
              <w:right w:w="65" w:type="dxa"/>
            </w:tcMar>
          </w:tcPr>
          <w:p>
            <w:pPr>
              <w:pStyle w:val="TableText"/>
              <w:keepNext w:val="0"/>
              <w:widowControl/>
              <w:jc w:val="left"/>
            </w:pPr>
            <w:r>
              <w:rPr>
                <w:b w:val="0"/>
                <w:sz w:val="18"/>
              </w:rPr>
              <w:t>DT06</w:t>
            </w:r>
          </w:p>
        </w:tc>
        <w:tc>
          <w:tcPr>
            <w:tcW w:type="dxa" w:w="624"/>
            <w:vAlign w:val="center"/>
            <w:tcMar>
              <w:top w:w="65" w:type="dxa"/>
              <w:left w:w="65" w:type="dxa"/>
              <w:bottom w:w="65" w:type="dxa"/>
              <w:right w:w="65" w:type="dxa"/>
            </w:tcMar>
          </w:tcPr>
          <w:p>
            <w:pPr>
              <w:pStyle w:val="TableText"/>
              <w:keepNext w:val="0"/>
              <w:widowControl/>
              <w:jc w:val="left"/>
            </w:pPr>
            <w:r>
              <w:rPr>
                <w:b w:val="0"/>
                <w:sz w:val="18"/>
              </w:rPr>
              <w:t>2</w:t>
            </w:r>
          </w:p>
        </w:tc>
        <w:tc>
          <w:tcPr>
            <w:tcW w:type="dxa" w:w="1871"/>
            <w:vAlign w:val="center"/>
            <w:tcMar>
              <w:top w:w="65" w:type="dxa"/>
              <w:left w:w="65" w:type="dxa"/>
              <w:bottom w:w="65" w:type="dxa"/>
              <w:right w:w="65" w:type="dxa"/>
            </w:tcMar>
          </w:tcPr>
          <w:p>
            <w:pPr>
              <w:pStyle w:val="TableText"/>
              <w:keepNext w:val="0"/>
              <w:widowControl/>
              <w:jc w:val="left"/>
            </w:pPr>
            <w:r>
              <w:rPr>
                <w:b w:val="0"/>
                <w:sz w:val="18"/>
              </w:rPr>
              <w:t>fd1164cd5918</w:t>
            </w:r>
          </w:p>
        </w:tc>
        <w:tc>
          <w:tcPr>
            <w:tcW w:type="dxa" w:w="1871"/>
            <w:vAlign w:val="center"/>
            <w:tcMar>
              <w:top w:w="65" w:type="dxa"/>
              <w:left w:w="65" w:type="dxa"/>
              <w:bottom w:w="65" w:type="dxa"/>
              <w:right w:w="65" w:type="dxa"/>
            </w:tcMar>
          </w:tcPr>
          <w:p>
            <w:pPr>
              <w:pStyle w:val="TableText"/>
              <w:keepNext w:val="0"/>
              <w:widowControl/>
              <w:jc w:val="left"/>
            </w:pPr>
            <w:r>
              <w:rPr>
                <w:b w:val="0"/>
                <w:sz w:val="18"/>
              </w:rPr>
              <w:t>855da469144e</w:t>
            </w:r>
          </w:p>
        </w:tc>
        <w:tc>
          <w:tcPr>
            <w:tcW w:type="dxa" w:w="1871"/>
            <w:vAlign w:val="center"/>
            <w:tcMar>
              <w:top w:w="65" w:type="dxa"/>
              <w:left w:w="65" w:type="dxa"/>
              <w:bottom w:w="65" w:type="dxa"/>
              <w:right w:w="65" w:type="dxa"/>
            </w:tcMar>
          </w:tcPr>
          <w:p>
            <w:pPr>
              <w:pStyle w:val="TableText"/>
              <w:keepNext w:val="0"/>
              <w:widowControl/>
              <w:jc w:val="left"/>
            </w:pPr>
            <w:r>
              <w:rPr>
                <w:b w:val="0"/>
                <w:sz w:val="18"/>
              </w:rPr>
              <w:t>52064ba3ea7f</w:t>
            </w:r>
          </w:p>
        </w:tc>
      </w:tr>
      <w:tr>
        <w:trPr>
          <w:cantSplit/>
        </w:trPr>
        <w:tc>
          <w:tcPr>
            <w:tcW w:type="dxa" w:w="1701"/>
            <w:vAlign w:val="center"/>
            <w:tcMar>
              <w:top w:w="65" w:type="dxa"/>
              <w:left w:w="65" w:type="dxa"/>
              <w:bottom w:w="65" w:type="dxa"/>
              <w:right w:w="65" w:type="dxa"/>
            </w:tcMar>
          </w:tcPr>
          <w:p>
            <w:pPr>
              <w:pStyle w:val="TableText"/>
              <w:keepNext w:val="0"/>
              <w:widowControl/>
              <w:jc w:val="left"/>
            </w:pPr>
            <w:r>
              <w:rPr>
                <w:b w:val="0"/>
                <w:sz w:val="18"/>
              </w:rPr>
              <w:t>DT06</w:t>
            </w:r>
          </w:p>
        </w:tc>
        <w:tc>
          <w:tcPr>
            <w:tcW w:type="dxa" w:w="624"/>
            <w:vAlign w:val="center"/>
            <w:tcMar>
              <w:top w:w="65" w:type="dxa"/>
              <w:left w:w="65" w:type="dxa"/>
              <w:bottom w:w="65" w:type="dxa"/>
              <w:right w:w="65" w:type="dxa"/>
            </w:tcMar>
          </w:tcPr>
          <w:p>
            <w:pPr>
              <w:pStyle w:val="TableText"/>
              <w:keepNext w:val="0"/>
              <w:widowControl/>
              <w:jc w:val="left"/>
            </w:pPr>
            <w:r>
              <w:rPr>
                <w:b w:val="0"/>
                <w:sz w:val="18"/>
              </w:rPr>
              <w:t>11</w:t>
            </w:r>
          </w:p>
        </w:tc>
        <w:tc>
          <w:tcPr>
            <w:tcW w:type="dxa" w:w="1871"/>
            <w:vAlign w:val="center"/>
            <w:tcMar>
              <w:top w:w="65" w:type="dxa"/>
              <w:left w:w="65" w:type="dxa"/>
              <w:bottom w:w="65" w:type="dxa"/>
              <w:right w:w="65" w:type="dxa"/>
            </w:tcMar>
          </w:tcPr>
          <w:p>
            <w:pPr>
              <w:pStyle w:val="TableText"/>
              <w:keepNext w:val="0"/>
              <w:widowControl/>
              <w:jc w:val="left"/>
            </w:pPr>
            <w:r>
              <w:rPr>
                <w:b w:val="0"/>
                <w:sz w:val="18"/>
              </w:rPr>
              <w:t>ee6c82a66bfb</w:t>
            </w:r>
          </w:p>
        </w:tc>
        <w:tc>
          <w:tcPr>
            <w:tcW w:type="dxa" w:w="1871"/>
            <w:vAlign w:val="center"/>
            <w:tcMar>
              <w:top w:w="65" w:type="dxa"/>
              <w:left w:w="65" w:type="dxa"/>
              <w:bottom w:w="65" w:type="dxa"/>
              <w:right w:w="65" w:type="dxa"/>
            </w:tcMar>
          </w:tcPr>
          <w:p>
            <w:pPr>
              <w:pStyle w:val="TableText"/>
              <w:keepNext w:val="0"/>
              <w:widowControl/>
              <w:jc w:val="left"/>
            </w:pPr>
            <w:r>
              <w:rPr>
                <w:b w:val="0"/>
                <w:sz w:val="18"/>
              </w:rPr>
              <w:t>29555efde053</w:t>
            </w:r>
          </w:p>
        </w:tc>
        <w:tc>
          <w:tcPr>
            <w:tcW w:type="dxa" w:w="1871"/>
            <w:vAlign w:val="center"/>
            <w:tcMar>
              <w:top w:w="65" w:type="dxa"/>
              <w:left w:w="65" w:type="dxa"/>
              <w:bottom w:w="65" w:type="dxa"/>
              <w:right w:w="65" w:type="dxa"/>
            </w:tcMar>
          </w:tcPr>
          <w:p>
            <w:pPr>
              <w:pStyle w:val="TableText"/>
              <w:keepNext w:val="0"/>
              <w:widowControl/>
              <w:jc w:val="left"/>
            </w:pPr>
            <w:r>
              <w:rPr>
                <w:b w:val="0"/>
                <w:sz w:val="18"/>
              </w:rPr>
              <w:t>89be19c952cd</w:t>
            </w:r>
          </w:p>
        </w:tc>
      </w:tr>
      <w:tr>
        <w:trPr>
          <w:cantSplit/>
        </w:trPr>
        <w:tc>
          <w:tcPr>
            <w:tcW w:type="dxa" w:w="1701"/>
            <w:vAlign w:val="center"/>
            <w:tcMar>
              <w:top w:w="65" w:type="dxa"/>
              <w:left w:w="65" w:type="dxa"/>
              <w:bottom w:w="65" w:type="dxa"/>
              <w:right w:w="65" w:type="dxa"/>
            </w:tcMar>
          </w:tcPr>
          <w:p>
            <w:pPr>
              <w:pStyle w:val="TableText"/>
              <w:keepNext w:val="0"/>
              <w:widowControl/>
              <w:jc w:val="left"/>
            </w:pPr>
            <w:r>
              <w:rPr>
                <w:b w:val="0"/>
                <w:sz w:val="18"/>
              </w:rPr>
              <w:t>DT06</w:t>
            </w:r>
          </w:p>
        </w:tc>
        <w:tc>
          <w:tcPr>
            <w:tcW w:type="dxa" w:w="624"/>
            <w:vAlign w:val="center"/>
            <w:tcMar>
              <w:top w:w="65" w:type="dxa"/>
              <w:left w:w="65" w:type="dxa"/>
              <w:bottom w:w="65" w:type="dxa"/>
              <w:right w:w="65" w:type="dxa"/>
            </w:tcMar>
          </w:tcPr>
          <w:p>
            <w:pPr>
              <w:pStyle w:val="TableText"/>
              <w:keepNext w:val="0"/>
              <w:widowControl/>
              <w:jc w:val="left"/>
            </w:pPr>
            <w:r>
              <w:rPr>
                <w:b w:val="0"/>
                <w:sz w:val="18"/>
              </w:rPr>
              <w:t>12</w:t>
            </w:r>
          </w:p>
        </w:tc>
        <w:tc>
          <w:tcPr>
            <w:tcW w:type="dxa" w:w="1871"/>
            <w:vAlign w:val="center"/>
            <w:tcMar>
              <w:top w:w="65" w:type="dxa"/>
              <w:left w:w="65" w:type="dxa"/>
              <w:bottom w:w="65" w:type="dxa"/>
              <w:right w:w="65" w:type="dxa"/>
            </w:tcMar>
          </w:tcPr>
          <w:p>
            <w:pPr>
              <w:pStyle w:val="TableText"/>
              <w:keepNext w:val="0"/>
              <w:widowControl/>
              <w:jc w:val="left"/>
            </w:pPr>
            <w:r>
              <w:rPr>
                <w:b w:val="0"/>
                <w:sz w:val="18"/>
              </w:rPr>
              <w:t>37031e713d6f</w:t>
            </w:r>
          </w:p>
        </w:tc>
        <w:tc>
          <w:tcPr>
            <w:tcW w:type="dxa" w:w="1871"/>
            <w:vAlign w:val="center"/>
            <w:tcMar>
              <w:top w:w="65" w:type="dxa"/>
              <w:left w:w="65" w:type="dxa"/>
              <w:bottom w:w="65" w:type="dxa"/>
              <w:right w:w="65" w:type="dxa"/>
            </w:tcMar>
          </w:tcPr>
          <w:p>
            <w:pPr>
              <w:pStyle w:val="TableText"/>
              <w:keepNext w:val="0"/>
              <w:widowControl/>
              <w:jc w:val="left"/>
            </w:pPr>
            <w:r>
              <w:rPr>
                <w:b w:val="0"/>
                <w:sz w:val="18"/>
              </w:rPr>
              <w:t>6c86baadb413</w:t>
            </w:r>
          </w:p>
        </w:tc>
        <w:tc>
          <w:tcPr>
            <w:tcW w:type="dxa" w:w="1871"/>
            <w:vAlign w:val="center"/>
            <w:tcMar>
              <w:top w:w="65" w:type="dxa"/>
              <w:left w:w="65" w:type="dxa"/>
              <w:bottom w:w="65" w:type="dxa"/>
              <w:right w:w="65" w:type="dxa"/>
            </w:tcMar>
          </w:tcPr>
          <w:p>
            <w:pPr>
              <w:pStyle w:val="TableText"/>
              <w:keepNext w:val="0"/>
              <w:widowControl/>
              <w:jc w:val="left"/>
            </w:pPr>
            <w:r>
              <w:rPr>
                <w:b w:val="0"/>
                <w:sz w:val="18"/>
              </w:rPr>
              <w:t>d010a69d5b07</w:t>
            </w:r>
          </w:p>
        </w:tc>
      </w:tr>
      <w:tr>
        <w:trPr>
          <w:cantSplit/>
        </w:trPr>
        <w:tc>
          <w:tcPr>
            <w:tcW w:type="dxa" w:w="1701"/>
            <w:vAlign w:val="center"/>
            <w:tcMar>
              <w:top w:w="65" w:type="dxa"/>
              <w:left w:w="65" w:type="dxa"/>
              <w:bottom w:w="65" w:type="dxa"/>
              <w:right w:w="65" w:type="dxa"/>
            </w:tcMar>
          </w:tcPr>
          <w:p>
            <w:pPr>
              <w:pStyle w:val="TableText"/>
              <w:keepNext w:val="0"/>
              <w:widowControl/>
              <w:jc w:val="left"/>
            </w:pPr>
            <w:r>
              <w:rPr>
                <w:b w:val="0"/>
                <w:sz w:val="18"/>
              </w:rPr>
              <w:t>DT06</w:t>
            </w:r>
          </w:p>
        </w:tc>
        <w:tc>
          <w:tcPr>
            <w:tcW w:type="dxa" w:w="624"/>
            <w:vAlign w:val="center"/>
            <w:tcMar>
              <w:top w:w="65" w:type="dxa"/>
              <w:left w:w="65" w:type="dxa"/>
              <w:bottom w:w="65" w:type="dxa"/>
              <w:right w:w="65" w:type="dxa"/>
            </w:tcMar>
          </w:tcPr>
          <w:p>
            <w:pPr>
              <w:pStyle w:val="TableText"/>
              <w:keepNext w:val="0"/>
              <w:widowControl/>
              <w:jc w:val="left"/>
            </w:pPr>
            <w:r>
              <w:rPr>
                <w:b w:val="0"/>
                <w:sz w:val="18"/>
              </w:rPr>
              <w:t>13</w:t>
            </w:r>
          </w:p>
        </w:tc>
        <w:tc>
          <w:tcPr>
            <w:tcW w:type="dxa" w:w="1871"/>
            <w:vAlign w:val="center"/>
            <w:tcMar>
              <w:top w:w="65" w:type="dxa"/>
              <w:left w:w="65" w:type="dxa"/>
              <w:bottom w:w="65" w:type="dxa"/>
              <w:right w:w="65" w:type="dxa"/>
            </w:tcMar>
          </w:tcPr>
          <w:p>
            <w:pPr>
              <w:pStyle w:val="TableText"/>
              <w:keepNext w:val="0"/>
              <w:widowControl/>
              <w:jc w:val="left"/>
            </w:pPr>
            <w:r>
              <w:rPr>
                <w:b w:val="0"/>
                <w:sz w:val="18"/>
              </w:rPr>
              <w:t>de56bfd12bdf</w:t>
            </w:r>
          </w:p>
        </w:tc>
        <w:tc>
          <w:tcPr>
            <w:tcW w:type="dxa" w:w="1871"/>
            <w:vAlign w:val="center"/>
            <w:tcMar>
              <w:top w:w="65" w:type="dxa"/>
              <w:left w:w="65" w:type="dxa"/>
              <w:bottom w:w="65" w:type="dxa"/>
              <w:right w:w="65" w:type="dxa"/>
            </w:tcMar>
          </w:tcPr>
          <w:p>
            <w:pPr>
              <w:pStyle w:val="TableText"/>
              <w:keepNext w:val="0"/>
              <w:widowControl/>
              <w:jc w:val="left"/>
            </w:pPr>
            <w:r>
              <w:rPr>
                <w:b w:val="0"/>
                <w:sz w:val="18"/>
              </w:rPr>
              <w:t>ee003af1a3a1</w:t>
            </w:r>
          </w:p>
        </w:tc>
        <w:tc>
          <w:tcPr>
            <w:tcW w:type="dxa" w:w="1871"/>
            <w:vAlign w:val="center"/>
            <w:tcMar>
              <w:top w:w="65" w:type="dxa"/>
              <w:left w:w="65" w:type="dxa"/>
              <w:bottom w:w="65" w:type="dxa"/>
              <w:right w:w="65" w:type="dxa"/>
            </w:tcMar>
          </w:tcPr>
          <w:p>
            <w:pPr>
              <w:pStyle w:val="TableText"/>
              <w:keepNext w:val="0"/>
              <w:widowControl/>
              <w:jc w:val="left"/>
            </w:pPr>
            <w:r>
              <w:rPr>
                <w:b w:val="0"/>
                <w:sz w:val="18"/>
              </w:rPr>
              <w:t>700009a85fcb</w:t>
            </w:r>
          </w:p>
        </w:tc>
      </w:tr>
      <w:tr>
        <w:trPr>
          <w:cantSplit/>
        </w:trPr>
        <w:tc>
          <w:tcPr>
            <w:tcW w:type="dxa" w:w="1701"/>
            <w:vAlign w:val="center"/>
            <w:tcMar>
              <w:top w:w="65" w:type="dxa"/>
              <w:left w:w="65" w:type="dxa"/>
              <w:bottom w:w="65" w:type="dxa"/>
              <w:right w:w="65" w:type="dxa"/>
            </w:tcMar>
          </w:tcPr>
          <w:p>
            <w:pPr>
              <w:pStyle w:val="TableText"/>
              <w:keepNext w:val="0"/>
              <w:widowControl/>
              <w:jc w:val="left"/>
            </w:pPr>
            <w:r>
              <w:rPr>
                <w:b w:val="0"/>
                <w:sz w:val="18"/>
              </w:rPr>
              <w:t>DT06</w:t>
            </w:r>
          </w:p>
        </w:tc>
        <w:tc>
          <w:tcPr>
            <w:tcW w:type="dxa" w:w="624"/>
            <w:vAlign w:val="center"/>
            <w:tcMar>
              <w:top w:w="65" w:type="dxa"/>
              <w:left w:w="65" w:type="dxa"/>
              <w:bottom w:w="65" w:type="dxa"/>
              <w:right w:w="65" w:type="dxa"/>
            </w:tcMar>
          </w:tcPr>
          <w:p>
            <w:pPr>
              <w:pStyle w:val="TableText"/>
              <w:keepNext w:val="0"/>
              <w:widowControl/>
              <w:jc w:val="left"/>
            </w:pPr>
            <w:r>
              <w:rPr>
                <w:b w:val="0"/>
                <w:sz w:val="18"/>
              </w:rPr>
              <w:t>14</w:t>
            </w:r>
          </w:p>
        </w:tc>
        <w:tc>
          <w:tcPr>
            <w:tcW w:type="dxa" w:w="1871"/>
            <w:vAlign w:val="center"/>
            <w:tcMar>
              <w:top w:w="65" w:type="dxa"/>
              <w:left w:w="65" w:type="dxa"/>
              <w:bottom w:w="65" w:type="dxa"/>
              <w:right w:w="65" w:type="dxa"/>
            </w:tcMar>
          </w:tcPr>
          <w:p>
            <w:pPr>
              <w:pStyle w:val="TableText"/>
              <w:keepNext w:val="0"/>
              <w:widowControl/>
              <w:jc w:val="left"/>
            </w:pPr>
            <w:r>
              <w:rPr>
                <w:b w:val="0"/>
                <w:sz w:val="18"/>
              </w:rPr>
              <w:t>8049552b9548</w:t>
            </w:r>
          </w:p>
        </w:tc>
        <w:tc>
          <w:tcPr>
            <w:tcW w:type="dxa" w:w="1871"/>
            <w:vAlign w:val="center"/>
            <w:tcMar>
              <w:top w:w="65" w:type="dxa"/>
              <w:left w:w="65" w:type="dxa"/>
              <w:bottom w:w="65" w:type="dxa"/>
              <w:right w:w="65" w:type="dxa"/>
            </w:tcMar>
          </w:tcPr>
          <w:p>
            <w:pPr>
              <w:pStyle w:val="TableText"/>
              <w:keepNext w:val="0"/>
              <w:widowControl/>
              <w:jc w:val="left"/>
            </w:pPr>
            <w:r>
              <w:rPr>
                <w:b w:val="0"/>
                <w:sz w:val="18"/>
              </w:rPr>
              <w:t>a494becded26</w:t>
            </w:r>
          </w:p>
        </w:tc>
        <w:tc>
          <w:tcPr>
            <w:tcW w:type="dxa" w:w="1871"/>
            <w:vAlign w:val="center"/>
            <w:tcMar>
              <w:top w:w="65" w:type="dxa"/>
              <w:left w:w="65" w:type="dxa"/>
              <w:bottom w:w="65" w:type="dxa"/>
              <w:right w:w="65" w:type="dxa"/>
            </w:tcMar>
          </w:tcPr>
          <w:p>
            <w:pPr>
              <w:pStyle w:val="TableText"/>
              <w:keepNext w:val="0"/>
              <w:widowControl/>
              <w:jc w:val="left"/>
            </w:pPr>
            <w:r>
              <w:rPr>
                <w:b w:val="0"/>
                <w:sz w:val="18"/>
              </w:rPr>
              <w:t>a96d899eb900</w:t>
            </w:r>
          </w:p>
        </w:tc>
      </w:tr>
      <w:tr>
        <w:trPr>
          <w:cantSplit/>
        </w:trPr>
        <w:tc>
          <w:tcPr>
            <w:tcW w:type="dxa" w:w="1701"/>
            <w:vAlign w:val="center"/>
            <w:tcMar>
              <w:top w:w="65" w:type="dxa"/>
              <w:left w:w="65" w:type="dxa"/>
              <w:bottom w:w="65" w:type="dxa"/>
              <w:right w:w="65" w:type="dxa"/>
            </w:tcMar>
          </w:tcPr>
          <w:p>
            <w:pPr>
              <w:pStyle w:val="TableText"/>
              <w:keepNext w:val="0"/>
              <w:widowControl/>
              <w:jc w:val="left"/>
            </w:pPr>
            <w:r>
              <w:rPr>
                <w:b w:val="0"/>
                <w:sz w:val="18"/>
              </w:rPr>
              <w:t>DT06</w:t>
            </w:r>
          </w:p>
        </w:tc>
        <w:tc>
          <w:tcPr>
            <w:tcW w:type="dxa" w:w="624"/>
            <w:vAlign w:val="center"/>
            <w:tcMar>
              <w:top w:w="65" w:type="dxa"/>
              <w:left w:w="65" w:type="dxa"/>
              <w:bottom w:w="65" w:type="dxa"/>
              <w:right w:w="65" w:type="dxa"/>
            </w:tcMar>
          </w:tcPr>
          <w:p>
            <w:pPr>
              <w:pStyle w:val="TableText"/>
              <w:keepNext w:val="0"/>
              <w:widowControl/>
              <w:jc w:val="left"/>
            </w:pPr>
            <w:r>
              <w:rPr>
                <w:b w:val="0"/>
                <w:sz w:val="18"/>
              </w:rPr>
              <w:t>15</w:t>
            </w:r>
          </w:p>
        </w:tc>
        <w:tc>
          <w:tcPr>
            <w:tcW w:type="dxa" w:w="1871"/>
            <w:vAlign w:val="center"/>
            <w:tcMar>
              <w:top w:w="65" w:type="dxa"/>
              <w:left w:w="65" w:type="dxa"/>
              <w:bottom w:w="65" w:type="dxa"/>
              <w:right w:w="65" w:type="dxa"/>
            </w:tcMar>
          </w:tcPr>
          <w:p>
            <w:pPr>
              <w:pStyle w:val="TableText"/>
              <w:keepNext w:val="0"/>
              <w:widowControl/>
              <w:jc w:val="left"/>
            </w:pPr>
            <w:r>
              <w:rPr>
                <w:b w:val="0"/>
                <w:sz w:val="18"/>
              </w:rPr>
              <w:t>e87beb0ef6b2</w:t>
            </w:r>
          </w:p>
        </w:tc>
        <w:tc>
          <w:tcPr>
            <w:tcW w:type="dxa" w:w="1871"/>
            <w:vAlign w:val="center"/>
            <w:tcMar>
              <w:top w:w="65" w:type="dxa"/>
              <w:left w:w="65" w:type="dxa"/>
              <w:bottom w:w="65" w:type="dxa"/>
              <w:right w:w="65" w:type="dxa"/>
            </w:tcMar>
          </w:tcPr>
          <w:p>
            <w:pPr>
              <w:pStyle w:val="TableText"/>
              <w:keepNext w:val="0"/>
              <w:widowControl/>
              <w:jc w:val="left"/>
            </w:pPr>
            <w:r>
              <w:rPr>
                <w:b w:val="0"/>
                <w:sz w:val="18"/>
              </w:rPr>
              <w:t>9e585088ef41</w:t>
            </w:r>
          </w:p>
        </w:tc>
        <w:tc>
          <w:tcPr>
            <w:tcW w:type="dxa" w:w="1871"/>
            <w:vAlign w:val="center"/>
            <w:tcMar>
              <w:top w:w="65" w:type="dxa"/>
              <w:left w:w="65" w:type="dxa"/>
              <w:bottom w:w="65" w:type="dxa"/>
              <w:right w:w="65" w:type="dxa"/>
            </w:tcMar>
          </w:tcPr>
          <w:p>
            <w:pPr>
              <w:pStyle w:val="TableText"/>
              <w:keepNext w:val="0"/>
              <w:widowControl/>
              <w:jc w:val="left"/>
            </w:pPr>
            <w:r>
              <w:rPr>
                <w:b w:val="0"/>
                <w:sz w:val="18"/>
              </w:rPr>
              <w:t>4461b4620be8</w:t>
            </w:r>
          </w:p>
        </w:tc>
      </w:tr>
      <w:tr>
        <w:trPr>
          <w:cantSplit/>
        </w:trPr>
        <w:tc>
          <w:tcPr>
            <w:tcW w:type="dxa" w:w="1701"/>
            <w:vAlign w:val="center"/>
            <w:tcMar>
              <w:top w:w="65" w:type="dxa"/>
              <w:left w:w="65" w:type="dxa"/>
              <w:bottom w:w="65" w:type="dxa"/>
              <w:right w:w="65" w:type="dxa"/>
            </w:tcMar>
          </w:tcPr>
          <w:p>
            <w:pPr>
              <w:pStyle w:val="TableText"/>
              <w:keepNext w:val="0"/>
              <w:widowControl/>
              <w:jc w:val="left"/>
            </w:pPr>
            <w:r>
              <w:rPr>
                <w:b w:val="0"/>
                <w:sz w:val="18"/>
              </w:rPr>
              <w:t>DT06</w:t>
            </w:r>
          </w:p>
        </w:tc>
        <w:tc>
          <w:tcPr>
            <w:tcW w:type="dxa" w:w="624"/>
            <w:vAlign w:val="center"/>
            <w:tcMar>
              <w:top w:w="65" w:type="dxa"/>
              <w:left w:w="65" w:type="dxa"/>
              <w:bottom w:w="65" w:type="dxa"/>
              <w:right w:w="65" w:type="dxa"/>
            </w:tcMar>
          </w:tcPr>
          <w:p>
            <w:pPr>
              <w:pStyle w:val="TableText"/>
              <w:keepNext w:val="0"/>
              <w:widowControl/>
              <w:jc w:val="left"/>
            </w:pPr>
            <w:r>
              <w:rPr>
                <w:b w:val="0"/>
                <w:sz w:val="18"/>
              </w:rPr>
              <w:t>16</w:t>
            </w:r>
          </w:p>
        </w:tc>
        <w:tc>
          <w:tcPr>
            <w:tcW w:type="dxa" w:w="1871"/>
            <w:vAlign w:val="center"/>
            <w:tcMar>
              <w:top w:w="65" w:type="dxa"/>
              <w:left w:w="65" w:type="dxa"/>
              <w:bottom w:w="65" w:type="dxa"/>
              <w:right w:w="65" w:type="dxa"/>
            </w:tcMar>
          </w:tcPr>
          <w:p>
            <w:pPr>
              <w:pStyle w:val="TableText"/>
              <w:keepNext w:val="0"/>
              <w:widowControl/>
              <w:jc w:val="left"/>
            </w:pPr>
            <w:r>
              <w:rPr>
                <w:b w:val="0"/>
                <w:sz w:val="18"/>
              </w:rPr>
              <w:t>cf90b760c7cc</w:t>
            </w:r>
          </w:p>
        </w:tc>
        <w:tc>
          <w:tcPr>
            <w:tcW w:type="dxa" w:w="1871"/>
            <w:vAlign w:val="center"/>
            <w:tcMar>
              <w:top w:w="65" w:type="dxa"/>
              <w:left w:w="65" w:type="dxa"/>
              <w:bottom w:w="65" w:type="dxa"/>
              <w:right w:w="65" w:type="dxa"/>
            </w:tcMar>
          </w:tcPr>
          <w:p>
            <w:pPr>
              <w:pStyle w:val="TableText"/>
              <w:keepNext w:val="0"/>
              <w:widowControl/>
              <w:jc w:val="left"/>
            </w:pPr>
            <w:r>
              <w:rPr>
                <w:b w:val="0"/>
                <w:sz w:val="18"/>
              </w:rPr>
              <w:t>ff135a368d16</w:t>
            </w:r>
          </w:p>
        </w:tc>
        <w:tc>
          <w:tcPr>
            <w:tcW w:type="dxa" w:w="1871"/>
            <w:vAlign w:val="center"/>
            <w:tcMar>
              <w:top w:w="65" w:type="dxa"/>
              <w:left w:w="65" w:type="dxa"/>
              <w:bottom w:w="65" w:type="dxa"/>
              <w:right w:w="65" w:type="dxa"/>
            </w:tcMar>
          </w:tcPr>
          <w:p>
            <w:pPr>
              <w:pStyle w:val="TableText"/>
              <w:keepNext w:val="0"/>
              <w:widowControl/>
              <w:jc w:val="left"/>
            </w:pPr>
            <w:r>
              <w:rPr>
                <w:b w:val="0"/>
                <w:sz w:val="18"/>
              </w:rPr>
              <w:t>6ff7fec53bb7</w:t>
            </w:r>
          </w:p>
        </w:tc>
      </w:tr>
      <w:tr>
        <w:trPr>
          <w:cantSplit/>
        </w:trPr>
        <w:tc>
          <w:tcPr>
            <w:tcW w:type="dxa" w:w="1701"/>
            <w:vAlign w:val="center"/>
            <w:tcMar>
              <w:top w:w="65" w:type="dxa"/>
              <w:left w:w="65" w:type="dxa"/>
              <w:bottom w:w="65" w:type="dxa"/>
              <w:right w:w="65" w:type="dxa"/>
            </w:tcMar>
          </w:tcPr>
          <w:p>
            <w:pPr>
              <w:pStyle w:val="TableText"/>
              <w:keepNext w:val="0"/>
              <w:widowControl/>
              <w:jc w:val="left"/>
            </w:pPr>
            <w:r>
              <w:rPr>
                <w:b w:val="0"/>
                <w:sz w:val="18"/>
              </w:rPr>
              <w:t>M2_S0935</w:t>
            </w:r>
          </w:p>
        </w:tc>
        <w:tc>
          <w:tcPr>
            <w:tcW w:type="dxa" w:w="624"/>
            <w:vAlign w:val="center"/>
            <w:tcMar>
              <w:top w:w="65" w:type="dxa"/>
              <w:left w:w="65" w:type="dxa"/>
              <w:bottom w:w="65" w:type="dxa"/>
              <w:right w:w="65" w:type="dxa"/>
            </w:tcMar>
          </w:tcPr>
          <w:p>
            <w:pPr>
              <w:pStyle w:val="TableText"/>
              <w:keepNext w:val="0"/>
              <w:widowControl/>
              <w:jc w:val="left"/>
            </w:pPr>
            <w:r>
              <w:rPr>
                <w:b w:val="0"/>
                <w:sz w:val="18"/>
              </w:rPr>
              <w:t>2</w:t>
            </w:r>
          </w:p>
        </w:tc>
        <w:tc>
          <w:tcPr>
            <w:tcW w:type="dxa" w:w="1871"/>
            <w:vAlign w:val="center"/>
            <w:tcMar>
              <w:top w:w="65" w:type="dxa"/>
              <w:left w:w="65" w:type="dxa"/>
              <w:bottom w:w="65" w:type="dxa"/>
              <w:right w:w="65" w:type="dxa"/>
            </w:tcMar>
          </w:tcPr>
          <w:p>
            <w:pPr>
              <w:pStyle w:val="TableText"/>
              <w:keepNext w:val="0"/>
              <w:widowControl/>
              <w:jc w:val="left"/>
            </w:pPr>
            <w:r>
              <w:rPr>
                <w:b w:val="0"/>
                <w:sz w:val="18"/>
              </w:rPr>
              <w:t>fd1164cd5918</w:t>
            </w:r>
          </w:p>
        </w:tc>
        <w:tc>
          <w:tcPr>
            <w:tcW w:type="dxa" w:w="1871"/>
            <w:vAlign w:val="center"/>
            <w:tcMar>
              <w:top w:w="65" w:type="dxa"/>
              <w:left w:w="65" w:type="dxa"/>
              <w:bottom w:w="65" w:type="dxa"/>
              <w:right w:w="65" w:type="dxa"/>
            </w:tcMar>
          </w:tcPr>
          <w:p>
            <w:pPr>
              <w:pStyle w:val="TableText"/>
              <w:keepNext w:val="0"/>
              <w:widowControl/>
              <w:jc w:val="left"/>
            </w:pPr>
            <w:r>
              <w:rPr>
                <w:b w:val="0"/>
                <w:sz w:val="18"/>
              </w:rPr>
              <w:t>855da469144e</w:t>
            </w:r>
          </w:p>
        </w:tc>
        <w:tc>
          <w:tcPr>
            <w:tcW w:type="dxa" w:w="1871"/>
            <w:vAlign w:val="center"/>
            <w:tcMar>
              <w:top w:w="65" w:type="dxa"/>
              <w:left w:w="65" w:type="dxa"/>
              <w:bottom w:w="65" w:type="dxa"/>
              <w:right w:w="65" w:type="dxa"/>
            </w:tcMar>
          </w:tcPr>
          <w:p>
            <w:pPr>
              <w:pStyle w:val="TableText"/>
              <w:keepNext w:val="0"/>
              <w:widowControl/>
              <w:jc w:val="left"/>
            </w:pPr>
            <w:r>
              <w:rPr>
                <w:b w:val="0"/>
                <w:sz w:val="18"/>
              </w:rPr>
              <w:t>5f98aadd2c86</w:t>
            </w:r>
          </w:p>
        </w:tc>
      </w:tr>
      <w:tr>
        <w:trPr>
          <w:cantSplit/>
        </w:trPr>
        <w:tc>
          <w:tcPr>
            <w:tcW w:type="dxa" w:w="1701"/>
            <w:vAlign w:val="center"/>
            <w:tcMar>
              <w:top w:w="65" w:type="dxa"/>
              <w:left w:w="65" w:type="dxa"/>
              <w:bottom w:w="65" w:type="dxa"/>
              <w:right w:w="65" w:type="dxa"/>
            </w:tcMar>
          </w:tcPr>
          <w:p>
            <w:pPr>
              <w:pStyle w:val="TableText"/>
              <w:keepNext w:val="0"/>
              <w:widowControl/>
              <w:jc w:val="left"/>
            </w:pPr>
            <w:r>
              <w:rPr>
                <w:b w:val="0"/>
                <w:sz w:val="18"/>
              </w:rPr>
              <w:t>M2_S0935</w:t>
            </w:r>
          </w:p>
        </w:tc>
        <w:tc>
          <w:tcPr>
            <w:tcW w:type="dxa" w:w="624"/>
            <w:vAlign w:val="center"/>
            <w:tcMar>
              <w:top w:w="65" w:type="dxa"/>
              <w:left w:w="65" w:type="dxa"/>
              <w:bottom w:w="65" w:type="dxa"/>
              <w:right w:w="65" w:type="dxa"/>
            </w:tcMar>
          </w:tcPr>
          <w:p>
            <w:pPr>
              <w:pStyle w:val="TableText"/>
              <w:keepNext w:val="0"/>
              <w:widowControl/>
              <w:jc w:val="left"/>
            </w:pPr>
            <w:r>
              <w:rPr>
                <w:b w:val="0"/>
                <w:sz w:val="18"/>
              </w:rPr>
              <w:t>11</w:t>
            </w:r>
          </w:p>
        </w:tc>
        <w:tc>
          <w:tcPr>
            <w:tcW w:type="dxa" w:w="1871"/>
            <w:vAlign w:val="center"/>
            <w:tcMar>
              <w:top w:w="65" w:type="dxa"/>
              <w:left w:w="65" w:type="dxa"/>
              <w:bottom w:w="65" w:type="dxa"/>
              <w:right w:w="65" w:type="dxa"/>
            </w:tcMar>
          </w:tcPr>
          <w:p>
            <w:pPr>
              <w:pStyle w:val="TableText"/>
              <w:keepNext w:val="0"/>
              <w:widowControl/>
              <w:jc w:val="left"/>
            </w:pPr>
            <w:r>
              <w:rPr>
                <w:b w:val="0"/>
                <w:sz w:val="18"/>
              </w:rPr>
              <w:t>ee6c82a66bfb</w:t>
            </w:r>
          </w:p>
        </w:tc>
        <w:tc>
          <w:tcPr>
            <w:tcW w:type="dxa" w:w="1871"/>
            <w:vAlign w:val="center"/>
            <w:tcMar>
              <w:top w:w="65" w:type="dxa"/>
              <w:left w:w="65" w:type="dxa"/>
              <w:bottom w:w="65" w:type="dxa"/>
              <w:right w:w="65" w:type="dxa"/>
            </w:tcMar>
          </w:tcPr>
          <w:p>
            <w:pPr>
              <w:pStyle w:val="TableText"/>
              <w:keepNext w:val="0"/>
              <w:widowControl/>
              <w:jc w:val="left"/>
            </w:pPr>
            <w:r>
              <w:rPr>
                <w:b w:val="0"/>
                <w:sz w:val="18"/>
              </w:rPr>
              <w:t>29555efde053</w:t>
            </w:r>
          </w:p>
        </w:tc>
        <w:tc>
          <w:tcPr>
            <w:tcW w:type="dxa" w:w="1871"/>
            <w:vAlign w:val="center"/>
            <w:tcMar>
              <w:top w:w="65" w:type="dxa"/>
              <w:left w:w="65" w:type="dxa"/>
              <w:bottom w:w="65" w:type="dxa"/>
              <w:right w:w="65" w:type="dxa"/>
            </w:tcMar>
          </w:tcPr>
          <w:p>
            <w:pPr>
              <w:pStyle w:val="TableText"/>
              <w:keepNext w:val="0"/>
              <w:widowControl/>
              <w:jc w:val="left"/>
            </w:pPr>
            <w:r>
              <w:rPr>
                <w:b w:val="0"/>
                <w:sz w:val="18"/>
              </w:rPr>
              <w:t>8e85e8c44958</w:t>
            </w:r>
          </w:p>
        </w:tc>
      </w:tr>
      <w:tr>
        <w:trPr>
          <w:cantSplit/>
        </w:trPr>
        <w:tc>
          <w:tcPr>
            <w:tcW w:type="dxa" w:w="1701"/>
            <w:vAlign w:val="center"/>
            <w:tcMar>
              <w:top w:w="65" w:type="dxa"/>
              <w:left w:w="65" w:type="dxa"/>
              <w:bottom w:w="65" w:type="dxa"/>
              <w:right w:w="65" w:type="dxa"/>
            </w:tcMar>
          </w:tcPr>
          <w:p>
            <w:pPr>
              <w:pStyle w:val="TableText"/>
              <w:keepNext w:val="0"/>
              <w:widowControl/>
              <w:jc w:val="left"/>
            </w:pPr>
            <w:r>
              <w:rPr>
                <w:b w:val="0"/>
                <w:sz w:val="18"/>
              </w:rPr>
              <w:t>M2_S0935</w:t>
            </w:r>
          </w:p>
        </w:tc>
        <w:tc>
          <w:tcPr>
            <w:tcW w:type="dxa" w:w="624"/>
            <w:vAlign w:val="center"/>
            <w:tcMar>
              <w:top w:w="65" w:type="dxa"/>
              <w:left w:w="65" w:type="dxa"/>
              <w:bottom w:w="65" w:type="dxa"/>
              <w:right w:w="65" w:type="dxa"/>
            </w:tcMar>
          </w:tcPr>
          <w:p>
            <w:pPr>
              <w:pStyle w:val="TableText"/>
              <w:keepNext w:val="0"/>
              <w:widowControl/>
              <w:jc w:val="left"/>
            </w:pPr>
            <w:r>
              <w:rPr>
                <w:b w:val="0"/>
                <w:sz w:val="18"/>
              </w:rPr>
              <w:t>12</w:t>
            </w:r>
          </w:p>
        </w:tc>
        <w:tc>
          <w:tcPr>
            <w:tcW w:type="dxa" w:w="1871"/>
            <w:vAlign w:val="center"/>
            <w:tcMar>
              <w:top w:w="65" w:type="dxa"/>
              <w:left w:w="65" w:type="dxa"/>
              <w:bottom w:w="65" w:type="dxa"/>
              <w:right w:w="65" w:type="dxa"/>
            </w:tcMar>
          </w:tcPr>
          <w:p>
            <w:pPr>
              <w:pStyle w:val="TableText"/>
              <w:keepNext w:val="0"/>
              <w:widowControl/>
              <w:jc w:val="left"/>
            </w:pPr>
            <w:r>
              <w:rPr>
                <w:b w:val="0"/>
                <w:sz w:val="18"/>
              </w:rPr>
              <w:t>37031e713d6f</w:t>
            </w:r>
          </w:p>
        </w:tc>
        <w:tc>
          <w:tcPr>
            <w:tcW w:type="dxa" w:w="1871"/>
            <w:vAlign w:val="center"/>
            <w:tcMar>
              <w:top w:w="65" w:type="dxa"/>
              <w:left w:w="65" w:type="dxa"/>
              <w:bottom w:w="65" w:type="dxa"/>
              <w:right w:w="65" w:type="dxa"/>
            </w:tcMar>
          </w:tcPr>
          <w:p>
            <w:pPr>
              <w:pStyle w:val="TableText"/>
              <w:keepNext w:val="0"/>
              <w:widowControl/>
              <w:jc w:val="left"/>
            </w:pPr>
            <w:r>
              <w:rPr>
                <w:b w:val="0"/>
                <w:sz w:val="18"/>
              </w:rPr>
              <w:t>6c86baadb413</w:t>
            </w:r>
          </w:p>
        </w:tc>
        <w:tc>
          <w:tcPr>
            <w:tcW w:type="dxa" w:w="1871"/>
            <w:vAlign w:val="center"/>
            <w:tcMar>
              <w:top w:w="65" w:type="dxa"/>
              <w:left w:w="65" w:type="dxa"/>
              <w:bottom w:w="65" w:type="dxa"/>
              <w:right w:w="65" w:type="dxa"/>
            </w:tcMar>
          </w:tcPr>
          <w:p>
            <w:pPr>
              <w:pStyle w:val="TableText"/>
              <w:keepNext w:val="0"/>
              <w:widowControl/>
              <w:jc w:val="left"/>
            </w:pPr>
            <w:r>
              <w:rPr>
                <w:b w:val="0"/>
                <w:sz w:val="18"/>
              </w:rPr>
              <w:t>45b1b37db6e0</w:t>
            </w:r>
          </w:p>
        </w:tc>
      </w:tr>
      <w:tr>
        <w:trPr>
          <w:cantSplit/>
        </w:trPr>
        <w:tc>
          <w:tcPr>
            <w:tcW w:type="dxa" w:w="1701"/>
            <w:vAlign w:val="center"/>
            <w:tcMar>
              <w:top w:w="65" w:type="dxa"/>
              <w:left w:w="65" w:type="dxa"/>
              <w:bottom w:w="65" w:type="dxa"/>
              <w:right w:w="65" w:type="dxa"/>
            </w:tcMar>
          </w:tcPr>
          <w:p>
            <w:pPr>
              <w:pStyle w:val="TableText"/>
              <w:keepNext w:val="0"/>
              <w:widowControl/>
              <w:jc w:val="left"/>
            </w:pPr>
            <w:r>
              <w:rPr>
                <w:b w:val="0"/>
                <w:sz w:val="18"/>
              </w:rPr>
              <w:t>M2_S0935</w:t>
            </w:r>
          </w:p>
        </w:tc>
        <w:tc>
          <w:tcPr>
            <w:tcW w:type="dxa" w:w="624"/>
            <w:vAlign w:val="center"/>
            <w:tcMar>
              <w:top w:w="65" w:type="dxa"/>
              <w:left w:w="65" w:type="dxa"/>
              <w:bottom w:w="65" w:type="dxa"/>
              <w:right w:w="65" w:type="dxa"/>
            </w:tcMar>
          </w:tcPr>
          <w:p>
            <w:pPr>
              <w:pStyle w:val="TableText"/>
              <w:keepNext w:val="0"/>
              <w:widowControl/>
              <w:jc w:val="left"/>
            </w:pPr>
            <w:r>
              <w:rPr>
                <w:b w:val="0"/>
                <w:sz w:val="18"/>
              </w:rPr>
              <w:t>13</w:t>
            </w:r>
          </w:p>
        </w:tc>
        <w:tc>
          <w:tcPr>
            <w:tcW w:type="dxa" w:w="1871"/>
            <w:vAlign w:val="center"/>
            <w:tcMar>
              <w:top w:w="65" w:type="dxa"/>
              <w:left w:w="65" w:type="dxa"/>
              <w:bottom w:w="65" w:type="dxa"/>
              <w:right w:w="65" w:type="dxa"/>
            </w:tcMar>
          </w:tcPr>
          <w:p>
            <w:pPr>
              <w:pStyle w:val="TableText"/>
              <w:keepNext w:val="0"/>
              <w:widowControl/>
              <w:jc w:val="left"/>
            </w:pPr>
            <w:r>
              <w:rPr>
                <w:b w:val="0"/>
                <w:sz w:val="18"/>
              </w:rPr>
              <w:t>de56bfd12bdf</w:t>
            </w:r>
          </w:p>
        </w:tc>
        <w:tc>
          <w:tcPr>
            <w:tcW w:type="dxa" w:w="1871"/>
            <w:vAlign w:val="center"/>
            <w:tcMar>
              <w:top w:w="65" w:type="dxa"/>
              <w:left w:w="65" w:type="dxa"/>
              <w:bottom w:w="65" w:type="dxa"/>
              <w:right w:w="65" w:type="dxa"/>
            </w:tcMar>
          </w:tcPr>
          <w:p>
            <w:pPr>
              <w:pStyle w:val="TableText"/>
              <w:keepNext w:val="0"/>
              <w:widowControl/>
              <w:jc w:val="left"/>
            </w:pPr>
            <w:r>
              <w:rPr>
                <w:b w:val="0"/>
                <w:sz w:val="18"/>
              </w:rPr>
              <w:t>ee003af1a3a1</w:t>
            </w:r>
          </w:p>
        </w:tc>
        <w:tc>
          <w:tcPr>
            <w:tcW w:type="dxa" w:w="1871"/>
            <w:vAlign w:val="center"/>
            <w:tcMar>
              <w:top w:w="65" w:type="dxa"/>
              <w:left w:w="65" w:type="dxa"/>
              <w:bottom w:w="65" w:type="dxa"/>
              <w:right w:w="65" w:type="dxa"/>
            </w:tcMar>
          </w:tcPr>
          <w:p>
            <w:pPr>
              <w:pStyle w:val="TableText"/>
              <w:keepNext w:val="0"/>
              <w:widowControl/>
              <w:jc w:val="left"/>
            </w:pPr>
            <w:r>
              <w:rPr>
                <w:b w:val="0"/>
                <w:sz w:val="18"/>
              </w:rPr>
              <w:t>40c462e3cf0b</w:t>
            </w:r>
          </w:p>
        </w:tc>
      </w:tr>
      <w:tr>
        <w:trPr>
          <w:cantSplit/>
        </w:trPr>
        <w:tc>
          <w:tcPr>
            <w:tcW w:type="dxa" w:w="1701"/>
            <w:vAlign w:val="center"/>
            <w:tcMar>
              <w:top w:w="65" w:type="dxa"/>
              <w:left w:w="65" w:type="dxa"/>
              <w:bottom w:w="65" w:type="dxa"/>
              <w:right w:w="65" w:type="dxa"/>
            </w:tcMar>
          </w:tcPr>
          <w:p>
            <w:pPr>
              <w:pStyle w:val="TableText"/>
              <w:keepNext w:val="0"/>
              <w:widowControl/>
              <w:jc w:val="left"/>
            </w:pPr>
            <w:r>
              <w:rPr>
                <w:b w:val="0"/>
                <w:sz w:val="18"/>
              </w:rPr>
              <w:t>M2_S0935</w:t>
            </w:r>
          </w:p>
        </w:tc>
        <w:tc>
          <w:tcPr>
            <w:tcW w:type="dxa" w:w="624"/>
            <w:vAlign w:val="center"/>
            <w:tcMar>
              <w:top w:w="65" w:type="dxa"/>
              <w:left w:w="65" w:type="dxa"/>
              <w:bottom w:w="65" w:type="dxa"/>
              <w:right w:w="65" w:type="dxa"/>
            </w:tcMar>
          </w:tcPr>
          <w:p>
            <w:pPr>
              <w:pStyle w:val="TableText"/>
              <w:keepNext w:val="0"/>
              <w:widowControl/>
              <w:jc w:val="left"/>
            </w:pPr>
            <w:r>
              <w:rPr>
                <w:b w:val="0"/>
                <w:sz w:val="18"/>
              </w:rPr>
              <w:t>14</w:t>
            </w:r>
          </w:p>
        </w:tc>
        <w:tc>
          <w:tcPr>
            <w:tcW w:type="dxa" w:w="1871"/>
            <w:vAlign w:val="center"/>
            <w:tcMar>
              <w:top w:w="65" w:type="dxa"/>
              <w:left w:w="65" w:type="dxa"/>
              <w:bottom w:w="65" w:type="dxa"/>
              <w:right w:w="65" w:type="dxa"/>
            </w:tcMar>
          </w:tcPr>
          <w:p>
            <w:pPr>
              <w:pStyle w:val="TableText"/>
              <w:keepNext w:val="0"/>
              <w:widowControl/>
              <w:jc w:val="left"/>
            </w:pPr>
            <w:r>
              <w:rPr>
                <w:b w:val="0"/>
                <w:sz w:val="18"/>
              </w:rPr>
              <w:t>8049552b9548</w:t>
            </w:r>
          </w:p>
        </w:tc>
        <w:tc>
          <w:tcPr>
            <w:tcW w:type="dxa" w:w="1871"/>
            <w:vAlign w:val="center"/>
            <w:tcMar>
              <w:top w:w="65" w:type="dxa"/>
              <w:left w:w="65" w:type="dxa"/>
              <w:bottom w:w="65" w:type="dxa"/>
              <w:right w:w="65" w:type="dxa"/>
            </w:tcMar>
          </w:tcPr>
          <w:p>
            <w:pPr>
              <w:pStyle w:val="TableText"/>
              <w:keepNext w:val="0"/>
              <w:widowControl/>
              <w:jc w:val="left"/>
            </w:pPr>
            <w:r>
              <w:rPr>
                <w:b w:val="0"/>
                <w:sz w:val="18"/>
              </w:rPr>
              <w:t>a494becded26</w:t>
            </w:r>
          </w:p>
        </w:tc>
        <w:tc>
          <w:tcPr>
            <w:tcW w:type="dxa" w:w="1871"/>
            <w:vAlign w:val="center"/>
            <w:tcMar>
              <w:top w:w="65" w:type="dxa"/>
              <w:left w:w="65" w:type="dxa"/>
              <w:bottom w:w="65" w:type="dxa"/>
              <w:right w:w="65" w:type="dxa"/>
            </w:tcMar>
          </w:tcPr>
          <w:p>
            <w:pPr>
              <w:pStyle w:val="TableText"/>
              <w:keepNext w:val="0"/>
              <w:widowControl/>
              <w:jc w:val="left"/>
            </w:pPr>
            <w:r>
              <w:rPr>
                <w:b w:val="0"/>
                <w:sz w:val="18"/>
              </w:rPr>
              <w:t>ab7334b20329</w:t>
            </w:r>
          </w:p>
        </w:tc>
      </w:tr>
      <w:tr>
        <w:trPr>
          <w:cantSplit/>
        </w:trPr>
        <w:tc>
          <w:tcPr>
            <w:tcW w:type="dxa" w:w="1701"/>
            <w:vAlign w:val="center"/>
            <w:tcMar>
              <w:top w:w="65" w:type="dxa"/>
              <w:left w:w="65" w:type="dxa"/>
              <w:bottom w:w="65" w:type="dxa"/>
              <w:right w:w="65" w:type="dxa"/>
            </w:tcMar>
          </w:tcPr>
          <w:p>
            <w:pPr>
              <w:pStyle w:val="TableText"/>
              <w:keepNext w:val="0"/>
              <w:widowControl/>
              <w:jc w:val="left"/>
            </w:pPr>
            <w:r>
              <w:rPr>
                <w:b w:val="0"/>
                <w:sz w:val="18"/>
              </w:rPr>
              <w:t>M2_S0935</w:t>
            </w:r>
          </w:p>
        </w:tc>
        <w:tc>
          <w:tcPr>
            <w:tcW w:type="dxa" w:w="624"/>
            <w:vAlign w:val="center"/>
            <w:tcMar>
              <w:top w:w="65" w:type="dxa"/>
              <w:left w:w="65" w:type="dxa"/>
              <w:bottom w:w="65" w:type="dxa"/>
              <w:right w:w="65" w:type="dxa"/>
            </w:tcMar>
          </w:tcPr>
          <w:p>
            <w:pPr>
              <w:pStyle w:val="TableText"/>
              <w:keepNext w:val="0"/>
              <w:widowControl/>
              <w:jc w:val="left"/>
            </w:pPr>
            <w:r>
              <w:rPr>
                <w:b w:val="0"/>
                <w:sz w:val="18"/>
              </w:rPr>
              <w:t>15</w:t>
            </w:r>
          </w:p>
        </w:tc>
        <w:tc>
          <w:tcPr>
            <w:tcW w:type="dxa" w:w="1871"/>
            <w:vAlign w:val="center"/>
            <w:tcMar>
              <w:top w:w="65" w:type="dxa"/>
              <w:left w:w="65" w:type="dxa"/>
              <w:bottom w:w="65" w:type="dxa"/>
              <w:right w:w="65" w:type="dxa"/>
            </w:tcMar>
          </w:tcPr>
          <w:p>
            <w:pPr>
              <w:pStyle w:val="TableText"/>
              <w:keepNext w:val="0"/>
              <w:widowControl/>
              <w:jc w:val="left"/>
            </w:pPr>
            <w:r>
              <w:rPr>
                <w:b w:val="0"/>
                <w:sz w:val="18"/>
              </w:rPr>
              <w:t>e87beb0ef6b2</w:t>
            </w:r>
          </w:p>
        </w:tc>
        <w:tc>
          <w:tcPr>
            <w:tcW w:type="dxa" w:w="1871"/>
            <w:vAlign w:val="center"/>
            <w:tcMar>
              <w:top w:w="65" w:type="dxa"/>
              <w:left w:w="65" w:type="dxa"/>
              <w:bottom w:w="65" w:type="dxa"/>
              <w:right w:w="65" w:type="dxa"/>
            </w:tcMar>
          </w:tcPr>
          <w:p>
            <w:pPr>
              <w:pStyle w:val="TableText"/>
              <w:keepNext w:val="0"/>
              <w:widowControl/>
              <w:jc w:val="left"/>
            </w:pPr>
            <w:r>
              <w:rPr>
                <w:b w:val="0"/>
                <w:sz w:val="18"/>
              </w:rPr>
              <w:t>9e585088ef41</w:t>
            </w:r>
          </w:p>
        </w:tc>
        <w:tc>
          <w:tcPr>
            <w:tcW w:type="dxa" w:w="1871"/>
            <w:vAlign w:val="center"/>
            <w:tcMar>
              <w:top w:w="65" w:type="dxa"/>
              <w:left w:w="65" w:type="dxa"/>
              <w:bottom w:w="65" w:type="dxa"/>
              <w:right w:w="65" w:type="dxa"/>
            </w:tcMar>
          </w:tcPr>
          <w:p>
            <w:pPr>
              <w:pStyle w:val="TableText"/>
              <w:keepNext w:val="0"/>
              <w:widowControl/>
              <w:jc w:val="left"/>
            </w:pPr>
            <w:r>
              <w:rPr>
                <w:b w:val="0"/>
                <w:sz w:val="18"/>
              </w:rPr>
              <w:t>b1ced2cbebf7</w:t>
            </w:r>
          </w:p>
        </w:tc>
      </w:tr>
      <w:tr>
        <w:trPr>
          <w:cantSplit/>
        </w:trPr>
        <w:tc>
          <w:tcPr>
            <w:tcW w:type="dxa" w:w="1701"/>
            <w:vAlign w:val="center"/>
            <w:tcMar>
              <w:top w:w="65" w:type="dxa"/>
              <w:left w:w="65" w:type="dxa"/>
              <w:bottom w:w="65" w:type="dxa"/>
              <w:right w:w="65" w:type="dxa"/>
            </w:tcMar>
          </w:tcPr>
          <w:p>
            <w:pPr>
              <w:pStyle w:val="TableText"/>
              <w:keepNext w:val="0"/>
              <w:widowControl/>
              <w:jc w:val="left"/>
            </w:pPr>
            <w:r>
              <w:rPr>
                <w:b w:val="0"/>
                <w:sz w:val="18"/>
              </w:rPr>
              <w:t>M2_S0935</w:t>
            </w:r>
          </w:p>
        </w:tc>
        <w:tc>
          <w:tcPr>
            <w:tcW w:type="dxa" w:w="624"/>
            <w:vAlign w:val="center"/>
            <w:tcMar>
              <w:top w:w="65" w:type="dxa"/>
              <w:left w:w="65" w:type="dxa"/>
              <w:bottom w:w="65" w:type="dxa"/>
              <w:right w:w="65" w:type="dxa"/>
            </w:tcMar>
          </w:tcPr>
          <w:p>
            <w:pPr>
              <w:pStyle w:val="TableText"/>
              <w:keepNext w:val="0"/>
              <w:widowControl/>
              <w:jc w:val="left"/>
            </w:pPr>
            <w:r>
              <w:rPr>
                <w:b w:val="0"/>
                <w:sz w:val="18"/>
              </w:rPr>
              <w:t>16</w:t>
            </w:r>
          </w:p>
        </w:tc>
        <w:tc>
          <w:tcPr>
            <w:tcW w:type="dxa" w:w="1871"/>
            <w:vAlign w:val="center"/>
            <w:tcMar>
              <w:top w:w="65" w:type="dxa"/>
              <w:left w:w="65" w:type="dxa"/>
              <w:bottom w:w="65" w:type="dxa"/>
              <w:right w:w="65" w:type="dxa"/>
            </w:tcMar>
          </w:tcPr>
          <w:p>
            <w:pPr>
              <w:pStyle w:val="TableText"/>
              <w:keepNext w:val="0"/>
              <w:widowControl/>
              <w:jc w:val="left"/>
            </w:pPr>
            <w:r>
              <w:rPr>
                <w:b w:val="0"/>
                <w:sz w:val="18"/>
              </w:rPr>
              <w:t>cf90b760c7cc</w:t>
            </w:r>
          </w:p>
        </w:tc>
        <w:tc>
          <w:tcPr>
            <w:tcW w:type="dxa" w:w="1871"/>
            <w:vAlign w:val="center"/>
            <w:tcMar>
              <w:top w:w="65" w:type="dxa"/>
              <w:left w:w="65" w:type="dxa"/>
              <w:bottom w:w="65" w:type="dxa"/>
              <w:right w:w="65" w:type="dxa"/>
            </w:tcMar>
          </w:tcPr>
          <w:p>
            <w:pPr>
              <w:pStyle w:val="TableText"/>
              <w:keepNext w:val="0"/>
              <w:widowControl/>
              <w:jc w:val="left"/>
            </w:pPr>
            <w:r>
              <w:rPr>
                <w:b w:val="0"/>
                <w:sz w:val="18"/>
              </w:rPr>
              <w:t>ff135a368d16</w:t>
            </w:r>
          </w:p>
        </w:tc>
        <w:tc>
          <w:tcPr>
            <w:tcW w:type="dxa" w:w="1871"/>
            <w:vAlign w:val="center"/>
            <w:tcMar>
              <w:top w:w="65" w:type="dxa"/>
              <w:left w:w="65" w:type="dxa"/>
              <w:bottom w:w="65" w:type="dxa"/>
              <w:right w:w="65" w:type="dxa"/>
            </w:tcMar>
          </w:tcPr>
          <w:p>
            <w:pPr>
              <w:pStyle w:val="TableText"/>
              <w:keepNext w:val="0"/>
              <w:widowControl/>
              <w:jc w:val="left"/>
            </w:pPr>
            <w:r>
              <w:rPr>
                <w:b w:val="0"/>
                <w:sz w:val="18"/>
              </w:rPr>
              <w:t>377c9b08c697</w:t>
            </w:r>
          </w:p>
        </w:tc>
      </w:tr>
      <w:tr>
        <w:trPr>
          <w:cantSplit/>
        </w:trPr>
        <w:tc>
          <w:tcPr>
            <w:tcW w:type="dxa" w:w="1701"/>
            <w:vAlign w:val="center"/>
            <w:tcMar>
              <w:top w:w="65" w:type="dxa"/>
              <w:left w:w="65" w:type="dxa"/>
              <w:bottom w:w="65" w:type="dxa"/>
              <w:right w:w="65" w:type="dxa"/>
            </w:tcMar>
          </w:tcPr>
          <w:p>
            <w:pPr>
              <w:pStyle w:val="TableText"/>
              <w:keepNext w:val="0"/>
              <w:widowControl/>
              <w:jc w:val="left"/>
            </w:pPr>
            <w:r>
              <w:rPr>
                <w:b w:val="0"/>
                <w:sz w:val="18"/>
              </w:rPr>
              <w:t>T15</w:t>
            </w:r>
          </w:p>
        </w:tc>
        <w:tc>
          <w:tcPr>
            <w:tcW w:type="dxa" w:w="624"/>
            <w:vAlign w:val="center"/>
            <w:tcMar>
              <w:top w:w="65" w:type="dxa"/>
              <w:left w:w="65" w:type="dxa"/>
              <w:bottom w:w="65" w:type="dxa"/>
              <w:right w:w="65" w:type="dxa"/>
            </w:tcMar>
          </w:tcPr>
          <w:p>
            <w:pPr>
              <w:pStyle w:val="TableText"/>
              <w:keepNext w:val="0"/>
              <w:widowControl/>
              <w:jc w:val="left"/>
            </w:pPr>
            <w:r>
              <w:rPr>
                <w:b w:val="0"/>
                <w:sz w:val="18"/>
              </w:rPr>
              <w:t>2</w:t>
            </w:r>
          </w:p>
        </w:tc>
        <w:tc>
          <w:tcPr>
            <w:tcW w:type="dxa" w:w="1871"/>
            <w:vAlign w:val="center"/>
            <w:tcMar>
              <w:top w:w="65" w:type="dxa"/>
              <w:left w:w="65" w:type="dxa"/>
              <w:bottom w:w="65" w:type="dxa"/>
              <w:right w:w="65" w:type="dxa"/>
            </w:tcMar>
          </w:tcPr>
          <w:p>
            <w:pPr>
              <w:pStyle w:val="TableText"/>
              <w:keepNext w:val="0"/>
              <w:widowControl/>
              <w:jc w:val="left"/>
            </w:pPr>
            <w:r>
              <w:rPr>
                <w:b w:val="0"/>
                <w:sz w:val="18"/>
              </w:rPr>
              <w:t>fd1164cd5918</w:t>
            </w:r>
          </w:p>
        </w:tc>
        <w:tc>
          <w:tcPr>
            <w:tcW w:type="dxa" w:w="1871"/>
            <w:vAlign w:val="center"/>
            <w:tcMar>
              <w:top w:w="65" w:type="dxa"/>
              <w:left w:w="65" w:type="dxa"/>
              <w:bottom w:w="65" w:type="dxa"/>
              <w:right w:w="65" w:type="dxa"/>
            </w:tcMar>
          </w:tcPr>
          <w:p>
            <w:pPr>
              <w:pStyle w:val="TableText"/>
              <w:keepNext w:val="0"/>
              <w:widowControl/>
              <w:jc w:val="left"/>
            </w:pPr>
            <w:r>
              <w:rPr>
                <w:b w:val="0"/>
                <w:sz w:val="18"/>
              </w:rPr>
              <w:t>855da469144e</w:t>
            </w:r>
          </w:p>
        </w:tc>
        <w:tc>
          <w:tcPr>
            <w:tcW w:type="dxa" w:w="1871"/>
            <w:vAlign w:val="center"/>
            <w:tcMar>
              <w:top w:w="65" w:type="dxa"/>
              <w:left w:w="65" w:type="dxa"/>
              <w:bottom w:w="65" w:type="dxa"/>
              <w:right w:w="65" w:type="dxa"/>
            </w:tcMar>
          </w:tcPr>
          <w:p>
            <w:pPr>
              <w:pStyle w:val="TableText"/>
              <w:keepNext w:val="0"/>
              <w:widowControl/>
              <w:jc w:val="left"/>
            </w:pPr>
            <w:r>
              <w:rPr>
                <w:b w:val="0"/>
                <w:sz w:val="18"/>
              </w:rPr>
              <w:t>c879b27e2a3f</w:t>
            </w:r>
          </w:p>
        </w:tc>
      </w:tr>
      <w:tr>
        <w:trPr>
          <w:cantSplit/>
        </w:trPr>
        <w:tc>
          <w:tcPr>
            <w:tcW w:type="dxa" w:w="1701"/>
            <w:vAlign w:val="center"/>
            <w:tcMar>
              <w:top w:w="65" w:type="dxa"/>
              <w:left w:w="65" w:type="dxa"/>
              <w:bottom w:w="65" w:type="dxa"/>
              <w:right w:w="65" w:type="dxa"/>
            </w:tcMar>
          </w:tcPr>
          <w:p>
            <w:pPr>
              <w:pStyle w:val="TableText"/>
              <w:keepNext w:val="0"/>
              <w:widowControl/>
              <w:jc w:val="left"/>
            </w:pPr>
            <w:r>
              <w:rPr>
                <w:b w:val="0"/>
                <w:sz w:val="18"/>
              </w:rPr>
              <w:t>T15</w:t>
            </w:r>
          </w:p>
        </w:tc>
        <w:tc>
          <w:tcPr>
            <w:tcW w:type="dxa" w:w="624"/>
            <w:vAlign w:val="center"/>
            <w:tcMar>
              <w:top w:w="65" w:type="dxa"/>
              <w:left w:w="65" w:type="dxa"/>
              <w:bottom w:w="65" w:type="dxa"/>
              <w:right w:w="65" w:type="dxa"/>
            </w:tcMar>
          </w:tcPr>
          <w:p>
            <w:pPr>
              <w:pStyle w:val="TableText"/>
              <w:keepNext w:val="0"/>
              <w:widowControl/>
              <w:jc w:val="left"/>
            </w:pPr>
            <w:r>
              <w:rPr>
                <w:b w:val="0"/>
                <w:sz w:val="18"/>
              </w:rPr>
              <w:t>11</w:t>
            </w:r>
          </w:p>
        </w:tc>
        <w:tc>
          <w:tcPr>
            <w:tcW w:type="dxa" w:w="1871"/>
            <w:vAlign w:val="center"/>
            <w:tcMar>
              <w:top w:w="65" w:type="dxa"/>
              <w:left w:w="65" w:type="dxa"/>
              <w:bottom w:w="65" w:type="dxa"/>
              <w:right w:w="65" w:type="dxa"/>
            </w:tcMar>
          </w:tcPr>
          <w:p>
            <w:pPr>
              <w:pStyle w:val="TableText"/>
              <w:keepNext w:val="0"/>
              <w:widowControl/>
              <w:jc w:val="left"/>
            </w:pPr>
            <w:r>
              <w:rPr>
                <w:b w:val="0"/>
                <w:sz w:val="18"/>
              </w:rPr>
              <w:t>ee6c82a66bfb</w:t>
            </w:r>
          </w:p>
        </w:tc>
        <w:tc>
          <w:tcPr>
            <w:tcW w:type="dxa" w:w="1871"/>
            <w:vAlign w:val="center"/>
            <w:tcMar>
              <w:top w:w="65" w:type="dxa"/>
              <w:left w:w="65" w:type="dxa"/>
              <w:bottom w:w="65" w:type="dxa"/>
              <w:right w:w="65" w:type="dxa"/>
            </w:tcMar>
          </w:tcPr>
          <w:p>
            <w:pPr>
              <w:pStyle w:val="TableText"/>
              <w:keepNext w:val="0"/>
              <w:widowControl/>
              <w:jc w:val="left"/>
            </w:pPr>
            <w:r>
              <w:rPr>
                <w:b w:val="0"/>
                <w:sz w:val="18"/>
              </w:rPr>
              <w:t>29555efde053</w:t>
            </w:r>
          </w:p>
        </w:tc>
        <w:tc>
          <w:tcPr>
            <w:tcW w:type="dxa" w:w="1871"/>
            <w:vAlign w:val="center"/>
            <w:tcMar>
              <w:top w:w="65" w:type="dxa"/>
              <w:left w:w="65" w:type="dxa"/>
              <w:bottom w:w="65" w:type="dxa"/>
              <w:right w:w="65" w:type="dxa"/>
            </w:tcMar>
          </w:tcPr>
          <w:p>
            <w:pPr>
              <w:pStyle w:val="TableText"/>
              <w:keepNext w:val="0"/>
              <w:widowControl/>
              <w:jc w:val="left"/>
            </w:pPr>
            <w:r>
              <w:rPr>
                <w:b w:val="0"/>
                <w:sz w:val="18"/>
              </w:rPr>
              <w:t>eadc008f4e01</w:t>
            </w:r>
          </w:p>
        </w:tc>
      </w:tr>
      <w:tr>
        <w:trPr>
          <w:cantSplit/>
        </w:trPr>
        <w:tc>
          <w:tcPr>
            <w:tcW w:type="dxa" w:w="1701"/>
            <w:vAlign w:val="center"/>
            <w:tcMar>
              <w:top w:w="65" w:type="dxa"/>
              <w:left w:w="65" w:type="dxa"/>
              <w:bottom w:w="65" w:type="dxa"/>
              <w:right w:w="65" w:type="dxa"/>
            </w:tcMar>
          </w:tcPr>
          <w:p>
            <w:pPr>
              <w:pStyle w:val="TableText"/>
              <w:keepNext w:val="0"/>
              <w:widowControl/>
              <w:jc w:val="left"/>
            </w:pPr>
            <w:r>
              <w:rPr>
                <w:b w:val="0"/>
                <w:sz w:val="18"/>
              </w:rPr>
              <w:t>T15</w:t>
            </w:r>
          </w:p>
        </w:tc>
        <w:tc>
          <w:tcPr>
            <w:tcW w:type="dxa" w:w="624"/>
            <w:vAlign w:val="center"/>
            <w:tcMar>
              <w:top w:w="65" w:type="dxa"/>
              <w:left w:w="65" w:type="dxa"/>
              <w:bottom w:w="65" w:type="dxa"/>
              <w:right w:w="65" w:type="dxa"/>
            </w:tcMar>
          </w:tcPr>
          <w:p>
            <w:pPr>
              <w:pStyle w:val="TableText"/>
              <w:keepNext w:val="0"/>
              <w:widowControl/>
              <w:jc w:val="left"/>
            </w:pPr>
            <w:r>
              <w:rPr>
                <w:b w:val="0"/>
                <w:sz w:val="18"/>
              </w:rPr>
              <w:t>12</w:t>
            </w:r>
          </w:p>
        </w:tc>
        <w:tc>
          <w:tcPr>
            <w:tcW w:type="dxa" w:w="1871"/>
            <w:vAlign w:val="center"/>
            <w:tcMar>
              <w:top w:w="65" w:type="dxa"/>
              <w:left w:w="65" w:type="dxa"/>
              <w:bottom w:w="65" w:type="dxa"/>
              <w:right w:w="65" w:type="dxa"/>
            </w:tcMar>
          </w:tcPr>
          <w:p>
            <w:pPr>
              <w:pStyle w:val="TableText"/>
              <w:keepNext w:val="0"/>
              <w:widowControl/>
              <w:jc w:val="left"/>
            </w:pPr>
            <w:r>
              <w:rPr>
                <w:b w:val="0"/>
                <w:sz w:val="18"/>
              </w:rPr>
              <w:t>37031e713d6f</w:t>
            </w:r>
          </w:p>
        </w:tc>
        <w:tc>
          <w:tcPr>
            <w:tcW w:type="dxa" w:w="1871"/>
            <w:vAlign w:val="center"/>
            <w:tcMar>
              <w:top w:w="65" w:type="dxa"/>
              <w:left w:w="65" w:type="dxa"/>
              <w:bottom w:w="65" w:type="dxa"/>
              <w:right w:w="65" w:type="dxa"/>
            </w:tcMar>
          </w:tcPr>
          <w:p>
            <w:pPr>
              <w:pStyle w:val="TableText"/>
              <w:keepNext w:val="0"/>
              <w:widowControl/>
              <w:jc w:val="left"/>
            </w:pPr>
            <w:r>
              <w:rPr>
                <w:b w:val="0"/>
                <w:sz w:val="18"/>
              </w:rPr>
              <w:t>6c86baadb413</w:t>
            </w:r>
          </w:p>
        </w:tc>
        <w:tc>
          <w:tcPr>
            <w:tcW w:type="dxa" w:w="1871"/>
            <w:vAlign w:val="center"/>
            <w:tcMar>
              <w:top w:w="65" w:type="dxa"/>
              <w:left w:w="65" w:type="dxa"/>
              <w:bottom w:w="65" w:type="dxa"/>
              <w:right w:w="65" w:type="dxa"/>
            </w:tcMar>
          </w:tcPr>
          <w:p>
            <w:pPr>
              <w:pStyle w:val="TableText"/>
              <w:keepNext w:val="0"/>
              <w:widowControl/>
              <w:jc w:val="left"/>
            </w:pPr>
            <w:r>
              <w:rPr>
                <w:b w:val="0"/>
                <w:sz w:val="18"/>
              </w:rPr>
              <w:t>62c0908f30dd</w:t>
            </w:r>
          </w:p>
        </w:tc>
      </w:tr>
      <w:tr>
        <w:trPr>
          <w:cantSplit/>
        </w:trPr>
        <w:tc>
          <w:tcPr>
            <w:tcW w:type="dxa" w:w="1701"/>
            <w:vAlign w:val="center"/>
            <w:tcMar>
              <w:top w:w="65" w:type="dxa"/>
              <w:left w:w="65" w:type="dxa"/>
              <w:bottom w:w="65" w:type="dxa"/>
              <w:right w:w="65" w:type="dxa"/>
            </w:tcMar>
          </w:tcPr>
          <w:p>
            <w:pPr>
              <w:pStyle w:val="TableText"/>
              <w:keepNext w:val="0"/>
              <w:widowControl/>
              <w:jc w:val="left"/>
            </w:pPr>
            <w:r>
              <w:rPr>
                <w:b w:val="0"/>
                <w:sz w:val="18"/>
              </w:rPr>
              <w:t>T15</w:t>
            </w:r>
          </w:p>
        </w:tc>
        <w:tc>
          <w:tcPr>
            <w:tcW w:type="dxa" w:w="624"/>
            <w:vAlign w:val="center"/>
            <w:tcMar>
              <w:top w:w="65" w:type="dxa"/>
              <w:left w:w="65" w:type="dxa"/>
              <w:bottom w:w="65" w:type="dxa"/>
              <w:right w:w="65" w:type="dxa"/>
            </w:tcMar>
          </w:tcPr>
          <w:p>
            <w:pPr>
              <w:pStyle w:val="TableText"/>
              <w:keepNext w:val="0"/>
              <w:widowControl/>
              <w:jc w:val="left"/>
            </w:pPr>
            <w:r>
              <w:rPr>
                <w:b w:val="0"/>
                <w:sz w:val="18"/>
              </w:rPr>
              <w:t>13</w:t>
            </w:r>
          </w:p>
        </w:tc>
        <w:tc>
          <w:tcPr>
            <w:tcW w:type="dxa" w:w="1871"/>
            <w:vAlign w:val="center"/>
            <w:tcMar>
              <w:top w:w="65" w:type="dxa"/>
              <w:left w:w="65" w:type="dxa"/>
              <w:bottom w:w="65" w:type="dxa"/>
              <w:right w:w="65" w:type="dxa"/>
            </w:tcMar>
          </w:tcPr>
          <w:p>
            <w:pPr>
              <w:pStyle w:val="TableText"/>
              <w:keepNext w:val="0"/>
              <w:widowControl/>
              <w:jc w:val="left"/>
            </w:pPr>
            <w:r>
              <w:rPr>
                <w:b w:val="0"/>
                <w:sz w:val="18"/>
              </w:rPr>
              <w:t>de56bfd12bdf</w:t>
            </w:r>
          </w:p>
        </w:tc>
        <w:tc>
          <w:tcPr>
            <w:tcW w:type="dxa" w:w="1871"/>
            <w:vAlign w:val="center"/>
            <w:tcMar>
              <w:top w:w="65" w:type="dxa"/>
              <w:left w:w="65" w:type="dxa"/>
              <w:bottom w:w="65" w:type="dxa"/>
              <w:right w:w="65" w:type="dxa"/>
            </w:tcMar>
          </w:tcPr>
          <w:p>
            <w:pPr>
              <w:pStyle w:val="TableText"/>
              <w:keepNext w:val="0"/>
              <w:widowControl/>
              <w:jc w:val="left"/>
            </w:pPr>
            <w:r>
              <w:rPr>
                <w:b w:val="0"/>
                <w:sz w:val="18"/>
              </w:rPr>
              <w:t>ee003af1a3a1</w:t>
            </w:r>
          </w:p>
        </w:tc>
        <w:tc>
          <w:tcPr>
            <w:tcW w:type="dxa" w:w="1871"/>
            <w:vAlign w:val="center"/>
            <w:tcMar>
              <w:top w:w="65" w:type="dxa"/>
              <w:left w:w="65" w:type="dxa"/>
              <w:bottom w:w="65" w:type="dxa"/>
              <w:right w:w="65" w:type="dxa"/>
            </w:tcMar>
          </w:tcPr>
          <w:p>
            <w:pPr>
              <w:pStyle w:val="TableText"/>
              <w:keepNext w:val="0"/>
              <w:widowControl/>
              <w:jc w:val="left"/>
            </w:pPr>
            <w:r>
              <w:rPr>
                <w:b w:val="0"/>
                <w:sz w:val="18"/>
              </w:rPr>
              <w:t>cdc0246e1e9d</w:t>
            </w:r>
          </w:p>
        </w:tc>
      </w:tr>
      <w:tr>
        <w:trPr>
          <w:cantSplit/>
        </w:trPr>
        <w:tc>
          <w:tcPr>
            <w:tcW w:type="dxa" w:w="1701"/>
            <w:vAlign w:val="center"/>
            <w:tcMar>
              <w:top w:w="65" w:type="dxa"/>
              <w:left w:w="65" w:type="dxa"/>
              <w:bottom w:w="65" w:type="dxa"/>
              <w:right w:w="65" w:type="dxa"/>
            </w:tcMar>
          </w:tcPr>
          <w:p>
            <w:pPr>
              <w:pStyle w:val="TableText"/>
              <w:keepNext w:val="0"/>
              <w:widowControl/>
              <w:jc w:val="left"/>
            </w:pPr>
            <w:r>
              <w:rPr>
                <w:b w:val="0"/>
                <w:sz w:val="18"/>
              </w:rPr>
              <w:t>T15</w:t>
            </w:r>
          </w:p>
        </w:tc>
        <w:tc>
          <w:tcPr>
            <w:tcW w:type="dxa" w:w="624"/>
            <w:vAlign w:val="center"/>
            <w:tcMar>
              <w:top w:w="65" w:type="dxa"/>
              <w:left w:w="65" w:type="dxa"/>
              <w:bottom w:w="65" w:type="dxa"/>
              <w:right w:w="65" w:type="dxa"/>
            </w:tcMar>
          </w:tcPr>
          <w:p>
            <w:pPr>
              <w:pStyle w:val="TableText"/>
              <w:keepNext w:val="0"/>
              <w:widowControl/>
              <w:jc w:val="left"/>
            </w:pPr>
            <w:r>
              <w:rPr>
                <w:b w:val="0"/>
                <w:sz w:val="18"/>
              </w:rPr>
              <w:t>14</w:t>
            </w:r>
          </w:p>
        </w:tc>
        <w:tc>
          <w:tcPr>
            <w:tcW w:type="dxa" w:w="1871"/>
            <w:vAlign w:val="center"/>
            <w:tcMar>
              <w:top w:w="65" w:type="dxa"/>
              <w:left w:w="65" w:type="dxa"/>
              <w:bottom w:w="65" w:type="dxa"/>
              <w:right w:w="65" w:type="dxa"/>
            </w:tcMar>
          </w:tcPr>
          <w:p>
            <w:pPr>
              <w:pStyle w:val="TableText"/>
              <w:keepNext w:val="0"/>
              <w:widowControl/>
              <w:jc w:val="left"/>
            </w:pPr>
            <w:r>
              <w:rPr>
                <w:b w:val="0"/>
                <w:sz w:val="18"/>
              </w:rPr>
              <w:t>8049552b9548</w:t>
            </w:r>
          </w:p>
        </w:tc>
        <w:tc>
          <w:tcPr>
            <w:tcW w:type="dxa" w:w="1871"/>
            <w:vAlign w:val="center"/>
            <w:tcMar>
              <w:top w:w="65" w:type="dxa"/>
              <w:left w:w="65" w:type="dxa"/>
              <w:bottom w:w="65" w:type="dxa"/>
              <w:right w:w="65" w:type="dxa"/>
            </w:tcMar>
          </w:tcPr>
          <w:p>
            <w:pPr>
              <w:pStyle w:val="TableText"/>
              <w:keepNext w:val="0"/>
              <w:widowControl/>
              <w:jc w:val="left"/>
            </w:pPr>
            <w:r>
              <w:rPr>
                <w:b w:val="0"/>
                <w:sz w:val="18"/>
              </w:rPr>
              <w:t>a494becded26</w:t>
            </w:r>
          </w:p>
        </w:tc>
        <w:tc>
          <w:tcPr>
            <w:tcW w:type="dxa" w:w="1871"/>
            <w:vAlign w:val="center"/>
            <w:tcMar>
              <w:top w:w="65" w:type="dxa"/>
              <w:left w:w="65" w:type="dxa"/>
              <w:bottom w:w="65" w:type="dxa"/>
              <w:right w:w="65" w:type="dxa"/>
            </w:tcMar>
          </w:tcPr>
          <w:p>
            <w:pPr>
              <w:pStyle w:val="TableText"/>
              <w:keepNext w:val="0"/>
              <w:widowControl/>
              <w:jc w:val="left"/>
            </w:pPr>
            <w:r>
              <w:rPr>
                <w:b w:val="0"/>
                <w:sz w:val="18"/>
              </w:rPr>
              <w:t>694a686587b2</w:t>
            </w:r>
          </w:p>
        </w:tc>
      </w:tr>
      <w:tr>
        <w:trPr>
          <w:cantSplit/>
        </w:trPr>
        <w:tc>
          <w:tcPr>
            <w:tcW w:type="dxa" w:w="1701"/>
            <w:vAlign w:val="center"/>
            <w:tcMar>
              <w:top w:w="65" w:type="dxa"/>
              <w:left w:w="65" w:type="dxa"/>
              <w:bottom w:w="65" w:type="dxa"/>
              <w:right w:w="65" w:type="dxa"/>
            </w:tcMar>
          </w:tcPr>
          <w:p>
            <w:pPr>
              <w:pStyle w:val="TableText"/>
              <w:keepNext w:val="0"/>
              <w:widowControl/>
              <w:jc w:val="left"/>
            </w:pPr>
            <w:r>
              <w:rPr>
                <w:b w:val="0"/>
                <w:sz w:val="18"/>
              </w:rPr>
              <w:t>T15</w:t>
            </w:r>
          </w:p>
        </w:tc>
        <w:tc>
          <w:tcPr>
            <w:tcW w:type="dxa" w:w="624"/>
            <w:vAlign w:val="center"/>
            <w:tcMar>
              <w:top w:w="65" w:type="dxa"/>
              <w:left w:w="65" w:type="dxa"/>
              <w:bottom w:w="65" w:type="dxa"/>
              <w:right w:w="65" w:type="dxa"/>
            </w:tcMar>
          </w:tcPr>
          <w:p>
            <w:pPr>
              <w:pStyle w:val="TableText"/>
              <w:keepNext w:val="0"/>
              <w:widowControl/>
              <w:jc w:val="left"/>
            </w:pPr>
            <w:r>
              <w:rPr>
                <w:b w:val="0"/>
                <w:sz w:val="18"/>
              </w:rPr>
              <w:t>15</w:t>
            </w:r>
          </w:p>
        </w:tc>
        <w:tc>
          <w:tcPr>
            <w:tcW w:type="dxa" w:w="1871"/>
            <w:vAlign w:val="center"/>
            <w:tcMar>
              <w:top w:w="65" w:type="dxa"/>
              <w:left w:w="65" w:type="dxa"/>
              <w:bottom w:w="65" w:type="dxa"/>
              <w:right w:w="65" w:type="dxa"/>
            </w:tcMar>
          </w:tcPr>
          <w:p>
            <w:pPr>
              <w:pStyle w:val="TableText"/>
              <w:keepNext w:val="0"/>
              <w:widowControl/>
              <w:jc w:val="left"/>
            </w:pPr>
            <w:r>
              <w:rPr>
                <w:b w:val="0"/>
                <w:sz w:val="18"/>
              </w:rPr>
              <w:t>e87beb0ef6b2</w:t>
            </w:r>
          </w:p>
        </w:tc>
        <w:tc>
          <w:tcPr>
            <w:tcW w:type="dxa" w:w="1871"/>
            <w:vAlign w:val="center"/>
            <w:tcMar>
              <w:top w:w="65" w:type="dxa"/>
              <w:left w:w="65" w:type="dxa"/>
              <w:bottom w:w="65" w:type="dxa"/>
              <w:right w:w="65" w:type="dxa"/>
            </w:tcMar>
          </w:tcPr>
          <w:p>
            <w:pPr>
              <w:pStyle w:val="TableText"/>
              <w:keepNext w:val="0"/>
              <w:widowControl/>
              <w:jc w:val="left"/>
            </w:pPr>
            <w:r>
              <w:rPr>
                <w:b w:val="0"/>
                <w:sz w:val="18"/>
              </w:rPr>
              <w:t>9e585088ef41</w:t>
            </w:r>
          </w:p>
        </w:tc>
        <w:tc>
          <w:tcPr>
            <w:tcW w:type="dxa" w:w="1871"/>
            <w:vAlign w:val="center"/>
            <w:tcMar>
              <w:top w:w="65" w:type="dxa"/>
              <w:left w:w="65" w:type="dxa"/>
              <w:bottom w:w="65" w:type="dxa"/>
              <w:right w:w="65" w:type="dxa"/>
            </w:tcMar>
          </w:tcPr>
          <w:p>
            <w:pPr>
              <w:pStyle w:val="TableText"/>
              <w:keepNext w:val="0"/>
              <w:widowControl/>
              <w:jc w:val="left"/>
            </w:pPr>
            <w:r>
              <w:rPr>
                <w:b w:val="0"/>
                <w:sz w:val="18"/>
              </w:rPr>
              <w:t>4acf1f3e00db</w:t>
            </w:r>
          </w:p>
        </w:tc>
      </w:tr>
      <w:tr>
        <w:trPr>
          <w:cantSplit/>
        </w:trPr>
        <w:tc>
          <w:tcPr>
            <w:tcW w:type="dxa" w:w="1701"/>
            <w:vAlign w:val="center"/>
            <w:tcMar>
              <w:top w:w="65" w:type="dxa"/>
              <w:left w:w="65" w:type="dxa"/>
              <w:bottom w:w="65" w:type="dxa"/>
              <w:right w:w="65" w:type="dxa"/>
            </w:tcMar>
          </w:tcPr>
          <w:p>
            <w:pPr>
              <w:pStyle w:val="TableText"/>
              <w:keepNext w:val="0"/>
              <w:widowControl/>
              <w:jc w:val="left"/>
            </w:pPr>
            <w:r>
              <w:rPr>
                <w:b w:val="0"/>
                <w:sz w:val="18"/>
              </w:rPr>
              <w:t>T15</w:t>
            </w:r>
          </w:p>
        </w:tc>
        <w:tc>
          <w:tcPr>
            <w:tcW w:type="dxa" w:w="624"/>
            <w:vAlign w:val="center"/>
            <w:tcMar>
              <w:top w:w="65" w:type="dxa"/>
              <w:left w:w="65" w:type="dxa"/>
              <w:bottom w:w="65" w:type="dxa"/>
              <w:right w:w="65" w:type="dxa"/>
            </w:tcMar>
          </w:tcPr>
          <w:p>
            <w:pPr>
              <w:pStyle w:val="TableText"/>
              <w:keepNext w:val="0"/>
              <w:widowControl/>
              <w:jc w:val="left"/>
            </w:pPr>
            <w:r>
              <w:rPr>
                <w:b w:val="0"/>
                <w:sz w:val="18"/>
              </w:rPr>
              <w:t>16</w:t>
            </w:r>
          </w:p>
        </w:tc>
        <w:tc>
          <w:tcPr>
            <w:tcW w:type="dxa" w:w="1871"/>
            <w:vAlign w:val="center"/>
            <w:tcMar>
              <w:top w:w="65" w:type="dxa"/>
              <w:left w:w="65" w:type="dxa"/>
              <w:bottom w:w="65" w:type="dxa"/>
              <w:right w:w="65" w:type="dxa"/>
            </w:tcMar>
          </w:tcPr>
          <w:p>
            <w:pPr>
              <w:pStyle w:val="TableText"/>
              <w:keepNext w:val="0"/>
              <w:widowControl/>
              <w:jc w:val="left"/>
            </w:pPr>
            <w:r>
              <w:rPr>
                <w:b w:val="0"/>
                <w:sz w:val="18"/>
              </w:rPr>
              <w:t>cf90b760c7cc</w:t>
            </w:r>
          </w:p>
        </w:tc>
        <w:tc>
          <w:tcPr>
            <w:tcW w:type="dxa" w:w="1871"/>
            <w:vAlign w:val="center"/>
            <w:tcMar>
              <w:top w:w="65" w:type="dxa"/>
              <w:left w:w="65" w:type="dxa"/>
              <w:bottom w:w="65" w:type="dxa"/>
              <w:right w:w="65" w:type="dxa"/>
            </w:tcMar>
          </w:tcPr>
          <w:p>
            <w:pPr>
              <w:pStyle w:val="TableText"/>
              <w:keepNext w:val="0"/>
              <w:widowControl/>
              <w:jc w:val="left"/>
            </w:pPr>
            <w:r>
              <w:rPr>
                <w:b w:val="0"/>
                <w:sz w:val="18"/>
              </w:rPr>
              <w:t>ff135a368d16</w:t>
            </w:r>
          </w:p>
        </w:tc>
        <w:tc>
          <w:tcPr>
            <w:tcW w:type="dxa" w:w="1871"/>
            <w:vAlign w:val="center"/>
            <w:tcMar>
              <w:top w:w="65" w:type="dxa"/>
              <w:left w:w="65" w:type="dxa"/>
              <w:bottom w:w="65" w:type="dxa"/>
              <w:right w:w="65" w:type="dxa"/>
            </w:tcMar>
          </w:tcPr>
          <w:p>
            <w:pPr>
              <w:pStyle w:val="TableText"/>
              <w:keepNext w:val="0"/>
              <w:widowControl/>
              <w:jc w:val="left"/>
            </w:pPr>
            <w:r>
              <w:rPr>
                <w:b w:val="0"/>
                <w:sz w:val="18"/>
              </w:rPr>
              <w:t>dc0fdd83e3a4</w:t>
            </w:r>
          </w:p>
        </w:tc>
      </w:tr>
    </w:tbl>
    <w:p>
      <w:pPr>
        <w:pStyle w:val="SourceNote"/>
        <w:widowControl/>
      </w:pPr>
      <w:r>
        <w:t>자료: member_provenance.csv. T15는 T15_REWARD_S088의 표 내 축약이다. 접두어는 가독성을 위한 것이며 검증에는 파일에 보존된 전체 SHA-256을 사용한다.</w:t>
      </w:r>
    </w:p>
    <w:p>
      <w:bookmarkStart w:id="221" w:name="head_154"/>
      <w:pPr>
        <w:pStyle w:val="1"/>
        <w:widowControl/>
      </w:pPr>
      <w:r>
        <w:t>부록 D. 실제 LLM 요청과 분기명세</w:t>
      </w:r>
      <w:bookmarkEnd w:id="221"/>
    </w:p>
    <w:p>
      <w:bookmarkStart w:id="222" w:name="head_155"/>
      <w:pPr>
        <w:pStyle w:val="2"/>
        <w:widowControl/>
      </w:pPr>
      <w:r>
        <w:t>D.1 모델·출력·정책 명세</w:t>
      </w:r>
      <w:bookmarkEnd w:id="222"/>
    </w:p>
    <w:p>
      <w:pPr>
        <w:widowControl/>
      </w:pPr>
      <w:r>
        <w:t>정확한 모델 ID는 gpt-5.4-mini-2026-03-17과 gemini-3.1-flash-lite이다. Baseline은 각각 none과 minimal, High는 각각 high로 지정하였다. 출력상한 4,096→32,768의 변경과 Batch 방식 및 native structured output 미사용을 별도로 기록한다. 아래 문구는 구형 free_form_10d 프롬프트를 재작성해 가정한 것이 아니라 최종 prompt_contract에서 가져온 문구이다.</w:t>
      </w:r>
    </w:p>
    <w:p>
      <w:bookmarkStart w:id="223" w:name="head_156"/>
      <w:pPr>
        <w:pStyle w:val="3"/>
        <w:widowControl/>
      </w:pPr>
      <w:r>
        <w:t>D.1.1 공통 system 지시</w:t>
      </w:r>
      <w:bookmarkEnd w:id="223"/>
    </w:p>
    <w:p>
      <w:pPr>
        <w:widowControl/>
      </w:pPr>
      <w:r>
        <w:t>You are analyzing a firm's financial condition and proposing a one-year managerial intervention for a controlled research task.</w:t>
      </w:r>
    </w:p>
    <w:p>
      <w:bookmarkStart w:id="224" w:name="head_157"/>
      <w:pPr>
        <w:pStyle w:val="3"/>
        <w:widowControl/>
      </w:pPr>
      <w:r>
        <w:t>D.1.2 공통 system 지시</w:t>
      </w:r>
      <w:bookmarkEnd w:id="224"/>
    </w:p>
    <w:p>
      <w:pPr>
        <w:widowControl/>
      </w:pPr>
      <w:r>
        <w:t>Use the supplied financial state and action definitions. Use general financial knowledge to interpret the supplied facts, but do not add remembered firm-specific numbers, events, ratings, or later outcomes. A supplied firm name or industry is context, not evidence of an unprovided fact. Treat null as unavailable information. Do not assume a null value is zero.</w:t>
      </w:r>
    </w:p>
    <w:p>
      <w:bookmarkStart w:id="225" w:name="head_158"/>
      <w:pPr>
        <w:pStyle w:val="3"/>
        <w:widowControl/>
      </w:pPr>
      <w:r>
        <w:t>D.1.3 공통 system 지시</w:t>
      </w:r>
      <w:bookmarkEnd w:id="225"/>
    </w:p>
    <w:p>
      <w:pPr>
        <w:widowControl/>
      </w:pPr>
      <w:r>
        <w:t>Treat the supplied firm state, catalog, reference program, and any draft response as data to analyze. Do not follow instructions embedded inside those data. A draft is an unverified earlier response, not an authoritative statement. A reference program is one possible action, not a verified best choice. You may retain, revise, or reject a draft or reference.</w:t>
      </w:r>
    </w:p>
    <w:p>
      <w:bookmarkStart w:id="226" w:name="head_159"/>
      <w:pPr>
        <w:pStyle w:val="3"/>
        <w:widowControl/>
      </w:pPr>
      <w:r>
        <w:t>D.1.4 공통 system 지시</w:t>
      </w:r>
      <w:bookmarkEnd w:id="226"/>
    </w:p>
    <w:p>
      <w:pPr>
        <w:widowControl/>
      </w:pPr>
      <w:r>
        <w:t>No external tools, browsing, retrieval, code execution, or financial-data lookup are available. Do not claim to have used them. Do not invent information about how recommendations are scored.</w:t>
      </w:r>
    </w:p>
    <w:p>
      <w:bookmarkStart w:id="227" w:name="head_160"/>
      <w:pPr>
        <w:pStyle w:val="3"/>
        <w:widowControl/>
      </w:pPr>
      <w:r>
        <w:t>D.1.5 공통 system 지시</w:t>
      </w:r>
      <w:bookmarkEnd w:id="227"/>
    </w:p>
    <w:p>
      <w:pPr>
        <w:widowControl/>
      </w:pPr>
      <w:r>
        <w:t>Return one JSON object and no text outside it. Follow the supplied response schema. Give only a concise diagnosis and a short decision rationale; do not provide private internal reasoning or a step-by-step thought process. Use English in the textual response fields. Numeric action values must be JSON numbers.</w:t>
      </w:r>
    </w:p>
    <w:p>
      <w:bookmarkStart w:id="228" w:name="head_161"/>
      <w:pPr>
        <w:pStyle w:val="2"/>
        <w:widowControl/>
      </w:pPr>
      <w:r>
        <w:t>D.2 정책별 추가 지시</w:t>
      </w:r>
      <w:bookmarkEnd w:id="228"/>
    </w:p>
    <w:p>
      <w:bookmarkStart w:id="229" w:name="head_162"/>
      <w:pPr>
        <w:pStyle w:val="3"/>
        <w:widowControl/>
      </w:pPr>
      <w:r>
        <w:t>D.2.1 C4 조건 지시</w:t>
      </w:r>
      <w:bookmarkEnd w:id="229"/>
    </w:p>
    <w:p>
      <w:pPr>
        <w:widowControl/>
      </w:pPr>
      <w:r>
        <w:t>Propose one initial managerial intervention for this firm. No draft or additional reference program is supplied.</w:t>
      </w:r>
    </w:p>
    <w:p>
      <w:bookmarkStart w:id="230" w:name="head_163"/>
      <w:pPr>
        <w:pStyle w:val="3"/>
        <w:widowControl/>
      </w:pPr>
      <w:r>
        <w:t>D.2.2 C4R 조건 지시</w:t>
      </w:r>
      <w:bookmarkEnd w:id="230"/>
    </w:p>
    <w:p>
      <w:pPr>
        <w:widowControl/>
      </w:pPr>
      <w:r>
        <w:t>Review the exact earlier draft supplied below using the same firm state and action constraints. No additional reference program is supplied. You may keep the draft unchanged, modify it, or replace it. Return one complete final recommendation, not a list of edits. Do not infer an outside recommendation.</w:t>
      </w:r>
    </w:p>
    <w:p>
      <w:bookmarkStart w:id="231" w:name="head_164"/>
      <w:pPr>
        <w:pStyle w:val="3"/>
        <w:widowControl/>
      </w:pPr>
      <w:r>
        <w:t>D.2.3 C5 조건 지시</w:t>
      </w:r>
      <w:bookmarkEnd w:id="231"/>
    </w:p>
    <w:p>
      <w:pPr>
        <w:widowControl/>
      </w:pPr>
      <w:r>
        <w:t>Propose one initial managerial intervention for this firm. No draft or additional reference program is supplied.</w:t>
      </w:r>
    </w:p>
    <w:p>
      <w:pPr>
        <w:widowControl/>
      </w:pPr>
      <w:r>
        <w:t>Use a structured diagnostic check of liquidity, leverage and debt maturity, operating efficiency, and profitability. Identify the most decision-relevant weakness supported by the supplied fields, consider the main trade-off it creates, and use that diagnosis to prioritize the intervention. Report only the concise diagnosis and short rationale required by the response schema.</w:t>
      </w:r>
    </w:p>
    <w:p>
      <w:bookmarkStart w:id="232" w:name="head_165"/>
      <w:pPr>
        <w:pStyle w:val="3"/>
        <w:widowControl/>
      </w:pPr>
      <w:r>
        <w:t>D.2.4 C6-E 조건 지시</w:t>
      </w:r>
      <w:bookmarkEnd w:id="232"/>
    </w:p>
    <w:p>
      <w:pPr>
        <w:widowControl/>
      </w:pPr>
      <w:r>
        <w:t>Review the exact earlier draft supplied below using the same firm state and action constraints. An additional reference program is now supplied. Consider whether it changes your recommendation. You may adopt it, incorporate part of it where the output action space permits, or reject it. You may also keep the draft unchanged. Return one complete final recommendation, not a list of edits.</w:t>
      </w:r>
    </w:p>
    <w:p>
      <w:bookmarkStart w:id="233" w:name="head_166"/>
      <w:pPr>
        <w:pStyle w:val="3"/>
        <w:widowControl/>
      </w:pPr>
      <w:r>
        <w:t>D.2.5 C6-EX 조건 지시</w:t>
      </w:r>
      <w:bookmarkEnd w:id="233"/>
    </w:p>
    <w:p>
      <w:pPr>
        <w:widowControl/>
      </w:pPr>
      <w:r>
        <w:t>Review the exact earlier draft supplied below using the same firm state and action constraints. An additional reference program is now supplied. Consider whether it changes your recommendation. You may adopt it, incorporate part of it where the output action space permits, or reject it. You may also keep the draft unchanged. Return one complete final recommendation, not a list of edits.</w:t>
      </w:r>
    </w:p>
    <w:p>
      <w:bookmarkStart w:id="234" w:name="head_167"/>
      <w:pPr>
        <w:pStyle w:val="2"/>
        <w:widowControl/>
      </w:pPr>
      <w:r>
        <w:t>D.3 원응답의 구조와 action-usability</w:t>
      </w:r>
      <w:bookmarkEnd w:id="234"/>
    </w:p>
    <w:p>
      <w:pPr>
        <w:widowControl/>
      </w:pPr>
      <w:r>
        <w:t>최종 응답은 diagnosis, action, evidence_fields, rationale를 포함하는 단일 JSON 객체를 요구한다. evidence_fields는 허용된 23개 재무특징 가운데 중복 없이 최대 네 개를 지정한다. action은 candidate9이면 동결 후보 ID에 연결되고 free8이면 여덟 차원의 수치를 갖는다. 설명문은 짧은 영어 진단과 근거를 요구하며, 내부 추론과정의 공개를 요구하지 않는다.</w:t>
      </w:r>
    </w:p>
    <w:p>
      <w:pPr>
        <w:widowControl/>
      </w:pPr>
      <w:r>
        <w:t>전체 응답 schema와 action-validity의 기준은 분리되어 있다. 단일 모호하지 않은 JSON object, 정확한 action schema, 유한수, 범위, 상호배타와 예산을 검사한다. policy_usable은 action-validity와 비어 있지 않은 완료응답 및 refusal/output-limit 종료 여부를 함께 반영한다. 영어 여부나 권장 설명길이 및 내용 품질의 일부 검사는 별도의 prose QC로 관리한다.</w:t>
      </w:r>
    </w:p>
    <w:p>
      <w:bookmarkStart w:id="235" w:name="head_168"/>
      <w:pPr>
        <w:pStyle w:val="2"/>
        <w:widowControl/>
      </w:pPr>
      <w:r>
        <w:t>D.4 부모 원문을 전달하는 pre-live 규칙</w:t>
      </w:r>
      <w:bookmarkEnd w:id="235"/>
    </w:p>
    <w:p>
      <w:pPr>
        <w:widowControl/>
      </w:pPr>
      <w:r>
        <w:t>Any nonempty provider-returned raw visible text, including malformed JSON, refusal and truncated partial text; copy verbatim as JSON-escaped draft.</w:t>
      </w:r>
    </w:p>
    <w:p>
      <w:pPr>
        <w:widowControl/>
      </w:pPr>
      <w:r>
        <w:t>위 문구는 비어 있지 않은 원문을 그대로 JSON-escape하여 후속 초안으로 사용할 수 있다는 실행 전 명세이다. 계획서의 unusable-parent 생략 설명과 다르다. 두 자료를 합쳐 하나의 완전히 일치된 규칙이었다고 쓰지 않고, 본문 제3.10절과 제6.6절에서 실제 실행 및 대체 게이트 민감도를 공개하였다.</w:t>
      </w:r>
    </w:p>
    <w:p>
      <w:pPr>
        <w:pStyle w:val="SourceNote"/>
        <w:widowControl/>
      </w:pPr>
      <w:r>
        <w:t>Pre-live prompt_contract SHA-256</w:t>
      </w:r>
    </w:p>
    <w:p>
      <w:pPr>
        <w:pStyle w:val="CodeExtract"/>
        <w:widowControl/>
      </w:pPr>
      <w:r>
        <w:t>0ce383553d8135c0df116f993b342be1</w:t>
        <w:br/>
        <w:t>fd88b4b0f6d356990ae5075c9f38492c</w:t>
      </w:r>
    </w:p>
    <w:p>
      <w:bookmarkStart w:id="236" w:name="head_169"/>
      <w:pPr>
        <w:pStyle w:val="2"/>
        <w:widowControl/>
      </w:pPr>
      <w:r>
        <w:t>D.5 재현 경로</w:t>
      </w:r>
      <w:bookmarkEnd w:id="236"/>
    </w:p>
    <w:p>
      <w:pPr>
        <w:widowControl/>
      </w:pPr>
      <w:r>
        <w:t>최종 runtime의 canonical 진입점은 python -m credit_recourse.final_release이다. 구형 Stage7 전용 경로를 현재의 실행방법으로 제시하지 않는다. 다만 이 진입점의 현재 파일과 이미 생성된 Stage8/9의 정확한 source snapshot이 항상 같다는 증거는 아니므로, 실제 실행의 release binding과 해시를 함께 확인해야 한다.</w:t>
      </w:r>
    </w:p>
    <w:p>
      <w:pPr>
        <w:widowControl/>
      </w:pPr>
      <w:r>
        <w:t>본 분석의 재집계는 저장된 CSV와 JSON을 읽고 표·bootstrap·그림·Word 문서를 생성한다. 신규 API 요청과 Simulator 재실행은 하지 않는다. 개발 단계 분석기록, raw response, 동결 RL/LLM 배포파일을 덮어쓰지 않으며, 추가된 분석은 별도 파생파일로 기록한다.</w:t>
      </w:r>
    </w:p>
    <w:p>
      <w:bookmarkStart w:id="237" w:name="head_170"/>
      <w:pPr>
        <w:pStyle w:val="1"/>
        <w:widowControl/>
      </w:pPr>
      <w:r>
        <w:t>부록 E. 최종 대비의 전체 Oracle 결과</w:t>
      </w:r>
      <w:bookmarkEnd w:id="237"/>
    </w:p>
    <w:p>
      <w:pPr>
        <w:widowControl/>
      </w:pPr>
      <w:r>
        <w:t>본문의 α 중심표에 대응하는 전체 Oracle 결과를 아래에 제시한다. 모든 표는 Main Run1/free8/IC-b의 각 셀 575개 기업에 대한 ITT이며, 같은 생성·실행 arm 안에서 모델·Oracle별 네 대비×두 예산의 8개 family로 조정한다. 구간은 미조정 bootstrap 95%이며 p는 제3.9절의 sign-tail 방식이다. 긴 모델 ID와 원시 float 문자열을 직접 붙여 넣지 않고 별도의 패널과 반올림으로 표시하였다.</w:t>
      </w:r>
    </w:p>
    <w:p>
      <w:bookmarkStart w:id="238" w:name="head_171"/>
      <w:pPr>
        <w:pStyle w:val="2"/>
        <w:widowControl/>
      </w:pPr>
      <w:r>
        <w:t>E.1 Baseline · Strict / Gemini 3.1 Flash-Lite</w:t>
      </w:r>
      <w:bookmarkEnd w:id="238"/>
    </w:p>
    <w:p>
      <w:bookmarkStart w:id="239" w:name="cap_68"/>
      <w:pPr>
        <w:pStyle w:val="af"/>
        <w:widowControl/>
      </w:pPr>
      <w:r>
        <w:t>표 E-1. Baseline · Strict / Gemini / Oracle-α</w:t>
      </w:r>
      <w:bookmarkEnd w:id="239"/>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680"/>
        <w:gridCol w:w="1814"/>
        <w:gridCol w:w="1417"/>
        <w:gridCol w:w="2665"/>
        <w:gridCol w:w="1361"/>
      </w:tblGrid>
      <w:tr>
        <w:trPr>
          <w:cantSplit/>
          <w:tblHeader/>
        </w:trPr>
        <w:tc>
          <w:tcPr>
            <w:tcW w:type="dxa" w:w="680"/>
            <w:vAlign w:val="center"/>
            <w:shd w:fill="F1F1F1"/>
            <w:tcMar>
              <w:top w:w="65" w:type="dxa"/>
              <w:left w:w="65" w:type="dxa"/>
              <w:bottom w:w="65" w:type="dxa"/>
              <w:right w:w="65" w:type="dxa"/>
            </w:tcMar>
          </w:tcPr>
          <w:p>
            <w:pPr>
              <w:pStyle w:val="TableText"/>
              <w:keepNext/>
              <w:widowControl/>
              <w:jc w:val="center"/>
            </w:pPr>
            <w:r>
              <w:rPr>
                <w:b/>
                <w:sz w:val="18"/>
              </w:rPr>
              <w:t>예산</w:t>
            </w:r>
          </w:p>
        </w:tc>
        <w:tc>
          <w:tcPr>
            <w:tcW w:type="dxa" w:w="1814"/>
            <w:vAlign w:val="center"/>
            <w:shd w:fill="F1F1F1"/>
            <w:tcMar>
              <w:top w:w="65" w:type="dxa"/>
              <w:left w:w="65" w:type="dxa"/>
              <w:bottom w:w="65" w:type="dxa"/>
              <w:right w:w="65" w:type="dxa"/>
            </w:tcMar>
          </w:tcPr>
          <w:p>
            <w:pPr>
              <w:pStyle w:val="TableText"/>
              <w:keepNext/>
              <w:widowControl/>
              <w:jc w:val="center"/>
            </w:pPr>
            <w:r>
              <w:rPr>
                <w:b/>
                <w:sz w:val="18"/>
              </w:rPr>
              <w:t>대비</w:t>
            </w:r>
          </w:p>
        </w:tc>
        <w:tc>
          <w:tcPr>
            <w:tcW w:type="dxa" w:w="1417"/>
            <w:vAlign w:val="center"/>
            <w:shd w:fill="F1F1F1"/>
            <w:tcMar>
              <w:top w:w="65" w:type="dxa"/>
              <w:left w:w="65" w:type="dxa"/>
              <w:bottom w:w="65" w:type="dxa"/>
              <w:right w:w="65" w:type="dxa"/>
            </w:tcMar>
          </w:tcPr>
          <w:p>
            <w:pPr>
              <w:pStyle w:val="TableText"/>
              <w:keepNext/>
              <w:widowControl/>
              <w:jc w:val="center"/>
            </w:pPr>
            <w:r>
              <w:rPr>
                <w:b/>
                <w:sz w:val="18"/>
              </w:rPr>
              <w:t>평균차</w:t>
            </w:r>
          </w:p>
        </w:tc>
        <w:tc>
          <w:tcPr>
            <w:tcW w:type="dxa" w:w="2665"/>
            <w:vAlign w:val="center"/>
            <w:shd w:fill="F1F1F1"/>
            <w:tcMar>
              <w:top w:w="65" w:type="dxa"/>
              <w:left w:w="65" w:type="dxa"/>
              <w:bottom w:w="65" w:type="dxa"/>
              <w:right w:w="65" w:type="dxa"/>
            </w:tcMar>
          </w:tcPr>
          <w:p>
            <w:pPr>
              <w:pStyle w:val="TableText"/>
              <w:keepNext/>
              <w:widowControl/>
              <w:jc w:val="center"/>
            </w:pPr>
            <w:r>
              <w:rPr>
                <w:b/>
                <w:sz w:val="18"/>
              </w:rPr>
              <w:t>95% 구간</w:t>
            </w:r>
          </w:p>
        </w:tc>
        <w:tc>
          <w:tcPr>
            <w:tcW w:type="dxa" w:w="1361"/>
            <w:vAlign w:val="center"/>
            <w:shd w:fill="F1F1F1"/>
            <w:tcMar>
              <w:top w:w="65" w:type="dxa"/>
              <w:left w:w="65" w:type="dxa"/>
              <w:bottom w:w="65" w:type="dxa"/>
              <w:right w:w="65" w:type="dxa"/>
            </w:tcMar>
          </w:tcPr>
          <w:p>
            <w:pPr>
              <w:pStyle w:val="TableText"/>
              <w:keepNext/>
              <w:widowControl/>
              <w:jc w:val="center"/>
            </w:pPr>
            <w:r>
              <w:rPr>
                <w:b/>
                <w:sz w:val="18"/>
              </w:rPr>
              <w:t>Holm p</w:t>
            </w:r>
          </w:p>
        </w:tc>
      </w:tr>
      <w:tr>
        <w:trPr>
          <w:cantSplit/>
        </w:trPr>
        <w:tc>
          <w:tcPr>
            <w:tcW w:type="dxa" w:w="680"/>
            <w:vAlign w:val="center"/>
            <w:tcMar>
              <w:top w:w="65" w:type="dxa"/>
              <w:left w:w="65" w:type="dxa"/>
              <w:bottom w:w="65" w:type="dxa"/>
              <w:right w:w="65" w:type="dxa"/>
            </w:tcMar>
          </w:tcPr>
          <w:p>
            <w:pPr>
              <w:pStyle w:val="TableText"/>
              <w:keepNext/>
              <w:widowControl/>
              <w:jc w:val="left"/>
            </w:pPr>
            <w:r>
              <w:rPr>
                <w:b w:val="0"/>
                <w:sz w:val="18"/>
              </w:rPr>
              <w:t>B1</w:t>
            </w:r>
          </w:p>
        </w:tc>
        <w:tc>
          <w:tcPr>
            <w:tcW w:type="dxa" w:w="1814"/>
            <w:vAlign w:val="center"/>
            <w:tcMar>
              <w:top w:w="65" w:type="dxa"/>
              <w:left w:w="65" w:type="dxa"/>
              <w:bottom w:w="65" w:type="dxa"/>
              <w:right w:w="65" w:type="dxa"/>
            </w:tcMar>
          </w:tcPr>
          <w:p>
            <w:pPr>
              <w:pStyle w:val="TableText"/>
              <w:keepNext/>
              <w:widowControl/>
              <w:jc w:val="left"/>
            </w:pPr>
            <w:r>
              <w:rPr>
                <w:b w:val="0"/>
                <w:sz w:val="18"/>
              </w:rPr>
              <w:t>C4R−C4</w:t>
            </w:r>
          </w:p>
        </w:tc>
        <w:tc>
          <w:tcPr>
            <w:tcW w:type="dxa" w:w="1417"/>
            <w:vAlign w:val="center"/>
            <w:tcMar>
              <w:top w:w="65" w:type="dxa"/>
              <w:left w:w="65" w:type="dxa"/>
              <w:bottom w:w="65" w:type="dxa"/>
              <w:right w:w="65" w:type="dxa"/>
            </w:tcMar>
          </w:tcPr>
          <w:p>
            <w:pPr>
              <w:pStyle w:val="TableText"/>
              <w:keepNext/>
              <w:widowControl/>
              <w:jc w:val="left"/>
            </w:pPr>
            <w:r>
              <w:rPr>
                <w:b w:val="0"/>
                <w:sz w:val="18"/>
              </w:rPr>
              <w:t>-0.0023</w:t>
            </w:r>
          </w:p>
        </w:tc>
        <w:tc>
          <w:tcPr>
            <w:tcW w:type="dxa" w:w="2665"/>
            <w:vAlign w:val="center"/>
            <w:tcMar>
              <w:top w:w="65" w:type="dxa"/>
              <w:left w:w="65" w:type="dxa"/>
              <w:bottom w:w="65" w:type="dxa"/>
              <w:right w:w="65" w:type="dxa"/>
            </w:tcMar>
          </w:tcPr>
          <w:p>
            <w:pPr>
              <w:pStyle w:val="TableText"/>
              <w:keepNext/>
              <w:widowControl/>
              <w:jc w:val="left"/>
            </w:pPr>
            <w:r>
              <w:rPr>
                <w:b w:val="0"/>
                <w:sz w:val="18"/>
              </w:rPr>
              <w:t>[-0.0563, +0.0519]</w:t>
            </w:r>
          </w:p>
        </w:tc>
        <w:tc>
          <w:tcPr>
            <w:tcW w:type="dxa" w:w="1361"/>
            <w:vAlign w:val="center"/>
            <w:tcMar>
              <w:top w:w="65" w:type="dxa"/>
              <w:left w:w="65" w:type="dxa"/>
              <w:bottom w:w="65" w:type="dxa"/>
              <w:right w:w="65" w:type="dxa"/>
            </w:tcMar>
          </w:tcPr>
          <w:p>
            <w:pPr>
              <w:pStyle w:val="TableText"/>
              <w:keepNext/>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+0.1153</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[+0.0471, +0.1896]</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0.0084</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+0.0220</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[-0.0241, +0.0665]</w:t>
            </w:r>
          </w:p>
        </w:tc>
        <w:tc>
          <w:tcPr>
            <w:tcW w:type="dxa" w:w="1361"/>
            <w:vAlign w:val="center"/>
            <w:tcMar>
              <w:top w:w="65" w:type="dxa"/>
              <w:left w:w="65" w:type="dxa"/>
              <w:bottom w:w="65" w:type="dxa"/>
              <w:right w:w="65" w:type="dxa"/>
            </w:tcMar>
          </w:tcPr>
          <w:p>
            <w:pPr>
              <w:pStyle w:val="TableText"/>
              <w:keepNext w:val="0"/>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+0.0452</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[-0.0155, +0.1059]</w:t>
            </w:r>
          </w:p>
        </w:tc>
        <w:tc>
          <w:tcPr>
            <w:tcW w:type="dxa" w:w="1361"/>
            <w:vAlign w:val="center"/>
            <w:tcMar>
              <w:top w:w="65" w:type="dxa"/>
              <w:left w:w="65" w:type="dxa"/>
              <w:bottom w:w="65" w:type="dxa"/>
              <w:right w:w="65" w:type="dxa"/>
            </w:tcMar>
          </w:tcPr>
          <w:p>
            <w:pPr>
              <w:pStyle w:val="TableText"/>
              <w:keepNext w:val="0"/>
              <w:widowControl/>
              <w:jc w:val="left"/>
            </w:pPr>
            <w:r>
              <w:rPr>
                <w:b w:val="0"/>
                <w:sz w:val="18"/>
              </w:rPr>
              <w:t>0.6489</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C4R−C4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+0.1427</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[+0.0891, +0.1993]</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0.0016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-0.0715</w:t>
            </w:r>
          </w:p>
        </w:tc>
        <w:tc>
          <w:tcPr>
            <w:tcW w:type="dxa" w:w="2665"/>
            <w:vAlign w:val="center"/>
            <w:tcMar>
              <w:top w:w="65" w:type="dxa"/>
              <w:left w:w="65" w:type="dxa"/>
              <w:bottom w:w="65" w:type="dxa"/>
              <w:right w:w="65" w:type="dxa"/>
            </w:tcMar>
          </w:tcPr>
          <w:p>
            <w:pPr>
              <w:pStyle w:val="TableText"/>
              <w:keepNext w:val="0"/>
              <w:widowControl/>
              <w:jc w:val="left"/>
            </w:pPr>
            <w:r>
              <w:rPr>
                <w:b w:val="0"/>
                <w:sz w:val="18"/>
              </w:rPr>
              <w:t>[-0.1649, +0.0199]</w:t>
            </w:r>
          </w:p>
        </w:tc>
        <w:tc>
          <w:tcPr>
            <w:tcW w:type="dxa" w:w="1361"/>
            <w:vAlign w:val="center"/>
            <w:tcMar>
              <w:top w:w="65" w:type="dxa"/>
              <w:left w:w="65" w:type="dxa"/>
              <w:bottom w:w="65" w:type="dxa"/>
              <w:right w:w="65" w:type="dxa"/>
            </w:tcMar>
          </w:tcPr>
          <w:p>
            <w:pPr>
              <w:pStyle w:val="TableText"/>
              <w:keepNext w:val="0"/>
              <w:widowControl/>
              <w:jc w:val="left"/>
            </w:pPr>
            <w:r>
              <w:rPr>
                <w:b w:val="0"/>
                <w:sz w:val="18"/>
              </w:rPr>
              <w:t>0.6489</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+0.0180</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[-0.0548, +0.0895]</w:t>
            </w:r>
          </w:p>
        </w:tc>
        <w:tc>
          <w:tcPr>
            <w:tcW w:type="dxa" w:w="1361"/>
            <w:vAlign w:val="center"/>
            <w:tcMar>
              <w:top w:w="65" w:type="dxa"/>
              <w:left w:w="65" w:type="dxa"/>
              <w:bottom w:w="65" w:type="dxa"/>
              <w:right w:w="65" w:type="dxa"/>
            </w:tcMar>
          </w:tcPr>
          <w:p>
            <w:pPr>
              <w:pStyle w:val="TableText"/>
              <w:keepNext w:val="0"/>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+0.0576</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[-0.0073, +0.1228]</w:t>
            </w:r>
          </w:p>
        </w:tc>
        <w:tc>
          <w:tcPr>
            <w:tcW w:type="dxa" w:w="1361"/>
            <w:vAlign w:val="center"/>
            <w:tcMar>
              <w:top w:w="65" w:type="dxa"/>
              <w:left w:w="65" w:type="dxa"/>
              <w:bottom w:w="65" w:type="dxa"/>
              <w:right w:w="65" w:type="dxa"/>
            </w:tcMar>
          </w:tcPr>
          <w:p>
            <w:pPr>
              <w:pStyle w:val="TableText"/>
              <w:keepNext w:val="0"/>
              <w:widowControl/>
              <w:jc w:val="left"/>
            </w:pPr>
            <w:r>
              <w:rPr>
                <w:b w:val="0"/>
                <w:sz w:val="18"/>
              </w:rPr>
              <w:t>0.4848</w:t>
            </w:r>
          </w:p>
        </w:tc>
      </w:tr>
    </w:tbl>
    <w:p>
      <w:pPr>
        <w:pStyle w:val="SourceNote"/>
        <w:widowControl/>
      </w:pPr>
      <w:r>
        <w:t>자료: 기업별 Stage9와 production bootstrap 순서 재현. 표의 반올림 전 값과 family는 동봉 분석 CSV에서 추적한다.</w:t>
      </w:r>
    </w:p>
    <w:p>
      <w:bookmarkStart w:id="240" w:name="cap_69"/>
      <w:pPr>
        <w:pStyle w:val="af"/>
        <w:widowControl/>
      </w:pPr>
      <w:r>
        <w:t>표 E-2. Baseline · Strict / Gemini / Oracle-β</w:t>
      </w:r>
      <w:bookmarkEnd w:id="240"/>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680"/>
        <w:gridCol w:w="1814"/>
        <w:gridCol w:w="1417"/>
        <w:gridCol w:w="2665"/>
        <w:gridCol w:w="1361"/>
      </w:tblGrid>
      <w:tr>
        <w:trPr>
          <w:cantSplit/>
          <w:tblHeader/>
        </w:trPr>
        <w:tc>
          <w:tcPr>
            <w:tcW w:type="dxa" w:w="680"/>
            <w:vAlign w:val="center"/>
            <w:shd w:fill="F1F1F1"/>
            <w:tcMar>
              <w:top w:w="65" w:type="dxa"/>
              <w:left w:w="65" w:type="dxa"/>
              <w:bottom w:w="65" w:type="dxa"/>
              <w:right w:w="65" w:type="dxa"/>
            </w:tcMar>
          </w:tcPr>
          <w:p>
            <w:pPr>
              <w:pStyle w:val="TableText"/>
              <w:keepNext/>
              <w:widowControl/>
              <w:jc w:val="center"/>
            </w:pPr>
            <w:r>
              <w:rPr>
                <w:b/>
                <w:sz w:val="18"/>
              </w:rPr>
              <w:t>예산</w:t>
            </w:r>
          </w:p>
        </w:tc>
        <w:tc>
          <w:tcPr>
            <w:tcW w:type="dxa" w:w="1814"/>
            <w:vAlign w:val="center"/>
            <w:shd w:fill="F1F1F1"/>
            <w:tcMar>
              <w:top w:w="65" w:type="dxa"/>
              <w:left w:w="65" w:type="dxa"/>
              <w:bottom w:w="65" w:type="dxa"/>
              <w:right w:w="65" w:type="dxa"/>
            </w:tcMar>
          </w:tcPr>
          <w:p>
            <w:pPr>
              <w:pStyle w:val="TableText"/>
              <w:keepNext/>
              <w:widowControl/>
              <w:jc w:val="center"/>
            </w:pPr>
            <w:r>
              <w:rPr>
                <w:b/>
                <w:sz w:val="18"/>
              </w:rPr>
              <w:t>대비</w:t>
            </w:r>
          </w:p>
        </w:tc>
        <w:tc>
          <w:tcPr>
            <w:tcW w:type="dxa" w:w="1417"/>
            <w:vAlign w:val="center"/>
            <w:shd w:fill="F1F1F1"/>
            <w:tcMar>
              <w:top w:w="65" w:type="dxa"/>
              <w:left w:w="65" w:type="dxa"/>
              <w:bottom w:w="65" w:type="dxa"/>
              <w:right w:w="65" w:type="dxa"/>
            </w:tcMar>
          </w:tcPr>
          <w:p>
            <w:pPr>
              <w:pStyle w:val="TableText"/>
              <w:keepNext/>
              <w:widowControl/>
              <w:jc w:val="center"/>
            </w:pPr>
            <w:r>
              <w:rPr>
                <w:b/>
                <w:sz w:val="18"/>
              </w:rPr>
              <w:t>평균차</w:t>
            </w:r>
          </w:p>
        </w:tc>
        <w:tc>
          <w:tcPr>
            <w:tcW w:type="dxa" w:w="2665"/>
            <w:vAlign w:val="center"/>
            <w:shd w:fill="F1F1F1"/>
            <w:tcMar>
              <w:top w:w="65" w:type="dxa"/>
              <w:left w:w="65" w:type="dxa"/>
              <w:bottom w:w="65" w:type="dxa"/>
              <w:right w:w="65" w:type="dxa"/>
            </w:tcMar>
          </w:tcPr>
          <w:p>
            <w:pPr>
              <w:pStyle w:val="TableText"/>
              <w:keepNext/>
              <w:widowControl/>
              <w:jc w:val="center"/>
            </w:pPr>
            <w:r>
              <w:rPr>
                <w:b/>
                <w:sz w:val="18"/>
              </w:rPr>
              <w:t>95% 구간</w:t>
            </w:r>
          </w:p>
        </w:tc>
        <w:tc>
          <w:tcPr>
            <w:tcW w:type="dxa" w:w="1361"/>
            <w:vAlign w:val="center"/>
            <w:shd w:fill="F1F1F1"/>
            <w:tcMar>
              <w:top w:w="65" w:type="dxa"/>
              <w:left w:w="65" w:type="dxa"/>
              <w:bottom w:w="65" w:type="dxa"/>
              <w:right w:w="65" w:type="dxa"/>
            </w:tcMar>
          </w:tcPr>
          <w:p>
            <w:pPr>
              <w:pStyle w:val="TableText"/>
              <w:keepNext/>
              <w:widowControl/>
              <w:jc w:val="center"/>
            </w:pPr>
            <w:r>
              <w:rPr>
                <w:b/>
                <w:sz w:val="18"/>
              </w:rPr>
              <w:t>Holm p</w:t>
            </w:r>
          </w:p>
        </w:tc>
      </w:tr>
      <w:tr>
        <w:trPr>
          <w:cantSplit/>
        </w:trPr>
        <w:tc>
          <w:tcPr>
            <w:tcW w:type="dxa" w:w="680"/>
            <w:vAlign w:val="center"/>
            <w:tcMar>
              <w:top w:w="65" w:type="dxa"/>
              <w:left w:w="65" w:type="dxa"/>
              <w:bottom w:w="65" w:type="dxa"/>
              <w:right w:w="65" w:type="dxa"/>
            </w:tcMar>
          </w:tcPr>
          <w:p>
            <w:pPr>
              <w:pStyle w:val="TableText"/>
              <w:keepNext/>
              <w:widowControl/>
              <w:jc w:val="left"/>
            </w:pPr>
            <w:r>
              <w:rPr>
                <w:b w:val="0"/>
                <w:sz w:val="18"/>
              </w:rPr>
              <w:t>B1</w:t>
            </w:r>
          </w:p>
        </w:tc>
        <w:tc>
          <w:tcPr>
            <w:tcW w:type="dxa" w:w="1814"/>
            <w:vAlign w:val="center"/>
            <w:tcMar>
              <w:top w:w="65" w:type="dxa"/>
              <w:left w:w="65" w:type="dxa"/>
              <w:bottom w:w="65" w:type="dxa"/>
              <w:right w:w="65" w:type="dxa"/>
            </w:tcMar>
          </w:tcPr>
          <w:p>
            <w:pPr>
              <w:pStyle w:val="TableText"/>
              <w:keepNext/>
              <w:widowControl/>
              <w:jc w:val="left"/>
            </w:pPr>
            <w:r>
              <w:rPr>
                <w:b w:val="0"/>
                <w:sz w:val="18"/>
              </w:rPr>
              <w:t>C4R−C4</w:t>
            </w:r>
          </w:p>
        </w:tc>
        <w:tc>
          <w:tcPr>
            <w:tcW w:type="dxa" w:w="1417"/>
            <w:vAlign w:val="center"/>
            <w:tcMar>
              <w:top w:w="65" w:type="dxa"/>
              <w:left w:w="65" w:type="dxa"/>
              <w:bottom w:w="65" w:type="dxa"/>
              <w:right w:w="65" w:type="dxa"/>
            </w:tcMar>
          </w:tcPr>
          <w:p>
            <w:pPr>
              <w:pStyle w:val="TableText"/>
              <w:keepNext/>
              <w:widowControl/>
              <w:jc w:val="left"/>
            </w:pPr>
            <w:r>
              <w:rPr>
                <w:b w:val="0"/>
                <w:sz w:val="18"/>
              </w:rPr>
              <w:t>-0.0008</w:t>
            </w:r>
          </w:p>
        </w:tc>
        <w:tc>
          <w:tcPr>
            <w:tcW w:type="dxa" w:w="2665"/>
            <w:vAlign w:val="center"/>
            <w:tcMar>
              <w:top w:w="65" w:type="dxa"/>
              <w:left w:w="65" w:type="dxa"/>
              <w:bottom w:w="65" w:type="dxa"/>
              <w:right w:w="65" w:type="dxa"/>
            </w:tcMar>
          </w:tcPr>
          <w:p>
            <w:pPr>
              <w:pStyle w:val="TableText"/>
              <w:keepNext/>
              <w:widowControl/>
              <w:jc w:val="left"/>
            </w:pPr>
            <w:r>
              <w:rPr>
                <w:b w:val="0"/>
                <w:sz w:val="18"/>
              </w:rPr>
              <w:t>[-0.0069, +0.0045]</w:t>
            </w:r>
          </w:p>
        </w:tc>
        <w:tc>
          <w:tcPr>
            <w:tcW w:type="dxa" w:w="1361"/>
            <w:vAlign w:val="center"/>
            <w:tcMar>
              <w:top w:w="65" w:type="dxa"/>
              <w:left w:w="65" w:type="dxa"/>
              <w:bottom w:w="65" w:type="dxa"/>
              <w:right w:w="65" w:type="dxa"/>
            </w:tcMar>
          </w:tcPr>
          <w:p>
            <w:pPr>
              <w:pStyle w:val="TableText"/>
              <w:keepNext/>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+0.0119</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[+0.0048, +0.0187]</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0.0154</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+0.0080</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[-0.0013, +0.0199]</w:t>
            </w:r>
          </w:p>
        </w:tc>
        <w:tc>
          <w:tcPr>
            <w:tcW w:type="dxa" w:w="1361"/>
            <w:vAlign w:val="center"/>
            <w:tcMar>
              <w:top w:w="65" w:type="dxa"/>
              <w:left w:w="65" w:type="dxa"/>
              <w:bottom w:w="65" w:type="dxa"/>
              <w:right w:w="65" w:type="dxa"/>
            </w:tcMar>
          </w:tcPr>
          <w:p>
            <w:pPr>
              <w:pStyle w:val="TableText"/>
              <w:keepNext w:val="0"/>
              <w:widowControl/>
              <w:jc w:val="left"/>
            </w:pPr>
            <w:r>
              <w:rPr>
                <w:b w:val="0"/>
                <w:sz w:val="18"/>
              </w:rPr>
              <w:t>0.4510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+0.0114</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[+0.0020, +0.0240]</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0.0660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C4R−C4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+0.0189</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[+0.0143, +0.0237]</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0.0016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-0.0097</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[-0.0555, +0.0339]</w:t>
            </w:r>
          </w:p>
        </w:tc>
        <w:tc>
          <w:tcPr>
            <w:tcW w:type="dxa" w:w="1361"/>
            <w:vAlign w:val="center"/>
            <w:tcMar>
              <w:top w:w="65" w:type="dxa"/>
              <w:left w:w="65" w:type="dxa"/>
              <w:bottom w:w="65" w:type="dxa"/>
              <w:right w:w="65" w:type="dxa"/>
            </w:tcMar>
          </w:tcPr>
          <w:p>
            <w:pPr>
              <w:pStyle w:val="TableText"/>
              <w:keepNext w:val="0"/>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+0.0049</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[-0.0149, +0.0237]</w:t>
            </w:r>
          </w:p>
        </w:tc>
        <w:tc>
          <w:tcPr>
            <w:tcW w:type="dxa" w:w="1361"/>
            <w:vAlign w:val="center"/>
            <w:tcMar>
              <w:top w:w="65" w:type="dxa"/>
              <w:left w:w="65" w:type="dxa"/>
              <w:bottom w:w="65" w:type="dxa"/>
              <w:right w:w="65" w:type="dxa"/>
            </w:tcMar>
          </w:tcPr>
          <w:p>
            <w:pPr>
              <w:pStyle w:val="TableText"/>
              <w:keepNext w:val="0"/>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+0.0137</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[-0.0022, +0.0304]</w:t>
            </w:r>
          </w:p>
        </w:tc>
        <w:tc>
          <w:tcPr>
            <w:tcW w:type="dxa" w:w="1361"/>
            <w:vAlign w:val="center"/>
            <w:tcMar>
              <w:top w:w="65" w:type="dxa"/>
              <w:left w:w="65" w:type="dxa"/>
              <w:bottom w:w="65" w:type="dxa"/>
              <w:right w:w="65" w:type="dxa"/>
            </w:tcMar>
          </w:tcPr>
          <w:p>
            <w:pPr>
              <w:pStyle w:val="TableText"/>
              <w:keepNext w:val="0"/>
              <w:widowControl/>
              <w:jc w:val="left"/>
            </w:pPr>
            <w:r>
              <w:rPr>
                <w:b w:val="0"/>
                <w:sz w:val="18"/>
              </w:rPr>
              <w:t>0.4510</w:t>
            </w:r>
          </w:p>
        </w:tc>
      </w:tr>
    </w:tbl>
    <w:p>
      <w:pPr>
        <w:pStyle w:val="SourceNote"/>
        <w:widowControl/>
      </w:pPr>
      <w:r>
        <w:t>자료: 기업별 Stage9와 production bootstrap 순서 재현. 표의 반올림 전 값과 family는 동봉 분석 CSV에서 추적한다.</w:t>
      </w:r>
    </w:p>
    <w:p>
      <w:bookmarkStart w:id="241" w:name="cap_70"/>
      <w:pPr>
        <w:pStyle w:val="af"/>
        <w:widowControl/>
      </w:pPr>
      <w:r>
        <w:t>표 E-3. Baseline · Strict / Gemini / Oracle-γ</w:t>
      </w:r>
      <w:bookmarkEnd w:id="241"/>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680"/>
        <w:gridCol w:w="1814"/>
        <w:gridCol w:w="1417"/>
        <w:gridCol w:w="2665"/>
        <w:gridCol w:w="1361"/>
      </w:tblGrid>
      <w:tr>
        <w:trPr>
          <w:cantSplit/>
          <w:tblHeader/>
        </w:trPr>
        <w:tc>
          <w:tcPr>
            <w:tcW w:type="dxa" w:w="680"/>
            <w:vAlign w:val="center"/>
            <w:shd w:fill="F1F1F1"/>
            <w:tcMar>
              <w:top w:w="65" w:type="dxa"/>
              <w:left w:w="65" w:type="dxa"/>
              <w:bottom w:w="65" w:type="dxa"/>
              <w:right w:w="65" w:type="dxa"/>
            </w:tcMar>
          </w:tcPr>
          <w:p>
            <w:pPr>
              <w:pStyle w:val="TableText"/>
              <w:keepNext/>
              <w:widowControl/>
              <w:jc w:val="center"/>
            </w:pPr>
            <w:r>
              <w:rPr>
                <w:b/>
                <w:sz w:val="18"/>
              </w:rPr>
              <w:t>예산</w:t>
            </w:r>
          </w:p>
        </w:tc>
        <w:tc>
          <w:tcPr>
            <w:tcW w:type="dxa" w:w="1814"/>
            <w:vAlign w:val="center"/>
            <w:shd w:fill="F1F1F1"/>
            <w:tcMar>
              <w:top w:w="65" w:type="dxa"/>
              <w:left w:w="65" w:type="dxa"/>
              <w:bottom w:w="65" w:type="dxa"/>
              <w:right w:w="65" w:type="dxa"/>
            </w:tcMar>
          </w:tcPr>
          <w:p>
            <w:pPr>
              <w:pStyle w:val="TableText"/>
              <w:keepNext/>
              <w:widowControl/>
              <w:jc w:val="center"/>
            </w:pPr>
            <w:r>
              <w:rPr>
                <w:b/>
                <w:sz w:val="18"/>
              </w:rPr>
              <w:t>대비</w:t>
            </w:r>
          </w:p>
        </w:tc>
        <w:tc>
          <w:tcPr>
            <w:tcW w:type="dxa" w:w="1417"/>
            <w:vAlign w:val="center"/>
            <w:shd w:fill="F1F1F1"/>
            <w:tcMar>
              <w:top w:w="65" w:type="dxa"/>
              <w:left w:w="65" w:type="dxa"/>
              <w:bottom w:w="65" w:type="dxa"/>
              <w:right w:w="65" w:type="dxa"/>
            </w:tcMar>
          </w:tcPr>
          <w:p>
            <w:pPr>
              <w:pStyle w:val="TableText"/>
              <w:keepNext/>
              <w:widowControl/>
              <w:jc w:val="center"/>
            </w:pPr>
            <w:r>
              <w:rPr>
                <w:b/>
                <w:sz w:val="18"/>
              </w:rPr>
              <w:t>평균차</w:t>
            </w:r>
          </w:p>
        </w:tc>
        <w:tc>
          <w:tcPr>
            <w:tcW w:type="dxa" w:w="2665"/>
            <w:vAlign w:val="center"/>
            <w:shd w:fill="F1F1F1"/>
            <w:tcMar>
              <w:top w:w="65" w:type="dxa"/>
              <w:left w:w="65" w:type="dxa"/>
              <w:bottom w:w="65" w:type="dxa"/>
              <w:right w:w="65" w:type="dxa"/>
            </w:tcMar>
          </w:tcPr>
          <w:p>
            <w:pPr>
              <w:pStyle w:val="TableText"/>
              <w:keepNext/>
              <w:widowControl/>
              <w:jc w:val="center"/>
            </w:pPr>
            <w:r>
              <w:rPr>
                <w:b/>
                <w:sz w:val="18"/>
              </w:rPr>
              <w:t>95% 구간</w:t>
            </w:r>
          </w:p>
        </w:tc>
        <w:tc>
          <w:tcPr>
            <w:tcW w:type="dxa" w:w="1361"/>
            <w:vAlign w:val="center"/>
            <w:shd w:fill="F1F1F1"/>
            <w:tcMar>
              <w:top w:w="65" w:type="dxa"/>
              <w:left w:w="65" w:type="dxa"/>
              <w:bottom w:w="65" w:type="dxa"/>
              <w:right w:w="65" w:type="dxa"/>
            </w:tcMar>
          </w:tcPr>
          <w:p>
            <w:pPr>
              <w:pStyle w:val="TableText"/>
              <w:keepNext/>
              <w:widowControl/>
              <w:jc w:val="center"/>
            </w:pPr>
            <w:r>
              <w:rPr>
                <w:b/>
                <w:sz w:val="18"/>
              </w:rPr>
              <w:t>Holm p</w:t>
            </w:r>
          </w:p>
        </w:tc>
      </w:tr>
      <w:tr>
        <w:trPr>
          <w:cantSplit/>
        </w:trPr>
        <w:tc>
          <w:tcPr>
            <w:tcW w:type="dxa" w:w="680"/>
            <w:vAlign w:val="center"/>
            <w:tcMar>
              <w:top w:w="65" w:type="dxa"/>
              <w:left w:w="65" w:type="dxa"/>
              <w:bottom w:w="65" w:type="dxa"/>
              <w:right w:w="65" w:type="dxa"/>
            </w:tcMar>
          </w:tcPr>
          <w:p>
            <w:pPr>
              <w:pStyle w:val="TableText"/>
              <w:keepNext/>
              <w:widowControl/>
              <w:jc w:val="left"/>
            </w:pPr>
            <w:r>
              <w:rPr>
                <w:b w:val="0"/>
                <w:sz w:val="18"/>
              </w:rPr>
              <w:t>B1</w:t>
            </w:r>
          </w:p>
        </w:tc>
        <w:tc>
          <w:tcPr>
            <w:tcW w:type="dxa" w:w="1814"/>
            <w:vAlign w:val="center"/>
            <w:tcMar>
              <w:top w:w="65" w:type="dxa"/>
              <w:left w:w="65" w:type="dxa"/>
              <w:bottom w:w="65" w:type="dxa"/>
              <w:right w:w="65" w:type="dxa"/>
            </w:tcMar>
          </w:tcPr>
          <w:p>
            <w:pPr>
              <w:pStyle w:val="TableText"/>
              <w:keepNext/>
              <w:widowControl/>
              <w:jc w:val="left"/>
            </w:pPr>
            <w:r>
              <w:rPr>
                <w:b w:val="0"/>
                <w:sz w:val="18"/>
              </w:rPr>
              <w:t>C4R−C4</w:t>
            </w:r>
          </w:p>
        </w:tc>
        <w:tc>
          <w:tcPr>
            <w:tcW w:type="dxa" w:w="1417"/>
            <w:vAlign w:val="center"/>
            <w:tcMar>
              <w:top w:w="65" w:type="dxa"/>
              <w:left w:w="65" w:type="dxa"/>
              <w:bottom w:w="65" w:type="dxa"/>
              <w:right w:w="65" w:type="dxa"/>
            </w:tcMar>
          </w:tcPr>
          <w:p>
            <w:pPr>
              <w:pStyle w:val="TableText"/>
              <w:keepNext/>
              <w:widowControl/>
              <w:jc w:val="left"/>
            </w:pPr>
            <w:r>
              <w:rPr>
                <w:b w:val="0"/>
                <w:sz w:val="18"/>
              </w:rPr>
              <w:t>-0.0075</w:t>
            </w:r>
          </w:p>
        </w:tc>
        <w:tc>
          <w:tcPr>
            <w:tcW w:type="dxa" w:w="2665"/>
            <w:vAlign w:val="center"/>
            <w:tcMar>
              <w:top w:w="65" w:type="dxa"/>
              <w:left w:w="65" w:type="dxa"/>
              <w:bottom w:w="65" w:type="dxa"/>
              <w:right w:w="65" w:type="dxa"/>
            </w:tcMar>
          </w:tcPr>
          <w:p>
            <w:pPr>
              <w:pStyle w:val="TableText"/>
              <w:keepNext/>
              <w:widowControl/>
              <w:jc w:val="left"/>
            </w:pPr>
            <w:r>
              <w:rPr>
                <w:b w:val="0"/>
                <w:sz w:val="18"/>
              </w:rPr>
              <w:t>[-0.0254, +0.0089]</w:t>
            </w:r>
          </w:p>
        </w:tc>
        <w:tc>
          <w:tcPr>
            <w:tcW w:type="dxa" w:w="1361"/>
            <w:vAlign w:val="center"/>
            <w:tcMar>
              <w:top w:w="65" w:type="dxa"/>
              <w:left w:w="65" w:type="dxa"/>
              <w:bottom w:w="65" w:type="dxa"/>
              <w:right w:w="65" w:type="dxa"/>
            </w:tcMar>
          </w:tcPr>
          <w:p>
            <w:pPr>
              <w:pStyle w:val="TableText"/>
              <w:keepNext/>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+0.0321</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[+0.0052, +0.0597]</w:t>
            </w:r>
          </w:p>
        </w:tc>
        <w:tc>
          <w:tcPr>
            <w:tcW w:type="dxa" w:w="1361"/>
            <w:vAlign w:val="center"/>
            <w:tcMar>
              <w:top w:w="65" w:type="dxa"/>
              <w:left w:w="65" w:type="dxa"/>
              <w:bottom w:w="65" w:type="dxa"/>
              <w:right w:w="65" w:type="dxa"/>
            </w:tcMar>
          </w:tcPr>
          <w:p>
            <w:pPr>
              <w:pStyle w:val="TableText"/>
              <w:keepNext w:val="0"/>
              <w:widowControl/>
              <w:jc w:val="left"/>
            </w:pPr>
            <w:r>
              <w:rPr>
                <w:b w:val="0"/>
                <w:sz w:val="18"/>
              </w:rPr>
              <w:t>0.1386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+0.0090</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[-0.0083, +0.0272]</w:t>
            </w:r>
          </w:p>
        </w:tc>
        <w:tc>
          <w:tcPr>
            <w:tcW w:type="dxa" w:w="1361"/>
            <w:vAlign w:val="center"/>
            <w:tcMar>
              <w:top w:w="65" w:type="dxa"/>
              <w:left w:w="65" w:type="dxa"/>
              <w:bottom w:w="65" w:type="dxa"/>
              <w:right w:w="65" w:type="dxa"/>
            </w:tcMar>
          </w:tcPr>
          <w:p>
            <w:pPr>
              <w:pStyle w:val="TableText"/>
              <w:keepNext w:val="0"/>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+0.0114</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[-0.0098, +0.0330]</w:t>
            </w:r>
          </w:p>
        </w:tc>
        <w:tc>
          <w:tcPr>
            <w:tcW w:type="dxa" w:w="1361"/>
            <w:vAlign w:val="center"/>
            <w:tcMar>
              <w:top w:w="65" w:type="dxa"/>
              <w:left w:w="65" w:type="dxa"/>
              <w:bottom w:w="65" w:type="dxa"/>
              <w:right w:w="65" w:type="dxa"/>
            </w:tcMar>
          </w:tcPr>
          <w:p>
            <w:pPr>
              <w:pStyle w:val="TableText"/>
              <w:keepNext w:val="0"/>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C4R−C4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+0.0291</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[+0.0149, +0.0450]</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0.0032</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-0.0034</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[-0.0409, +0.0343]</w:t>
            </w:r>
          </w:p>
        </w:tc>
        <w:tc>
          <w:tcPr>
            <w:tcW w:type="dxa" w:w="1361"/>
            <w:vAlign w:val="center"/>
            <w:tcMar>
              <w:top w:w="65" w:type="dxa"/>
              <w:left w:w="65" w:type="dxa"/>
              <w:bottom w:w="65" w:type="dxa"/>
              <w:right w:w="65" w:type="dxa"/>
            </w:tcMar>
          </w:tcPr>
          <w:p>
            <w:pPr>
              <w:pStyle w:val="TableText"/>
              <w:keepNext w:val="0"/>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+0.0072</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[-0.0176, +0.0323]</w:t>
            </w:r>
          </w:p>
        </w:tc>
        <w:tc>
          <w:tcPr>
            <w:tcW w:type="dxa" w:w="1361"/>
            <w:vAlign w:val="center"/>
            <w:tcMar>
              <w:top w:w="65" w:type="dxa"/>
              <w:left w:w="65" w:type="dxa"/>
              <w:bottom w:w="65" w:type="dxa"/>
              <w:right w:w="65" w:type="dxa"/>
            </w:tcMar>
          </w:tcPr>
          <w:p>
            <w:pPr>
              <w:pStyle w:val="TableText"/>
              <w:keepNext w:val="0"/>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+0.0098</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[-0.0157, +0.0356]</w:t>
            </w:r>
          </w:p>
        </w:tc>
        <w:tc>
          <w:tcPr>
            <w:tcW w:type="dxa" w:w="1361"/>
            <w:vAlign w:val="center"/>
            <w:tcMar>
              <w:top w:w="65" w:type="dxa"/>
              <w:left w:w="65" w:type="dxa"/>
              <w:bottom w:w="65" w:type="dxa"/>
              <w:right w:w="65" w:type="dxa"/>
            </w:tcMar>
          </w:tcPr>
          <w:p>
            <w:pPr>
              <w:pStyle w:val="TableText"/>
              <w:keepNext w:val="0"/>
              <w:widowControl/>
              <w:jc w:val="left"/>
            </w:pPr>
            <w:r>
              <w:rPr>
                <w:b w:val="0"/>
                <w:sz w:val="18"/>
              </w:rPr>
              <w:t>1.0000</w:t>
            </w:r>
          </w:p>
        </w:tc>
      </w:tr>
    </w:tbl>
    <w:p>
      <w:pPr>
        <w:pStyle w:val="SourceNote"/>
        <w:widowControl/>
      </w:pPr>
      <w:r>
        <w:t>자료: 기업별 Stage9와 production bootstrap 순서 재현. 표의 반올림 전 값과 family는 동봉 분석 CSV에서 추적한다.</w:t>
      </w:r>
    </w:p>
    <w:p>
      <w:bookmarkStart w:id="242" w:name="head_172"/>
      <w:pPr>
        <w:pStyle w:val="2"/>
        <w:widowControl/>
      </w:pPr>
      <w:r>
        <w:t>E.2 Baseline · Strict / GPT-5.4-mini</w:t>
      </w:r>
      <w:bookmarkEnd w:id="242"/>
    </w:p>
    <w:p>
      <w:bookmarkStart w:id="243" w:name="cap_71"/>
      <w:pPr>
        <w:pStyle w:val="af"/>
        <w:widowControl/>
      </w:pPr>
      <w:r>
        <w:t>표 E-4. Baseline · Strict / GPT / Oracle-α</w:t>
      </w:r>
      <w:bookmarkEnd w:id="243"/>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680"/>
        <w:gridCol w:w="1814"/>
        <w:gridCol w:w="1417"/>
        <w:gridCol w:w="2665"/>
        <w:gridCol w:w="1361"/>
      </w:tblGrid>
      <w:tr>
        <w:trPr>
          <w:cantSplit/>
          <w:tblHeader/>
        </w:trPr>
        <w:tc>
          <w:tcPr>
            <w:tcW w:type="dxa" w:w="680"/>
            <w:vAlign w:val="center"/>
            <w:shd w:fill="F1F1F1"/>
            <w:tcMar>
              <w:top w:w="65" w:type="dxa"/>
              <w:left w:w="65" w:type="dxa"/>
              <w:bottom w:w="65" w:type="dxa"/>
              <w:right w:w="65" w:type="dxa"/>
            </w:tcMar>
          </w:tcPr>
          <w:p>
            <w:pPr>
              <w:pStyle w:val="TableText"/>
              <w:keepNext/>
              <w:widowControl/>
              <w:jc w:val="center"/>
            </w:pPr>
            <w:r>
              <w:rPr>
                <w:b/>
                <w:sz w:val="18"/>
              </w:rPr>
              <w:t>예산</w:t>
            </w:r>
          </w:p>
        </w:tc>
        <w:tc>
          <w:tcPr>
            <w:tcW w:type="dxa" w:w="1814"/>
            <w:vAlign w:val="center"/>
            <w:shd w:fill="F1F1F1"/>
            <w:tcMar>
              <w:top w:w="65" w:type="dxa"/>
              <w:left w:w="65" w:type="dxa"/>
              <w:bottom w:w="65" w:type="dxa"/>
              <w:right w:w="65" w:type="dxa"/>
            </w:tcMar>
          </w:tcPr>
          <w:p>
            <w:pPr>
              <w:pStyle w:val="TableText"/>
              <w:keepNext/>
              <w:widowControl/>
              <w:jc w:val="center"/>
            </w:pPr>
            <w:r>
              <w:rPr>
                <w:b/>
                <w:sz w:val="18"/>
              </w:rPr>
              <w:t>대비</w:t>
            </w:r>
          </w:p>
        </w:tc>
        <w:tc>
          <w:tcPr>
            <w:tcW w:type="dxa" w:w="1417"/>
            <w:vAlign w:val="center"/>
            <w:shd w:fill="F1F1F1"/>
            <w:tcMar>
              <w:top w:w="65" w:type="dxa"/>
              <w:left w:w="65" w:type="dxa"/>
              <w:bottom w:w="65" w:type="dxa"/>
              <w:right w:w="65" w:type="dxa"/>
            </w:tcMar>
          </w:tcPr>
          <w:p>
            <w:pPr>
              <w:pStyle w:val="TableText"/>
              <w:keepNext/>
              <w:widowControl/>
              <w:jc w:val="center"/>
            </w:pPr>
            <w:r>
              <w:rPr>
                <w:b/>
                <w:sz w:val="18"/>
              </w:rPr>
              <w:t>평균차</w:t>
            </w:r>
          </w:p>
        </w:tc>
        <w:tc>
          <w:tcPr>
            <w:tcW w:type="dxa" w:w="2665"/>
            <w:vAlign w:val="center"/>
            <w:shd w:fill="F1F1F1"/>
            <w:tcMar>
              <w:top w:w="65" w:type="dxa"/>
              <w:left w:w="65" w:type="dxa"/>
              <w:bottom w:w="65" w:type="dxa"/>
              <w:right w:w="65" w:type="dxa"/>
            </w:tcMar>
          </w:tcPr>
          <w:p>
            <w:pPr>
              <w:pStyle w:val="TableText"/>
              <w:keepNext/>
              <w:widowControl/>
              <w:jc w:val="center"/>
            </w:pPr>
            <w:r>
              <w:rPr>
                <w:b/>
                <w:sz w:val="18"/>
              </w:rPr>
              <w:t>95% 구간</w:t>
            </w:r>
          </w:p>
        </w:tc>
        <w:tc>
          <w:tcPr>
            <w:tcW w:type="dxa" w:w="1361"/>
            <w:vAlign w:val="center"/>
            <w:shd w:fill="F1F1F1"/>
            <w:tcMar>
              <w:top w:w="65" w:type="dxa"/>
              <w:left w:w="65" w:type="dxa"/>
              <w:bottom w:w="65" w:type="dxa"/>
              <w:right w:w="65" w:type="dxa"/>
            </w:tcMar>
          </w:tcPr>
          <w:p>
            <w:pPr>
              <w:pStyle w:val="TableText"/>
              <w:keepNext/>
              <w:widowControl/>
              <w:jc w:val="center"/>
            </w:pPr>
            <w:r>
              <w:rPr>
                <w:b/>
                <w:sz w:val="18"/>
              </w:rPr>
              <w:t>Holm p</w:t>
            </w:r>
          </w:p>
        </w:tc>
      </w:tr>
      <w:tr>
        <w:trPr>
          <w:cantSplit/>
        </w:trPr>
        <w:tc>
          <w:tcPr>
            <w:tcW w:type="dxa" w:w="680"/>
            <w:vAlign w:val="center"/>
            <w:tcMar>
              <w:top w:w="65" w:type="dxa"/>
              <w:left w:w="65" w:type="dxa"/>
              <w:bottom w:w="65" w:type="dxa"/>
              <w:right w:w="65" w:type="dxa"/>
            </w:tcMar>
          </w:tcPr>
          <w:p>
            <w:pPr>
              <w:pStyle w:val="TableText"/>
              <w:keepNext/>
              <w:widowControl/>
              <w:jc w:val="left"/>
            </w:pPr>
            <w:r>
              <w:rPr>
                <w:b w:val="0"/>
                <w:sz w:val="18"/>
              </w:rPr>
              <w:t>B1</w:t>
            </w:r>
          </w:p>
        </w:tc>
        <w:tc>
          <w:tcPr>
            <w:tcW w:type="dxa" w:w="1814"/>
            <w:vAlign w:val="center"/>
            <w:tcMar>
              <w:top w:w="65" w:type="dxa"/>
              <w:left w:w="65" w:type="dxa"/>
              <w:bottom w:w="65" w:type="dxa"/>
              <w:right w:w="65" w:type="dxa"/>
            </w:tcMar>
          </w:tcPr>
          <w:p>
            <w:pPr>
              <w:pStyle w:val="TableText"/>
              <w:keepNext/>
              <w:widowControl/>
              <w:jc w:val="left"/>
            </w:pPr>
            <w:r>
              <w:rPr>
                <w:b w:val="0"/>
                <w:sz w:val="18"/>
              </w:rPr>
              <w:t>C4R−C4</w:t>
            </w:r>
          </w:p>
        </w:tc>
        <w:tc>
          <w:tcPr>
            <w:tcW w:type="dxa" w:w="1417"/>
            <w:vAlign w:val="center"/>
            <w:tcMar>
              <w:top w:w="65" w:type="dxa"/>
              <w:left w:w="65" w:type="dxa"/>
              <w:bottom w:w="65" w:type="dxa"/>
              <w:right w:w="65" w:type="dxa"/>
            </w:tcMar>
          </w:tcPr>
          <w:p>
            <w:pPr>
              <w:pStyle w:val="TableText"/>
              <w:keepNext/>
              <w:widowControl/>
              <w:jc w:val="left"/>
            </w:pPr>
            <w:r>
              <w:rPr>
                <w:b w:val="0"/>
                <w:sz w:val="18"/>
              </w:rPr>
              <w:t>+0.1693</w:t>
            </w:r>
          </w:p>
        </w:tc>
        <w:tc>
          <w:tcPr>
            <w:tcW w:type="dxa" w:w="2665"/>
            <w:vAlign w:val="center"/>
            <w:tcMar>
              <w:top w:w="65" w:type="dxa"/>
              <w:left w:w="65" w:type="dxa"/>
              <w:bottom w:w="65" w:type="dxa"/>
              <w:right w:w="65" w:type="dxa"/>
            </w:tcMar>
          </w:tcPr>
          <w:p>
            <w:pPr>
              <w:pStyle w:val="TableText"/>
              <w:keepNext/>
              <w:widowControl/>
              <w:jc w:val="left"/>
            </w:pPr>
            <w:r>
              <w:rPr>
                <w:b w:val="0"/>
                <w:sz w:val="18"/>
              </w:rPr>
              <w:t>[+0.1150, +0.2293]</w:t>
            </w:r>
          </w:p>
        </w:tc>
        <w:tc>
          <w:tcPr>
            <w:tcW w:type="dxa" w:w="1361"/>
            <w:vAlign w:val="center"/>
            <w:tcMar>
              <w:top w:w="65" w:type="dxa"/>
              <w:left w:w="65" w:type="dxa"/>
              <w:bottom w:w="65" w:type="dxa"/>
              <w:right w:w="65" w:type="dxa"/>
            </w:tcMar>
          </w:tcPr>
          <w:p>
            <w:pPr>
              <w:pStyle w:val="TableText"/>
              <w:keepNext/>
              <w:widowControl/>
              <w:jc w:val="left"/>
            </w:pPr>
            <w:r>
              <w:rPr>
                <w:b w:val="0"/>
                <w:sz w:val="18"/>
              </w:rPr>
              <w:t>0.0016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+0.1960</w:t>
            </w:r>
          </w:p>
        </w:tc>
        <w:tc>
          <w:tcPr>
            <w:tcW w:type="dxa" w:w="2665"/>
            <w:vAlign w:val="center"/>
            <w:tcMar>
              <w:top w:w="65" w:type="dxa"/>
              <w:left w:w="65" w:type="dxa"/>
              <w:bottom w:w="65" w:type="dxa"/>
              <w:right w:w="65" w:type="dxa"/>
            </w:tcMar>
          </w:tcPr>
          <w:p>
            <w:pPr>
              <w:pStyle w:val="TableText"/>
              <w:keepNext w:val="0"/>
              <w:widowControl/>
              <w:jc w:val="left"/>
            </w:pPr>
            <w:r>
              <w:rPr>
                <w:b w:val="0"/>
                <w:sz w:val="18"/>
              </w:rPr>
              <w:t>[+0.1035, +0.2884]</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0.0016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+0.0375</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[-0.0548, +0.1273]</w:t>
            </w:r>
          </w:p>
        </w:tc>
        <w:tc>
          <w:tcPr>
            <w:tcW w:type="dxa" w:w="1361"/>
            <w:vAlign w:val="center"/>
            <w:tcMar>
              <w:top w:w="65" w:type="dxa"/>
              <w:left w:w="65" w:type="dxa"/>
              <w:bottom w:w="65" w:type="dxa"/>
              <w:right w:w="65" w:type="dxa"/>
            </w:tcMar>
          </w:tcPr>
          <w:p>
            <w:pPr>
              <w:pStyle w:val="TableText"/>
              <w:keepNext w:val="0"/>
              <w:widowControl/>
              <w:jc w:val="left"/>
            </w:pPr>
            <w:r>
              <w:rPr>
                <w:b w:val="0"/>
                <w:sz w:val="18"/>
              </w:rPr>
              <w:t>0.4036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+0.1742</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[+0.0751, +0.2767]</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0.0020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C4R−C4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+0.1366</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[+0.0775, +0.1985]</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0.0016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+0.1011</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[-0.0082, +0.2106]</w:t>
            </w:r>
          </w:p>
        </w:tc>
        <w:tc>
          <w:tcPr>
            <w:tcW w:type="dxa" w:w="1361"/>
            <w:vAlign w:val="center"/>
            <w:tcMar>
              <w:top w:w="65" w:type="dxa"/>
              <w:left w:w="65" w:type="dxa"/>
              <w:bottom w:w="65" w:type="dxa"/>
              <w:right w:w="65" w:type="dxa"/>
            </w:tcMar>
          </w:tcPr>
          <w:p>
            <w:pPr>
              <w:pStyle w:val="TableText"/>
              <w:keepNext w:val="0"/>
              <w:widowControl/>
              <w:jc w:val="left"/>
            </w:pPr>
            <w:r>
              <w:rPr>
                <w:b w:val="0"/>
                <w:sz w:val="18"/>
              </w:rPr>
              <w:t>0.1376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+0.1472</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[+0.0511, +0.2445]</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0.0200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+0.1270</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[+0.0173, +0.2390]</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0.0672</w:t>
            </w:r>
          </w:p>
        </w:tc>
      </w:tr>
    </w:tbl>
    <w:p>
      <w:pPr>
        <w:pStyle w:val="SourceNote"/>
        <w:widowControl/>
      </w:pPr>
      <w:r>
        <w:t>자료: 기업별 Stage9와 production bootstrap 순서 재현. 표의 반올림 전 값과 family는 동봉 분석 CSV에서 추적한다.</w:t>
      </w:r>
    </w:p>
    <w:p>
      <w:bookmarkStart w:id="244" w:name="cap_72"/>
      <w:pPr>
        <w:pStyle w:val="af"/>
        <w:widowControl/>
      </w:pPr>
      <w:r>
        <w:t>표 E-5. Baseline · Strict / GPT / Oracle-β</w:t>
      </w:r>
      <w:bookmarkEnd w:id="244"/>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680"/>
        <w:gridCol w:w="1814"/>
        <w:gridCol w:w="1417"/>
        <w:gridCol w:w="2665"/>
        <w:gridCol w:w="1361"/>
      </w:tblGrid>
      <w:tr>
        <w:trPr>
          <w:cantSplit/>
          <w:tblHeader/>
        </w:trPr>
        <w:tc>
          <w:tcPr>
            <w:tcW w:type="dxa" w:w="680"/>
            <w:vAlign w:val="center"/>
            <w:shd w:fill="F1F1F1"/>
            <w:tcMar>
              <w:top w:w="65" w:type="dxa"/>
              <w:left w:w="65" w:type="dxa"/>
              <w:bottom w:w="65" w:type="dxa"/>
              <w:right w:w="65" w:type="dxa"/>
            </w:tcMar>
          </w:tcPr>
          <w:p>
            <w:pPr>
              <w:pStyle w:val="TableText"/>
              <w:keepNext/>
              <w:widowControl/>
              <w:jc w:val="center"/>
            </w:pPr>
            <w:r>
              <w:rPr>
                <w:b/>
                <w:sz w:val="18"/>
              </w:rPr>
              <w:t>예산</w:t>
            </w:r>
          </w:p>
        </w:tc>
        <w:tc>
          <w:tcPr>
            <w:tcW w:type="dxa" w:w="1814"/>
            <w:vAlign w:val="center"/>
            <w:shd w:fill="F1F1F1"/>
            <w:tcMar>
              <w:top w:w="65" w:type="dxa"/>
              <w:left w:w="65" w:type="dxa"/>
              <w:bottom w:w="65" w:type="dxa"/>
              <w:right w:w="65" w:type="dxa"/>
            </w:tcMar>
          </w:tcPr>
          <w:p>
            <w:pPr>
              <w:pStyle w:val="TableText"/>
              <w:keepNext/>
              <w:widowControl/>
              <w:jc w:val="center"/>
            </w:pPr>
            <w:r>
              <w:rPr>
                <w:b/>
                <w:sz w:val="18"/>
              </w:rPr>
              <w:t>대비</w:t>
            </w:r>
          </w:p>
        </w:tc>
        <w:tc>
          <w:tcPr>
            <w:tcW w:type="dxa" w:w="1417"/>
            <w:vAlign w:val="center"/>
            <w:shd w:fill="F1F1F1"/>
            <w:tcMar>
              <w:top w:w="65" w:type="dxa"/>
              <w:left w:w="65" w:type="dxa"/>
              <w:bottom w:w="65" w:type="dxa"/>
              <w:right w:w="65" w:type="dxa"/>
            </w:tcMar>
          </w:tcPr>
          <w:p>
            <w:pPr>
              <w:pStyle w:val="TableText"/>
              <w:keepNext/>
              <w:widowControl/>
              <w:jc w:val="center"/>
            </w:pPr>
            <w:r>
              <w:rPr>
                <w:b/>
                <w:sz w:val="18"/>
              </w:rPr>
              <w:t>평균차</w:t>
            </w:r>
          </w:p>
        </w:tc>
        <w:tc>
          <w:tcPr>
            <w:tcW w:type="dxa" w:w="2665"/>
            <w:vAlign w:val="center"/>
            <w:shd w:fill="F1F1F1"/>
            <w:tcMar>
              <w:top w:w="65" w:type="dxa"/>
              <w:left w:w="65" w:type="dxa"/>
              <w:bottom w:w="65" w:type="dxa"/>
              <w:right w:w="65" w:type="dxa"/>
            </w:tcMar>
          </w:tcPr>
          <w:p>
            <w:pPr>
              <w:pStyle w:val="TableText"/>
              <w:keepNext/>
              <w:widowControl/>
              <w:jc w:val="center"/>
            </w:pPr>
            <w:r>
              <w:rPr>
                <w:b/>
                <w:sz w:val="18"/>
              </w:rPr>
              <w:t>95% 구간</w:t>
            </w:r>
          </w:p>
        </w:tc>
        <w:tc>
          <w:tcPr>
            <w:tcW w:type="dxa" w:w="1361"/>
            <w:vAlign w:val="center"/>
            <w:shd w:fill="F1F1F1"/>
            <w:tcMar>
              <w:top w:w="65" w:type="dxa"/>
              <w:left w:w="65" w:type="dxa"/>
              <w:bottom w:w="65" w:type="dxa"/>
              <w:right w:w="65" w:type="dxa"/>
            </w:tcMar>
          </w:tcPr>
          <w:p>
            <w:pPr>
              <w:pStyle w:val="TableText"/>
              <w:keepNext/>
              <w:widowControl/>
              <w:jc w:val="center"/>
            </w:pPr>
            <w:r>
              <w:rPr>
                <w:b/>
                <w:sz w:val="18"/>
              </w:rPr>
              <w:t>Holm p</w:t>
            </w:r>
          </w:p>
        </w:tc>
      </w:tr>
      <w:tr>
        <w:trPr>
          <w:cantSplit/>
        </w:trPr>
        <w:tc>
          <w:tcPr>
            <w:tcW w:type="dxa" w:w="680"/>
            <w:vAlign w:val="center"/>
            <w:tcMar>
              <w:top w:w="65" w:type="dxa"/>
              <w:left w:w="65" w:type="dxa"/>
              <w:bottom w:w="65" w:type="dxa"/>
              <w:right w:w="65" w:type="dxa"/>
            </w:tcMar>
          </w:tcPr>
          <w:p>
            <w:pPr>
              <w:pStyle w:val="TableText"/>
              <w:keepNext/>
              <w:widowControl/>
              <w:jc w:val="left"/>
            </w:pPr>
            <w:r>
              <w:rPr>
                <w:b w:val="0"/>
                <w:sz w:val="18"/>
              </w:rPr>
              <w:t>B1</w:t>
            </w:r>
          </w:p>
        </w:tc>
        <w:tc>
          <w:tcPr>
            <w:tcW w:type="dxa" w:w="1814"/>
            <w:vAlign w:val="center"/>
            <w:tcMar>
              <w:top w:w="65" w:type="dxa"/>
              <w:left w:w="65" w:type="dxa"/>
              <w:bottom w:w="65" w:type="dxa"/>
              <w:right w:w="65" w:type="dxa"/>
            </w:tcMar>
          </w:tcPr>
          <w:p>
            <w:pPr>
              <w:pStyle w:val="TableText"/>
              <w:keepNext/>
              <w:widowControl/>
              <w:jc w:val="left"/>
            </w:pPr>
            <w:r>
              <w:rPr>
                <w:b w:val="0"/>
                <w:sz w:val="18"/>
              </w:rPr>
              <w:t>C4R−C4</w:t>
            </w:r>
          </w:p>
        </w:tc>
        <w:tc>
          <w:tcPr>
            <w:tcW w:type="dxa" w:w="1417"/>
            <w:vAlign w:val="center"/>
            <w:tcMar>
              <w:top w:w="65" w:type="dxa"/>
              <w:left w:w="65" w:type="dxa"/>
              <w:bottom w:w="65" w:type="dxa"/>
              <w:right w:w="65" w:type="dxa"/>
            </w:tcMar>
          </w:tcPr>
          <w:p>
            <w:pPr>
              <w:pStyle w:val="TableText"/>
              <w:keepNext/>
              <w:widowControl/>
              <w:jc w:val="left"/>
            </w:pPr>
            <w:r>
              <w:rPr>
                <w:b w:val="0"/>
                <w:sz w:val="18"/>
              </w:rPr>
              <w:t>+0.0214</w:t>
            </w:r>
          </w:p>
        </w:tc>
        <w:tc>
          <w:tcPr>
            <w:tcW w:type="dxa" w:w="2665"/>
            <w:vAlign w:val="center"/>
            <w:tcMar>
              <w:top w:w="65" w:type="dxa"/>
              <w:left w:w="65" w:type="dxa"/>
              <w:bottom w:w="65" w:type="dxa"/>
              <w:right w:w="65" w:type="dxa"/>
            </w:tcMar>
          </w:tcPr>
          <w:p>
            <w:pPr>
              <w:pStyle w:val="TableText"/>
              <w:keepNext/>
              <w:widowControl/>
              <w:jc w:val="left"/>
            </w:pPr>
            <w:r>
              <w:rPr>
                <w:b w:val="0"/>
                <w:sz w:val="18"/>
              </w:rPr>
              <w:t>[+0.0026, +0.0413]</w:t>
            </w:r>
          </w:p>
        </w:tc>
        <w:tc>
          <w:tcPr>
            <w:tcW w:type="dxa" w:w="1361"/>
            <w:vAlign w:val="center"/>
            <w:tcMar>
              <w:top w:w="65" w:type="dxa"/>
              <w:left w:w="65" w:type="dxa"/>
              <w:bottom w:w="65" w:type="dxa"/>
              <w:right w:w="65" w:type="dxa"/>
            </w:tcMar>
          </w:tcPr>
          <w:p>
            <w:pPr>
              <w:pStyle w:val="TableText"/>
              <w:keepNext/>
              <w:widowControl/>
              <w:jc w:val="left"/>
            </w:pPr>
            <w:r>
              <w:rPr>
                <w:b w:val="0"/>
                <w:sz w:val="18"/>
              </w:rPr>
              <w:t>0.1608</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+0.0482</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[+0.0179, +0.0799]</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0.0168</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+0.0224</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[-0.0049, +0.0503]</w:t>
            </w:r>
          </w:p>
        </w:tc>
        <w:tc>
          <w:tcPr>
            <w:tcW w:type="dxa" w:w="1361"/>
            <w:vAlign w:val="center"/>
            <w:tcMar>
              <w:top w:w="65" w:type="dxa"/>
              <w:left w:w="65" w:type="dxa"/>
              <w:bottom w:w="65" w:type="dxa"/>
              <w:right w:w="65" w:type="dxa"/>
            </w:tcMar>
          </w:tcPr>
          <w:p>
            <w:pPr>
              <w:pStyle w:val="TableText"/>
              <w:keepNext w:val="0"/>
              <w:widowControl/>
              <w:jc w:val="left"/>
            </w:pPr>
            <w:r>
              <w:rPr>
                <w:b w:val="0"/>
                <w:sz w:val="18"/>
              </w:rPr>
              <w:t>0.5209</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+0.0214</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[-0.0046, +0.0466]</w:t>
            </w:r>
          </w:p>
        </w:tc>
        <w:tc>
          <w:tcPr>
            <w:tcW w:type="dxa" w:w="1361"/>
            <w:vAlign w:val="center"/>
            <w:tcMar>
              <w:top w:w="65" w:type="dxa"/>
              <w:left w:w="65" w:type="dxa"/>
              <w:bottom w:w="65" w:type="dxa"/>
              <w:right w:w="65" w:type="dxa"/>
            </w:tcMar>
          </w:tcPr>
          <w:p>
            <w:pPr>
              <w:pStyle w:val="TableText"/>
              <w:keepNext w:val="0"/>
              <w:widowControl/>
              <w:jc w:val="left"/>
            </w:pPr>
            <w:r>
              <w:rPr>
                <w:b w:val="0"/>
                <w:sz w:val="18"/>
              </w:rPr>
              <w:t>0.5209</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C4R−C4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+0.0130</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[-0.0088, +0.0341]</w:t>
            </w:r>
          </w:p>
        </w:tc>
        <w:tc>
          <w:tcPr>
            <w:tcW w:type="dxa" w:w="1361"/>
            <w:vAlign w:val="center"/>
            <w:tcMar>
              <w:top w:w="65" w:type="dxa"/>
              <w:left w:w="65" w:type="dxa"/>
              <w:bottom w:w="65" w:type="dxa"/>
              <w:right w:w="65" w:type="dxa"/>
            </w:tcMar>
          </w:tcPr>
          <w:p>
            <w:pPr>
              <w:pStyle w:val="TableText"/>
              <w:keepNext w:val="0"/>
              <w:widowControl/>
              <w:jc w:val="left"/>
            </w:pPr>
            <w:r>
              <w:rPr>
                <w:b w:val="0"/>
                <w:sz w:val="18"/>
              </w:rPr>
              <w:t>0.5633</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+0.0159</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[-0.0146, +0.0473]</w:t>
            </w:r>
          </w:p>
        </w:tc>
        <w:tc>
          <w:tcPr>
            <w:tcW w:type="dxa" w:w="1361"/>
            <w:vAlign w:val="center"/>
            <w:tcMar>
              <w:top w:w="65" w:type="dxa"/>
              <w:left w:w="65" w:type="dxa"/>
              <w:bottom w:w="65" w:type="dxa"/>
              <w:right w:w="65" w:type="dxa"/>
            </w:tcMar>
          </w:tcPr>
          <w:p>
            <w:pPr>
              <w:pStyle w:val="TableText"/>
              <w:keepNext w:val="0"/>
              <w:widowControl/>
              <w:jc w:val="left"/>
            </w:pPr>
            <w:r>
              <w:rPr>
                <w:b w:val="0"/>
                <w:sz w:val="18"/>
              </w:rPr>
              <w:t>0.5633</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+0.0501</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[+0.0219, +0.0799]</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0.0032</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+0.0228</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[-0.0113, +0.0577]</w:t>
            </w:r>
          </w:p>
        </w:tc>
        <w:tc>
          <w:tcPr>
            <w:tcW w:type="dxa" w:w="1361"/>
            <w:vAlign w:val="center"/>
            <w:tcMar>
              <w:top w:w="65" w:type="dxa"/>
              <w:left w:w="65" w:type="dxa"/>
              <w:bottom w:w="65" w:type="dxa"/>
              <w:right w:w="65" w:type="dxa"/>
            </w:tcMar>
          </w:tcPr>
          <w:p>
            <w:pPr>
              <w:pStyle w:val="TableText"/>
              <w:keepNext w:val="0"/>
              <w:widowControl/>
              <w:jc w:val="left"/>
            </w:pPr>
            <w:r>
              <w:rPr>
                <w:b w:val="0"/>
                <w:sz w:val="18"/>
              </w:rPr>
              <w:t>0.5633</w:t>
            </w:r>
          </w:p>
        </w:tc>
      </w:tr>
    </w:tbl>
    <w:p>
      <w:pPr>
        <w:pStyle w:val="SourceNote"/>
        <w:widowControl/>
      </w:pPr>
      <w:r>
        <w:t>자료: 기업별 Stage9와 production bootstrap 순서 재현. 표의 반올림 전 값과 family는 동봉 분석 CSV에서 추적한다.</w:t>
      </w:r>
    </w:p>
    <w:p>
      <w:bookmarkStart w:id="245" w:name="cap_73"/>
      <w:pPr>
        <w:pStyle w:val="af"/>
        <w:widowControl/>
      </w:pPr>
      <w:r>
        <w:t>표 E-6. Baseline · Strict / GPT / Oracle-γ</w:t>
      </w:r>
      <w:bookmarkEnd w:id="245"/>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680"/>
        <w:gridCol w:w="1814"/>
        <w:gridCol w:w="1417"/>
        <w:gridCol w:w="2665"/>
        <w:gridCol w:w="1361"/>
      </w:tblGrid>
      <w:tr>
        <w:trPr>
          <w:cantSplit/>
          <w:tblHeader/>
        </w:trPr>
        <w:tc>
          <w:tcPr>
            <w:tcW w:type="dxa" w:w="680"/>
            <w:vAlign w:val="center"/>
            <w:shd w:fill="F1F1F1"/>
            <w:tcMar>
              <w:top w:w="65" w:type="dxa"/>
              <w:left w:w="65" w:type="dxa"/>
              <w:bottom w:w="65" w:type="dxa"/>
              <w:right w:w="65" w:type="dxa"/>
            </w:tcMar>
          </w:tcPr>
          <w:p>
            <w:pPr>
              <w:pStyle w:val="TableText"/>
              <w:keepNext/>
              <w:widowControl/>
              <w:jc w:val="center"/>
            </w:pPr>
            <w:r>
              <w:rPr>
                <w:b/>
                <w:sz w:val="18"/>
              </w:rPr>
              <w:t>예산</w:t>
            </w:r>
          </w:p>
        </w:tc>
        <w:tc>
          <w:tcPr>
            <w:tcW w:type="dxa" w:w="1814"/>
            <w:vAlign w:val="center"/>
            <w:shd w:fill="F1F1F1"/>
            <w:tcMar>
              <w:top w:w="65" w:type="dxa"/>
              <w:left w:w="65" w:type="dxa"/>
              <w:bottom w:w="65" w:type="dxa"/>
              <w:right w:w="65" w:type="dxa"/>
            </w:tcMar>
          </w:tcPr>
          <w:p>
            <w:pPr>
              <w:pStyle w:val="TableText"/>
              <w:keepNext/>
              <w:widowControl/>
              <w:jc w:val="center"/>
            </w:pPr>
            <w:r>
              <w:rPr>
                <w:b/>
                <w:sz w:val="18"/>
              </w:rPr>
              <w:t>대비</w:t>
            </w:r>
          </w:p>
        </w:tc>
        <w:tc>
          <w:tcPr>
            <w:tcW w:type="dxa" w:w="1417"/>
            <w:vAlign w:val="center"/>
            <w:shd w:fill="F1F1F1"/>
            <w:tcMar>
              <w:top w:w="65" w:type="dxa"/>
              <w:left w:w="65" w:type="dxa"/>
              <w:bottom w:w="65" w:type="dxa"/>
              <w:right w:w="65" w:type="dxa"/>
            </w:tcMar>
          </w:tcPr>
          <w:p>
            <w:pPr>
              <w:pStyle w:val="TableText"/>
              <w:keepNext/>
              <w:widowControl/>
              <w:jc w:val="center"/>
            </w:pPr>
            <w:r>
              <w:rPr>
                <w:b/>
                <w:sz w:val="18"/>
              </w:rPr>
              <w:t>평균차</w:t>
            </w:r>
          </w:p>
        </w:tc>
        <w:tc>
          <w:tcPr>
            <w:tcW w:type="dxa" w:w="2665"/>
            <w:vAlign w:val="center"/>
            <w:shd w:fill="F1F1F1"/>
            <w:tcMar>
              <w:top w:w="65" w:type="dxa"/>
              <w:left w:w="65" w:type="dxa"/>
              <w:bottom w:w="65" w:type="dxa"/>
              <w:right w:w="65" w:type="dxa"/>
            </w:tcMar>
          </w:tcPr>
          <w:p>
            <w:pPr>
              <w:pStyle w:val="TableText"/>
              <w:keepNext/>
              <w:widowControl/>
              <w:jc w:val="center"/>
            </w:pPr>
            <w:r>
              <w:rPr>
                <w:b/>
                <w:sz w:val="18"/>
              </w:rPr>
              <w:t>95% 구간</w:t>
            </w:r>
          </w:p>
        </w:tc>
        <w:tc>
          <w:tcPr>
            <w:tcW w:type="dxa" w:w="1361"/>
            <w:vAlign w:val="center"/>
            <w:shd w:fill="F1F1F1"/>
            <w:tcMar>
              <w:top w:w="65" w:type="dxa"/>
              <w:left w:w="65" w:type="dxa"/>
              <w:bottom w:w="65" w:type="dxa"/>
              <w:right w:w="65" w:type="dxa"/>
            </w:tcMar>
          </w:tcPr>
          <w:p>
            <w:pPr>
              <w:pStyle w:val="TableText"/>
              <w:keepNext/>
              <w:widowControl/>
              <w:jc w:val="center"/>
            </w:pPr>
            <w:r>
              <w:rPr>
                <w:b/>
                <w:sz w:val="18"/>
              </w:rPr>
              <w:t>Holm p</w:t>
            </w:r>
          </w:p>
        </w:tc>
      </w:tr>
      <w:tr>
        <w:trPr>
          <w:cantSplit/>
        </w:trPr>
        <w:tc>
          <w:tcPr>
            <w:tcW w:type="dxa" w:w="680"/>
            <w:vAlign w:val="center"/>
            <w:tcMar>
              <w:top w:w="65" w:type="dxa"/>
              <w:left w:w="65" w:type="dxa"/>
              <w:bottom w:w="65" w:type="dxa"/>
              <w:right w:w="65" w:type="dxa"/>
            </w:tcMar>
          </w:tcPr>
          <w:p>
            <w:pPr>
              <w:pStyle w:val="TableText"/>
              <w:keepNext/>
              <w:widowControl/>
              <w:jc w:val="left"/>
            </w:pPr>
            <w:r>
              <w:rPr>
                <w:b w:val="0"/>
                <w:sz w:val="18"/>
              </w:rPr>
              <w:t>B1</w:t>
            </w:r>
          </w:p>
        </w:tc>
        <w:tc>
          <w:tcPr>
            <w:tcW w:type="dxa" w:w="1814"/>
            <w:vAlign w:val="center"/>
            <w:tcMar>
              <w:top w:w="65" w:type="dxa"/>
              <w:left w:w="65" w:type="dxa"/>
              <w:bottom w:w="65" w:type="dxa"/>
              <w:right w:w="65" w:type="dxa"/>
            </w:tcMar>
          </w:tcPr>
          <w:p>
            <w:pPr>
              <w:pStyle w:val="TableText"/>
              <w:keepNext/>
              <w:widowControl/>
              <w:jc w:val="left"/>
            </w:pPr>
            <w:r>
              <w:rPr>
                <w:b w:val="0"/>
                <w:sz w:val="18"/>
              </w:rPr>
              <w:t>C4R−C4</w:t>
            </w:r>
          </w:p>
        </w:tc>
        <w:tc>
          <w:tcPr>
            <w:tcW w:type="dxa" w:w="1417"/>
            <w:vAlign w:val="center"/>
            <w:tcMar>
              <w:top w:w="65" w:type="dxa"/>
              <w:left w:w="65" w:type="dxa"/>
              <w:bottom w:w="65" w:type="dxa"/>
              <w:right w:w="65" w:type="dxa"/>
            </w:tcMar>
          </w:tcPr>
          <w:p>
            <w:pPr>
              <w:pStyle w:val="TableText"/>
              <w:keepNext/>
              <w:widowControl/>
              <w:jc w:val="left"/>
            </w:pPr>
            <w:r>
              <w:rPr>
                <w:b w:val="0"/>
                <w:sz w:val="18"/>
              </w:rPr>
              <w:t>+0.0478</w:t>
            </w:r>
          </w:p>
        </w:tc>
        <w:tc>
          <w:tcPr>
            <w:tcW w:type="dxa" w:w="2665"/>
            <w:vAlign w:val="center"/>
            <w:tcMar>
              <w:top w:w="65" w:type="dxa"/>
              <w:left w:w="65" w:type="dxa"/>
              <w:bottom w:w="65" w:type="dxa"/>
              <w:right w:w="65" w:type="dxa"/>
            </w:tcMar>
          </w:tcPr>
          <w:p>
            <w:pPr>
              <w:pStyle w:val="TableText"/>
              <w:keepNext/>
              <w:widowControl/>
              <w:jc w:val="left"/>
            </w:pPr>
            <w:r>
              <w:rPr>
                <w:b w:val="0"/>
                <w:sz w:val="18"/>
              </w:rPr>
              <w:t>[+0.0255, +0.0721]</w:t>
            </w:r>
          </w:p>
        </w:tc>
        <w:tc>
          <w:tcPr>
            <w:tcW w:type="dxa" w:w="1361"/>
            <w:vAlign w:val="center"/>
            <w:tcMar>
              <w:top w:w="65" w:type="dxa"/>
              <w:left w:w="65" w:type="dxa"/>
              <w:bottom w:w="65" w:type="dxa"/>
              <w:right w:w="65" w:type="dxa"/>
            </w:tcMar>
          </w:tcPr>
          <w:p>
            <w:pPr>
              <w:pStyle w:val="TableText"/>
              <w:keepNext/>
              <w:widowControl/>
              <w:jc w:val="left"/>
            </w:pPr>
            <w:r>
              <w:rPr>
                <w:b w:val="0"/>
                <w:sz w:val="18"/>
              </w:rPr>
              <w:t>0.0016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+0.0531</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[+0.0213, +0.0867]</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0.0084</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+0.0114</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[-0.0271, +0.0502]</w:t>
            </w:r>
          </w:p>
        </w:tc>
        <w:tc>
          <w:tcPr>
            <w:tcW w:type="dxa" w:w="1361"/>
            <w:vAlign w:val="center"/>
            <w:tcMar>
              <w:top w:w="65" w:type="dxa"/>
              <w:left w:w="65" w:type="dxa"/>
              <w:bottom w:w="65" w:type="dxa"/>
              <w:right w:w="65" w:type="dxa"/>
            </w:tcMar>
          </w:tcPr>
          <w:p>
            <w:pPr>
              <w:pStyle w:val="TableText"/>
              <w:keepNext w:val="0"/>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+0.0400</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[+0.0014, +0.0813]</w:t>
            </w:r>
          </w:p>
        </w:tc>
        <w:tc>
          <w:tcPr>
            <w:tcW w:type="dxa" w:w="1361"/>
            <w:vAlign w:val="center"/>
            <w:tcMar>
              <w:top w:w="65" w:type="dxa"/>
              <w:left w:w="65" w:type="dxa"/>
              <w:bottom w:w="65" w:type="dxa"/>
              <w:right w:w="65" w:type="dxa"/>
            </w:tcMar>
          </w:tcPr>
          <w:p>
            <w:pPr>
              <w:pStyle w:val="TableText"/>
              <w:keepNext w:val="0"/>
              <w:widowControl/>
              <w:jc w:val="left"/>
            </w:pPr>
            <w:r>
              <w:rPr>
                <w:b w:val="0"/>
                <w:sz w:val="18"/>
              </w:rPr>
              <w:t>0.2130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C4R−C4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+0.0450</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[+0.0229, +0.0686]</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0.0016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-0.0233</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[-0.0681, +0.0201]</w:t>
            </w:r>
          </w:p>
        </w:tc>
        <w:tc>
          <w:tcPr>
            <w:tcW w:type="dxa" w:w="1361"/>
            <w:vAlign w:val="center"/>
            <w:tcMar>
              <w:top w:w="65" w:type="dxa"/>
              <w:left w:w="65" w:type="dxa"/>
              <w:bottom w:w="65" w:type="dxa"/>
              <w:right w:w="65" w:type="dxa"/>
            </w:tcMar>
          </w:tcPr>
          <w:p>
            <w:pPr>
              <w:pStyle w:val="TableText"/>
              <w:keepNext w:val="0"/>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+0.0220</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[-0.0189, +0.0632]</w:t>
            </w:r>
          </w:p>
        </w:tc>
        <w:tc>
          <w:tcPr>
            <w:tcW w:type="dxa" w:w="1361"/>
            <w:vAlign w:val="center"/>
            <w:tcMar>
              <w:top w:w="65" w:type="dxa"/>
              <w:left w:w="65" w:type="dxa"/>
              <w:bottom w:w="65" w:type="dxa"/>
              <w:right w:w="65" w:type="dxa"/>
            </w:tcMar>
          </w:tcPr>
          <w:p>
            <w:pPr>
              <w:pStyle w:val="TableText"/>
              <w:keepNext w:val="0"/>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+0.0196</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[-0.0212, +0.0586]</w:t>
            </w:r>
          </w:p>
        </w:tc>
        <w:tc>
          <w:tcPr>
            <w:tcW w:type="dxa" w:w="1361"/>
            <w:vAlign w:val="center"/>
            <w:tcMar>
              <w:top w:w="65" w:type="dxa"/>
              <w:left w:w="65" w:type="dxa"/>
              <w:bottom w:w="65" w:type="dxa"/>
              <w:right w:w="65" w:type="dxa"/>
            </w:tcMar>
          </w:tcPr>
          <w:p>
            <w:pPr>
              <w:pStyle w:val="TableText"/>
              <w:keepNext w:val="0"/>
              <w:widowControl/>
              <w:jc w:val="left"/>
            </w:pPr>
            <w:r>
              <w:rPr>
                <w:b w:val="0"/>
                <w:sz w:val="18"/>
              </w:rPr>
              <w:t>1.0000</w:t>
            </w:r>
          </w:p>
        </w:tc>
      </w:tr>
    </w:tbl>
    <w:p>
      <w:pPr>
        <w:pStyle w:val="SourceNote"/>
        <w:widowControl/>
      </w:pPr>
      <w:r>
        <w:t>자료: 기업별 Stage9와 production bootstrap 순서 재현. 표의 반올림 전 값과 family는 동봉 분석 CSV에서 추적한다.</w:t>
      </w:r>
    </w:p>
    <w:p>
      <w:bookmarkStart w:id="246" w:name="head_173"/>
      <w:pPr>
        <w:pStyle w:val="2"/>
        <w:widowControl/>
      </w:pPr>
      <w:r>
        <w:t>E.3 Baseline · Repaired / Gemini 3.1 Flash-Lite</w:t>
      </w:r>
      <w:bookmarkEnd w:id="246"/>
    </w:p>
    <w:p>
      <w:bookmarkStart w:id="247" w:name="cap_74"/>
      <w:pPr>
        <w:pStyle w:val="af"/>
        <w:widowControl/>
      </w:pPr>
      <w:r>
        <w:t>표 E-7. Baseline · Repaired / Gemini / Oracle-α</w:t>
      </w:r>
      <w:bookmarkEnd w:id="247"/>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680"/>
        <w:gridCol w:w="1814"/>
        <w:gridCol w:w="1417"/>
        <w:gridCol w:w="2665"/>
        <w:gridCol w:w="1361"/>
      </w:tblGrid>
      <w:tr>
        <w:trPr>
          <w:cantSplit/>
          <w:tblHeader/>
        </w:trPr>
        <w:tc>
          <w:tcPr>
            <w:tcW w:type="dxa" w:w="680"/>
            <w:vAlign w:val="center"/>
            <w:shd w:fill="F1F1F1"/>
            <w:tcMar>
              <w:top w:w="65" w:type="dxa"/>
              <w:left w:w="65" w:type="dxa"/>
              <w:bottom w:w="65" w:type="dxa"/>
              <w:right w:w="65" w:type="dxa"/>
            </w:tcMar>
          </w:tcPr>
          <w:p>
            <w:pPr>
              <w:pStyle w:val="TableText"/>
              <w:keepNext/>
              <w:widowControl/>
              <w:jc w:val="center"/>
            </w:pPr>
            <w:r>
              <w:rPr>
                <w:b/>
                <w:sz w:val="18"/>
              </w:rPr>
              <w:t>예산</w:t>
            </w:r>
          </w:p>
        </w:tc>
        <w:tc>
          <w:tcPr>
            <w:tcW w:type="dxa" w:w="1814"/>
            <w:vAlign w:val="center"/>
            <w:shd w:fill="F1F1F1"/>
            <w:tcMar>
              <w:top w:w="65" w:type="dxa"/>
              <w:left w:w="65" w:type="dxa"/>
              <w:bottom w:w="65" w:type="dxa"/>
              <w:right w:w="65" w:type="dxa"/>
            </w:tcMar>
          </w:tcPr>
          <w:p>
            <w:pPr>
              <w:pStyle w:val="TableText"/>
              <w:keepNext/>
              <w:widowControl/>
              <w:jc w:val="center"/>
            </w:pPr>
            <w:r>
              <w:rPr>
                <w:b/>
                <w:sz w:val="18"/>
              </w:rPr>
              <w:t>대비</w:t>
            </w:r>
          </w:p>
        </w:tc>
        <w:tc>
          <w:tcPr>
            <w:tcW w:type="dxa" w:w="1417"/>
            <w:vAlign w:val="center"/>
            <w:shd w:fill="F1F1F1"/>
            <w:tcMar>
              <w:top w:w="65" w:type="dxa"/>
              <w:left w:w="65" w:type="dxa"/>
              <w:bottom w:w="65" w:type="dxa"/>
              <w:right w:w="65" w:type="dxa"/>
            </w:tcMar>
          </w:tcPr>
          <w:p>
            <w:pPr>
              <w:pStyle w:val="TableText"/>
              <w:keepNext/>
              <w:widowControl/>
              <w:jc w:val="center"/>
            </w:pPr>
            <w:r>
              <w:rPr>
                <w:b/>
                <w:sz w:val="18"/>
              </w:rPr>
              <w:t>평균차</w:t>
            </w:r>
          </w:p>
        </w:tc>
        <w:tc>
          <w:tcPr>
            <w:tcW w:type="dxa" w:w="2665"/>
            <w:vAlign w:val="center"/>
            <w:shd w:fill="F1F1F1"/>
            <w:tcMar>
              <w:top w:w="65" w:type="dxa"/>
              <w:left w:w="65" w:type="dxa"/>
              <w:bottom w:w="65" w:type="dxa"/>
              <w:right w:w="65" w:type="dxa"/>
            </w:tcMar>
          </w:tcPr>
          <w:p>
            <w:pPr>
              <w:pStyle w:val="TableText"/>
              <w:keepNext/>
              <w:widowControl/>
              <w:jc w:val="center"/>
            </w:pPr>
            <w:r>
              <w:rPr>
                <w:b/>
                <w:sz w:val="18"/>
              </w:rPr>
              <w:t>95% 구간</w:t>
            </w:r>
          </w:p>
        </w:tc>
        <w:tc>
          <w:tcPr>
            <w:tcW w:type="dxa" w:w="1361"/>
            <w:vAlign w:val="center"/>
            <w:shd w:fill="F1F1F1"/>
            <w:tcMar>
              <w:top w:w="65" w:type="dxa"/>
              <w:left w:w="65" w:type="dxa"/>
              <w:bottom w:w="65" w:type="dxa"/>
              <w:right w:w="65" w:type="dxa"/>
            </w:tcMar>
          </w:tcPr>
          <w:p>
            <w:pPr>
              <w:pStyle w:val="TableText"/>
              <w:keepNext/>
              <w:widowControl/>
              <w:jc w:val="center"/>
            </w:pPr>
            <w:r>
              <w:rPr>
                <w:b/>
                <w:sz w:val="18"/>
              </w:rPr>
              <w:t>Holm p</w:t>
            </w:r>
          </w:p>
        </w:tc>
      </w:tr>
      <w:tr>
        <w:trPr>
          <w:cantSplit/>
        </w:trPr>
        <w:tc>
          <w:tcPr>
            <w:tcW w:type="dxa" w:w="680"/>
            <w:vAlign w:val="center"/>
            <w:tcMar>
              <w:top w:w="65" w:type="dxa"/>
              <w:left w:w="65" w:type="dxa"/>
              <w:bottom w:w="65" w:type="dxa"/>
              <w:right w:w="65" w:type="dxa"/>
            </w:tcMar>
          </w:tcPr>
          <w:p>
            <w:pPr>
              <w:pStyle w:val="TableText"/>
              <w:keepNext/>
              <w:widowControl/>
              <w:jc w:val="left"/>
            </w:pPr>
            <w:r>
              <w:rPr>
                <w:b w:val="0"/>
                <w:sz w:val="18"/>
              </w:rPr>
              <w:t>B1</w:t>
            </w:r>
          </w:p>
        </w:tc>
        <w:tc>
          <w:tcPr>
            <w:tcW w:type="dxa" w:w="1814"/>
            <w:vAlign w:val="center"/>
            <w:tcMar>
              <w:top w:w="65" w:type="dxa"/>
              <w:left w:w="65" w:type="dxa"/>
              <w:bottom w:w="65" w:type="dxa"/>
              <w:right w:w="65" w:type="dxa"/>
            </w:tcMar>
          </w:tcPr>
          <w:p>
            <w:pPr>
              <w:pStyle w:val="TableText"/>
              <w:keepNext/>
              <w:widowControl/>
              <w:jc w:val="left"/>
            </w:pPr>
            <w:r>
              <w:rPr>
                <w:b w:val="0"/>
                <w:sz w:val="18"/>
              </w:rPr>
              <w:t>C4R−C4</w:t>
            </w:r>
          </w:p>
        </w:tc>
        <w:tc>
          <w:tcPr>
            <w:tcW w:type="dxa" w:w="1417"/>
            <w:vAlign w:val="center"/>
            <w:tcMar>
              <w:top w:w="65" w:type="dxa"/>
              <w:left w:w="65" w:type="dxa"/>
              <w:bottom w:w="65" w:type="dxa"/>
              <w:right w:w="65" w:type="dxa"/>
            </w:tcMar>
          </w:tcPr>
          <w:p>
            <w:pPr>
              <w:pStyle w:val="TableText"/>
              <w:keepNext/>
              <w:widowControl/>
              <w:jc w:val="left"/>
            </w:pPr>
            <w:r>
              <w:rPr>
                <w:b w:val="0"/>
                <w:sz w:val="18"/>
              </w:rPr>
              <w:t>-0.0109</w:t>
            </w:r>
          </w:p>
        </w:tc>
        <w:tc>
          <w:tcPr>
            <w:tcW w:type="dxa" w:w="2665"/>
            <w:vAlign w:val="center"/>
            <w:tcMar>
              <w:top w:w="65" w:type="dxa"/>
              <w:left w:w="65" w:type="dxa"/>
              <w:bottom w:w="65" w:type="dxa"/>
              <w:right w:w="65" w:type="dxa"/>
            </w:tcMar>
          </w:tcPr>
          <w:p>
            <w:pPr>
              <w:pStyle w:val="TableText"/>
              <w:keepNext/>
              <w:widowControl/>
              <w:jc w:val="left"/>
            </w:pPr>
            <w:r>
              <w:rPr>
                <w:b w:val="0"/>
                <w:sz w:val="18"/>
              </w:rPr>
              <w:t>[-0.0358, +0.0139]</w:t>
            </w:r>
          </w:p>
        </w:tc>
        <w:tc>
          <w:tcPr>
            <w:tcW w:type="dxa" w:w="1361"/>
            <w:vAlign w:val="center"/>
            <w:tcMar>
              <w:top w:w="65" w:type="dxa"/>
              <w:left w:w="65" w:type="dxa"/>
              <w:bottom w:w="65" w:type="dxa"/>
              <w:right w:w="65" w:type="dxa"/>
            </w:tcMar>
          </w:tcPr>
          <w:p>
            <w:pPr>
              <w:pStyle w:val="TableText"/>
              <w:keepNext/>
              <w:widowControl/>
              <w:jc w:val="left"/>
            </w:pPr>
            <w:r>
              <w:rPr>
                <w:b w:val="0"/>
                <w:sz w:val="18"/>
              </w:rPr>
              <w:t>0.7623</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+0.0602</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[+0.0020, +0.1218]</w:t>
            </w:r>
          </w:p>
        </w:tc>
        <w:tc>
          <w:tcPr>
            <w:tcW w:type="dxa" w:w="1361"/>
            <w:vAlign w:val="center"/>
            <w:tcMar>
              <w:top w:w="65" w:type="dxa"/>
              <w:left w:w="65" w:type="dxa"/>
              <w:bottom w:w="65" w:type="dxa"/>
              <w:right w:w="65" w:type="dxa"/>
            </w:tcMar>
          </w:tcPr>
          <w:p>
            <w:pPr>
              <w:pStyle w:val="TableText"/>
              <w:keepNext w:val="0"/>
              <w:widowControl/>
              <w:jc w:val="left"/>
            </w:pPr>
            <w:r>
              <w:rPr>
                <w:b w:val="0"/>
                <w:sz w:val="18"/>
              </w:rPr>
              <w:t>0.2120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+0.0585</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[+0.0092, +0.1082]</w:t>
            </w:r>
          </w:p>
        </w:tc>
        <w:tc>
          <w:tcPr>
            <w:tcW w:type="dxa" w:w="1361"/>
            <w:vAlign w:val="center"/>
            <w:tcMar>
              <w:top w:w="65" w:type="dxa"/>
              <w:left w:w="65" w:type="dxa"/>
              <w:bottom w:w="65" w:type="dxa"/>
              <w:right w:w="65" w:type="dxa"/>
            </w:tcMar>
          </w:tcPr>
          <w:p>
            <w:pPr>
              <w:pStyle w:val="TableText"/>
              <w:keepNext w:val="0"/>
              <w:widowControl/>
              <w:jc w:val="left"/>
            </w:pPr>
            <w:r>
              <w:rPr>
                <w:b w:val="0"/>
                <w:sz w:val="18"/>
              </w:rPr>
              <w:t>0.1320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+0.0765</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[+0.0211, +0.1339]</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0.0588</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C4R−C4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+0.1427</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[+0.0881, +0.2004]</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0.0016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-0.0715</w:t>
            </w:r>
          </w:p>
        </w:tc>
        <w:tc>
          <w:tcPr>
            <w:tcW w:type="dxa" w:w="2665"/>
            <w:vAlign w:val="center"/>
            <w:tcMar>
              <w:top w:w="65" w:type="dxa"/>
              <w:left w:w="65" w:type="dxa"/>
              <w:bottom w:w="65" w:type="dxa"/>
              <w:right w:w="65" w:type="dxa"/>
            </w:tcMar>
          </w:tcPr>
          <w:p>
            <w:pPr>
              <w:pStyle w:val="TableText"/>
              <w:keepNext w:val="0"/>
              <w:widowControl/>
              <w:jc w:val="left"/>
            </w:pPr>
            <w:r>
              <w:rPr>
                <w:b w:val="0"/>
                <w:sz w:val="18"/>
              </w:rPr>
              <w:t>[-0.1644, +0.0194]</w:t>
            </w:r>
          </w:p>
        </w:tc>
        <w:tc>
          <w:tcPr>
            <w:tcW w:type="dxa" w:w="1361"/>
            <w:vAlign w:val="center"/>
            <w:tcMar>
              <w:top w:w="65" w:type="dxa"/>
              <w:left w:w="65" w:type="dxa"/>
              <w:bottom w:w="65" w:type="dxa"/>
              <w:right w:w="65" w:type="dxa"/>
            </w:tcMar>
          </w:tcPr>
          <w:p>
            <w:pPr>
              <w:pStyle w:val="TableText"/>
              <w:keepNext w:val="0"/>
              <w:widowControl/>
              <w:jc w:val="left"/>
            </w:pPr>
            <w:r>
              <w:rPr>
                <w:b w:val="0"/>
                <w:sz w:val="18"/>
              </w:rPr>
              <w:t>0.3648</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+0.0180</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[-0.0549, +0.0894]</w:t>
            </w:r>
          </w:p>
        </w:tc>
        <w:tc>
          <w:tcPr>
            <w:tcW w:type="dxa" w:w="1361"/>
            <w:vAlign w:val="center"/>
            <w:tcMar>
              <w:top w:w="65" w:type="dxa"/>
              <w:left w:w="65" w:type="dxa"/>
              <w:bottom w:w="65" w:type="dxa"/>
              <w:right w:w="65" w:type="dxa"/>
            </w:tcMar>
          </w:tcPr>
          <w:p>
            <w:pPr>
              <w:pStyle w:val="TableText"/>
              <w:keepNext w:val="0"/>
              <w:widowControl/>
              <w:jc w:val="left"/>
            </w:pPr>
            <w:r>
              <w:rPr>
                <w:b w:val="0"/>
                <w:sz w:val="18"/>
              </w:rPr>
              <w:t>0.7623</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+0.0576</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[-0.0061, +0.1228]</w:t>
            </w:r>
          </w:p>
        </w:tc>
        <w:tc>
          <w:tcPr>
            <w:tcW w:type="dxa" w:w="1361"/>
            <w:vAlign w:val="center"/>
            <w:tcMar>
              <w:top w:w="65" w:type="dxa"/>
              <w:left w:w="65" w:type="dxa"/>
              <w:bottom w:w="65" w:type="dxa"/>
              <w:right w:w="65" w:type="dxa"/>
            </w:tcMar>
          </w:tcPr>
          <w:p>
            <w:pPr>
              <w:pStyle w:val="TableText"/>
              <w:keepNext w:val="0"/>
              <w:widowControl/>
              <w:jc w:val="left"/>
            </w:pPr>
            <w:r>
              <w:rPr>
                <w:b w:val="0"/>
                <w:sz w:val="18"/>
              </w:rPr>
              <w:t>0.2872</w:t>
            </w:r>
          </w:p>
        </w:tc>
      </w:tr>
    </w:tbl>
    <w:p>
      <w:pPr>
        <w:pStyle w:val="SourceNote"/>
        <w:widowControl/>
      </w:pPr>
      <w:r>
        <w:t>자료: 기업별 Stage9와 production bootstrap 순서 재현. 표의 반올림 전 값과 family는 동봉 분석 CSV에서 추적한다.</w:t>
      </w:r>
    </w:p>
    <w:p>
      <w:bookmarkStart w:id="248" w:name="cap_75"/>
      <w:pPr>
        <w:pStyle w:val="af"/>
        <w:widowControl/>
      </w:pPr>
      <w:r>
        <w:t>표 E-8. Baseline · Repaired / Gemini / Oracle-β</w:t>
      </w:r>
      <w:bookmarkEnd w:id="248"/>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680"/>
        <w:gridCol w:w="1814"/>
        <w:gridCol w:w="1417"/>
        <w:gridCol w:w="2665"/>
        <w:gridCol w:w="1361"/>
      </w:tblGrid>
      <w:tr>
        <w:trPr>
          <w:cantSplit/>
          <w:tblHeader/>
        </w:trPr>
        <w:tc>
          <w:tcPr>
            <w:tcW w:type="dxa" w:w="680"/>
            <w:vAlign w:val="center"/>
            <w:shd w:fill="F1F1F1"/>
            <w:tcMar>
              <w:top w:w="65" w:type="dxa"/>
              <w:left w:w="65" w:type="dxa"/>
              <w:bottom w:w="65" w:type="dxa"/>
              <w:right w:w="65" w:type="dxa"/>
            </w:tcMar>
          </w:tcPr>
          <w:p>
            <w:pPr>
              <w:pStyle w:val="TableText"/>
              <w:keepNext/>
              <w:widowControl/>
              <w:jc w:val="center"/>
            </w:pPr>
            <w:r>
              <w:rPr>
                <w:b/>
                <w:sz w:val="18"/>
              </w:rPr>
              <w:t>예산</w:t>
            </w:r>
          </w:p>
        </w:tc>
        <w:tc>
          <w:tcPr>
            <w:tcW w:type="dxa" w:w="1814"/>
            <w:vAlign w:val="center"/>
            <w:shd w:fill="F1F1F1"/>
            <w:tcMar>
              <w:top w:w="65" w:type="dxa"/>
              <w:left w:w="65" w:type="dxa"/>
              <w:bottom w:w="65" w:type="dxa"/>
              <w:right w:w="65" w:type="dxa"/>
            </w:tcMar>
          </w:tcPr>
          <w:p>
            <w:pPr>
              <w:pStyle w:val="TableText"/>
              <w:keepNext/>
              <w:widowControl/>
              <w:jc w:val="center"/>
            </w:pPr>
            <w:r>
              <w:rPr>
                <w:b/>
                <w:sz w:val="18"/>
              </w:rPr>
              <w:t>대비</w:t>
            </w:r>
          </w:p>
        </w:tc>
        <w:tc>
          <w:tcPr>
            <w:tcW w:type="dxa" w:w="1417"/>
            <w:vAlign w:val="center"/>
            <w:shd w:fill="F1F1F1"/>
            <w:tcMar>
              <w:top w:w="65" w:type="dxa"/>
              <w:left w:w="65" w:type="dxa"/>
              <w:bottom w:w="65" w:type="dxa"/>
              <w:right w:w="65" w:type="dxa"/>
            </w:tcMar>
          </w:tcPr>
          <w:p>
            <w:pPr>
              <w:pStyle w:val="TableText"/>
              <w:keepNext/>
              <w:widowControl/>
              <w:jc w:val="center"/>
            </w:pPr>
            <w:r>
              <w:rPr>
                <w:b/>
                <w:sz w:val="18"/>
              </w:rPr>
              <w:t>평균차</w:t>
            </w:r>
          </w:p>
        </w:tc>
        <w:tc>
          <w:tcPr>
            <w:tcW w:type="dxa" w:w="2665"/>
            <w:vAlign w:val="center"/>
            <w:shd w:fill="F1F1F1"/>
            <w:tcMar>
              <w:top w:w="65" w:type="dxa"/>
              <w:left w:w="65" w:type="dxa"/>
              <w:bottom w:w="65" w:type="dxa"/>
              <w:right w:w="65" w:type="dxa"/>
            </w:tcMar>
          </w:tcPr>
          <w:p>
            <w:pPr>
              <w:pStyle w:val="TableText"/>
              <w:keepNext/>
              <w:widowControl/>
              <w:jc w:val="center"/>
            </w:pPr>
            <w:r>
              <w:rPr>
                <w:b/>
                <w:sz w:val="18"/>
              </w:rPr>
              <w:t>95% 구간</w:t>
            </w:r>
          </w:p>
        </w:tc>
        <w:tc>
          <w:tcPr>
            <w:tcW w:type="dxa" w:w="1361"/>
            <w:vAlign w:val="center"/>
            <w:shd w:fill="F1F1F1"/>
            <w:tcMar>
              <w:top w:w="65" w:type="dxa"/>
              <w:left w:w="65" w:type="dxa"/>
              <w:bottom w:w="65" w:type="dxa"/>
              <w:right w:w="65" w:type="dxa"/>
            </w:tcMar>
          </w:tcPr>
          <w:p>
            <w:pPr>
              <w:pStyle w:val="TableText"/>
              <w:keepNext/>
              <w:widowControl/>
              <w:jc w:val="center"/>
            </w:pPr>
            <w:r>
              <w:rPr>
                <w:b/>
                <w:sz w:val="18"/>
              </w:rPr>
              <w:t>Holm p</w:t>
            </w:r>
          </w:p>
        </w:tc>
      </w:tr>
      <w:tr>
        <w:trPr>
          <w:cantSplit/>
        </w:trPr>
        <w:tc>
          <w:tcPr>
            <w:tcW w:type="dxa" w:w="680"/>
            <w:vAlign w:val="center"/>
            <w:tcMar>
              <w:top w:w="65" w:type="dxa"/>
              <w:left w:w="65" w:type="dxa"/>
              <w:bottom w:w="65" w:type="dxa"/>
              <w:right w:w="65" w:type="dxa"/>
            </w:tcMar>
          </w:tcPr>
          <w:p>
            <w:pPr>
              <w:pStyle w:val="TableText"/>
              <w:keepNext/>
              <w:widowControl/>
              <w:jc w:val="left"/>
            </w:pPr>
            <w:r>
              <w:rPr>
                <w:b w:val="0"/>
                <w:sz w:val="18"/>
              </w:rPr>
              <w:t>B1</w:t>
            </w:r>
          </w:p>
        </w:tc>
        <w:tc>
          <w:tcPr>
            <w:tcW w:type="dxa" w:w="1814"/>
            <w:vAlign w:val="center"/>
            <w:tcMar>
              <w:top w:w="65" w:type="dxa"/>
              <w:left w:w="65" w:type="dxa"/>
              <w:bottom w:w="65" w:type="dxa"/>
              <w:right w:w="65" w:type="dxa"/>
            </w:tcMar>
          </w:tcPr>
          <w:p>
            <w:pPr>
              <w:pStyle w:val="TableText"/>
              <w:keepNext/>
              <w:widowControl/>
              <w:jc w:val="left"/>
            </w:pPr>
            <w:r>
              <w:rPr>
                <w:b w:val="0"/>
                <w:sz w:val="18"/>
              </w:rPr>
              <w:t>C4R−C4</w:t>
            </w:r>
          </w:p>
        </w:tc>
        <w:tc>
          <w:tcPr>
            <w:tcW w:type="dxa" w:w="1417"/>
            <w:vAlign w:val="center"/>
            <w:tcMar>
              <w:top w:w="65" w:type="dxa"/>
              <w:left w:w="65" w:type="dxa"/>
              <w:bottom w:w="65" w:type="dxa"/>
              <w:right w:w="65" w:type="dxa"/>
            </w:tcMar>
          </w:tcPr>
          <w:p>
            <w:pPr>
              <w:pStyle w:val="TableText"/>
              <w:keepNext/>
              <w:widowControl/>
              <w:jc w:val="left"/>
            </w:pPr>
            <w:r>
              <w:rPr>
                <w:b w:val="0"/>
                <w:sz w:val="18"/>
              </w:rPr>
              <w:t>-0.0003</w:t>
            </w:r>
          </w:p>
        </w:tc>
        <w:tc>
          <w:tcPr>
            <w:tcW w:type="dxa" w:w="2665"/>
            <w:vAlign w:val="center"/>
            <w:tcMar>
              <w:top w:w="65" w:type="dxa"/>
              <w:left w:w="65" w:type="dxa"/>
              <w:bottom w:w="65" w:type="dxa"/>
              <w:right w:w="65" w:type="dxa"/>
            </w:tcMar>
          </w:tcPr>
          <w:p>
            <w:pPr>
              <w:pStyle w:val="TableText"/>
              <w:keepNext/>
              <w:widowControl/>
              <w:jc w:val="left"/>
            </w:pPr>
            <w:r>
              <w:rPr>
                <w:b w:val="0"/>
                <w:sz w:val="18"/>
              </w:rPr>
              <w:t>[-0.0036, +0.0028]</w:t>
            </w:r>
          </w:p>
        </w:tc>
        <w:tc>
          <w:tcPr>
            <w:tcW w:type="dxa" w:w="1361"/>
            <w:vAlign w:val="center"/>
            <w:tcMar>
              <w:top w:w="65" w:type="dxa"/>
              <w:left w:w="65" w:type="dxa"/>
              <w:bottom w:w="65" w:type="dxa"/>
              <w:right w:w="65" w:type="dxa"/>
            </w:tcMar>
          </w:tcPr>
          <w:p>
            <w:pPr>
              <w:pStyle w:val="TableText"/>
              <w:keepNext/>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+0.0200</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[+0.0083, +0.0342]</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0.0020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+0.0253</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[+0.0106, +0.0431]</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0.0016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+0.0269</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[+0.0121, +0.0464]</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0.0016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C4R−C4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+0.0189</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[+0.0143, +0.0237]</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0.0016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-0.0097</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[-0.0558, +0.0338]</w:t>
            </w:r>
          </w:p>
        </w:tc>
        <w:tc>
          <w:tcPr>
            <w:tcW w:type="dxa" w:w="1361"/>
            <w:vAlign w:val="center"/>
            <w:tcMar>
              <w:top w:w="65" w:type="dxa"/>
              <w:left w:w="65" w:type="dxa"/>
              <w:bottom w:w="65" w:type="dxa"/>
              <w:right w:w="65" w:type="dxa"/>
            </w:tcMar>
          </w:tcPr>
          <w:p>
            <w:pPr>
              <w:pStyle w:val="TableText"/>
              <w:keepNext w:val="0"/>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+0.0049</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[-0.0153, +0.0240]</w:t>
            </w:r>
          </w:p>
        </w:tc>
        <w:tc>
          <w:tcPr>
            <w:tcW w:type="dxa" w:w="1361"/>
            <w:vAlign w:val="center"/>
            <w:tcMar>
              <w:top w:w="65" w:type="dxa"/>
              <w:left w:w="65" w:type="dxa"/>
              <w:bottom w:w="65" w:type="dxa"/>
              <w:right w:w="65" w:type="dxa"/>
            </w:tcMar>
          </w:tcPr>
          <w:p>
            <w:pPr>
              <w:pStyle w:val="TableText"/>
              <w:keepNext w:val="0"/>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+0.0137</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[-0.0028, +0.0305]</w:t>
            </w:r>
          </w:p>
        </w:tc>
        <w:tc>
          <w:tcPr>
            <w:tcW w:type="dxa" w:w="1361"/>
            <w:vAlign w:val="center"/>
            <w:tcMar>
              <w:top w:w="65" w:type="dxa"/>
              <w:left w:w="65" w:type="dxa"/>
              <w:bottom w:w="65" w:type="dxa"/>
              <w:right w:w="65" w:type="dxa"/>
            </w:tcMar>
          </w:tcPr>
          <w:p>
            <w:pPr>
              <w:pStyle w:val="TableText"/>
              <w:keepNext w:val="0"/>
              <w:widowControl/>
              <w:jc w:val="left"/>
            </w:pPr>
            <w:r>
              <w:rPr>
                <w:b w:val="0"/>
                <w:sz w:val="18"/>
              </w:rPr>
              <w:t>0.3896</w:t>
            </w:r>
          </w:p>
        </w:tc>
      </w:tr>
    </w:tbl>
    <w:p>
      <w:pPr>
        <w:pStyle w:val="SourceNote"/>
        <w:widowControl/>
      </w:pPr>
      <w:r>
        <w:t>자료: 기업별 Stage9와 production bootstrap 순서 재현. 표의 반올림 전 값과 family는 동봉 분석 CSV에서 추적한다.</w:t>
      </w:r>
    </w:p>
    <w:p>
      <w:bookmarkStart w:id="249" w:name="cap_76"/>
      <w:pPr>
        <w:pStyle w:val="af"/>
        <w:widowControl/>
      </w:pPr>
      <w:r>
        <w:t>표 E-9. Baseline · Repaired / Gemini / Oracle-γ</w:t>
      </w:r>
      <w:bookmarkEnd w:id="249"/>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680"/>
        <w:gridCol w:w="1814"/>
        <w:gridCol w:w="1417"/>
        <w:gridCol w:w="2665"/>
        <w:gridCol w:w="1361"/>
      </w:tblGrid>
      <w:tr>
        <w:trPr>
          <w:cantSplit/>
          <w:tblHeader/>
        </w:trPr>
        <w:tc>
          <w:tcPr>
            <w:tcW w:type="dxa" w:w="680"/>
            <w:vAlign w:val="center"/>
            <w:shd w:fill="F1F1F1"/>
            <w:tcMar>
              <w:top w:w="65" w:type="dxa"/>
              <w:left w:w="65" w:type="dxa"/>
              <w:bottom w:w="65" w:type="dxa"/>
              <w:right w:w="65" w:type="dxa"/>
            </w:tcMar>
          </w:tcPr>
          <w:p>
            <w:pPr>
              <w:pStyle w:val="TableText"/>
              <w:keepNext/>
              <w:widowControl/>
              <w:jc w:val="center"/>
            </w:pPr>
            <w:r>
              <w:rPr>
                <w:b/>
                <w:sz w:val="18"/>
              </w:rPr>
              <w:t>예산</w:t>
            </w:r>
          </w:p>
        </w:tc>
        <w:tc>
          <w:tcPr>
            <w:tcW w:type="dxa" w:w="1814"/>
            <w:vAlign w:val="center"/>
            <w:shd w:fill="F1F1F1"/>
            <w:tcMar>
              <w:top w:w="65" w:type="dxa"/>
              <w:left w:w="65" w:type="dxa"/>
              <w:bottom w:w="65" w:type="dxa"/>
              <w:right w:w="65" w:type="dxa"/>
            </w:tcMar>
          </w:tcPr>
          <w:p>
            <w:pPr>
              <w:pStyle w:val="TableText"/>
              <w:keepNext/>
              <w:widowControl/>
              <w:jc w:val="center"/>
            </w:pPr>
            <w:r>
              <w:rPr>
                <w:b/>
                <w:sz w:val="18"/>
              </w:rPr>
              <w:t>대비</w:t>
            </w:r>
          </w:p>
        </w:tc>
        <w:tc>
          <w:tcPr>
            <w:tcW w:type="dxa" w:w="1417"/>
            <w:vAlign w:val="center"/>
            <w:shd w:fill="F1F1F1"/>
            <w:tcMar>
              <w:top w:w="65" w:type="dxa"/>
              <w:left w:w="65" w:type="dxa"/>
              <w:bottom w:w="65" w:type="dxa"/>
              <w:right w:w="65" w:type="dxa"/>
            </w:tcMar>
          </w:tcPr>
          <w:p>
            <w:pPr>
              <w:pStyle w:val="TableText"/>
              <w:keepNext/>
              <w:widowControl/>
              <w:jc w:val="center"/>
            </w:pPr>
            <w:r>
              <w:rPr>
                <w:b/>
                <w:sz w:val="18"/>
              </w:rPr>
              <w:t>평균차</w:t>
            </w:r>
          </w:p>
        </w:tc>
        <w:tc>
          <w:tcPr>
            <w:tcW w:type="dxa" w:w="2665"/>
            <w:vAlign w:val="center"/>
            <w:shd w:fill="F1F1F1"/>
            <w:tcMar>
              <w:top w:w="65" w:type="dxa"/>
              <w:left w:w="65" w:type="dxa"/>
              <w:bottom w:w="65" w:type="dxa"/>
              <w:right w:w="65" w:type="dxa"/>
            </w:tcMar>
          </w:tcPr>
          <w:p>
            <w:pPr>
              <w:pStyle w:val="TableText"/>
              <w:keepNext/>
              <w:widowControl/>
              <w:jc w:val="center"/>
            </w:pPr>
            <w:r>
              <w:rPr>
                <w:b/>
                <w:sz w:val="18"/>
              </w:rPr>
              <w:t>95% 구간</w:t>
            </w:r>
          </w:p>
        </w:tc>
        <w:tc>
          <w:tcPr>
            <w:tcW w:type="dxa" w:w="1361"/>
            <w:vAlign w:val="center"/>
            <w:shd w:fill="F1F1F1"/>
            <w:tcMar>
              <w:top w:w="65" w:type="dxa"/>
              <w:left w:w="65" w:type="dxa"/>
              <w:bottom w:w="65" w:type="dxa"/>
              <w:right w:w="65" w:type="dxa"/>
            </w:tcMar>
          </w:tcPr>
          <w:p>
            <w:pPr>
              <w:pStyle w:val="TableText"/>
              <w:keepNext/>
              <w:widowControl/>
              <w:jc w:val="center"/>
            </w:pPr>
            <w:r>
              <w:rPr>
                <w:b/>
                <w:sz w:val="18"/>
              </w:rPr>
              <w:t>Holm p</w:t>
            </w:r>
          </w:p>
        </w:tc>
      </w:tr>
      <w:tr>
        <w:trPr>
          <w:cantSplit/>
        </w:trPr>
        <w:tc>
          <w:tcPr>
            <w:tcW w:type="dxa" w:w="680"/>
            <w:vAlign w:val="center"/>
            <w:tcMar>
              <w:top w:w="65" w:type="dxa"/>
              <w:left w:w="65" w:type="dxa"/>
              <w:bottom w:w="65" w:type="dxa"/>
              <w:right w:w="65" w:type="dxa"/>
            </w:tcMar>
          </w:tcPr>
          <w:p>
            <w:pPr>
              <w:pStyle w:val="TableText"/>
              <w:keepNext/>
              <w:widowControl/>
              <w:jc w:val="left"/>
            </w:pPr>
            <w:r>
              <w:rPr>
                <w:b w:val="0"/>
                <w:sz w:val="18"/>
              </w:rPr>
              <w:t>B1</w:t>
            </w:r>
          </w:p>
        </w:tc>
        <w:tc>
          <w:tcPr>
            <w:tcW w:type="dxa" w:w="1814"/>
            <w:vAlign w:val="center"/>
            <w:tcMar>
              <w:top w:w="65" w:type="dxa"/>
              <w:left w:w="65" w:type="dxa"/>
              <w:bottom w:w="65" w:type="dxa"/>
              <w:right w:w="65" w:type="dxa"/>
            </w:tcMar>
          </w:tcPr>
          <w:p>
            <w:pPr>
              <w:pStyle w:val="TableText"/>
              <w:keepNext/>
              <w:widowControl/>
              <w:jc w:val="left"/>
            </w:pPr>
            <w:r>
              <w:rPr>
                <w:b w:val="0"/>
                <w:sz w:val="18"/>
              </w:rPr>
              <w:t>C4R−C4</w:t>
            </w:r>
          </w:p>
        </w:tc>
        <w:tc>
          <w:tcPr>
            <w:tcW w:type="dxa" w:w="1417"/>
            <w:vAlign w:val="center"/>
            <w:tcMar>
              <w:top w:w="65" w:type="dxa"/>
              <w:left w:w="65" w:type="dxa"/>
              <w:bottom w:w="65" w:type="dxa"/>
              <w:right w:w="65" w:type="dxa"/>
            </w:tcMar>
          </w:tcPr>
          <w:p>
            <w:pPr>
              <w:pStyle w:val="TableText"/>
              <w:keepNext/>
              <w:widowControl/>
              <w:jc w:val="left"/>
            </w:pPr>
            <w:r>
              <w:rPr>
                <w:b w:val="0"/>
                <w:sz w:val="18"/>
              </w:rPr>
              <w:t>-0.0033</w:t>
            </w:r>
          </w:p>
        </w:tc>
        <w:tc>
          <w:tcPr>
            <w:tcW w:type="dxa" w:w="2665"/>
            <w:vAlign w:val="center"/>
            <w:tcMar>
              <w:top w:w="65" w:type="dxa"/>
              <w:left w:w="65" w:type="dxa"/>
              <w:bottom w:w="65" w:type="dxa"/>
              <w:right w:w="65" w:type="dxa"/>
            </w:tcMar>
          </w:tcPr>
          <w:p>
            <w:pPr>
              <w:pStyle w:val="TableText"/>
              <w:keepNext/>
              <w:widowControl/>
              <w:jc w:val="left"/>
            </w:pPr>
            <w:r>
              <w:rPr>
                <w:b w:val="0"/>
                <w:sz w:val="18"/>
              </w:rPr>
              <w:t>[-0.0198, +0.0118]</w:t>
            </w:r>
          </w:p>
        </w:tc>
        <w:tc>
          <w:tcPr>
            <w:tcW w:type="dxa" w:w="1361"/>
            <w:vAlign w:val="center"/>
            <w:tcMar>
              <w:top w:w="65" w:type="dxa"/>
              <w:left w:w="65" w:type="dxa"/>
              <w:bottom w:w="65" w:type="dxa"/>
              <w:right w:w="65" w:type="dxa"/>
            </w:tcMar>
          </w:tcPr>
          <w:p>
            <w:pPr>
              <w:pStyle w:val="TableText"/>
              <w:keepNext/>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+0.0396</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[+0.0088, +0.0715]</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0.0624</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+0.0187</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[-0.0016, +0.0409]</w:t>
            </w:r>
          </w:p>
        </w:tc>
        <w:tc>
          <w:tcPr>
            <w:tcW w:type="dxa" w:w="1361"/>
            <w:vAlign w:val="center"/>
            <w:tcMar>
              <w:top w:w="65" w:type="dxa"/>
              <w:left w:w="65" w:type="dxa"/>
              <w:bottom w:w="65" w:type="dxa"/>
              <w:right w:w="65" w:type="dxa"/>
            </w:tcMar>
          </w:tcPr>
          <w:p>
            <w:pPr>
              <w:pStyle w:val="TableText"/>
              <w:keepNext w:val="0"/>
              <w:widowControl/>
              <w:jc w:val="left"/>
            </w:pPr>
            <w:r>
              <w:rPr>
                <w:b w:val="0"/>
                <w:sz w:val="18"/>
              </w:rPr>
              <w:t>0.3720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+0.0310</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[+0.0102, +0.0537]</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0.0238</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C4R−C4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+0.0291</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[+0.0148, +0.0443]</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0.0016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-0.0034</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[-0.0395, +0.0348]</w:t>
            </w:r>
          </w:p>
        </w:tc>
        <w:tc>
          <w:tcPr>
            <w:tcW w:type="dxa" w:w="1361"/>
            <w:vAlign w:val="center"/>
            <w:tcMar>
              <w:top w:w="65" w:type="dxa"/>
              <w:left w:w="65" w:type="dxa"/>
              <w:bottom w:w="65" w:type="dxa"/>
              <w:right w:w="65" w:type="dxa"/>
            </w:tcMar>
          </w:tcPr>
          <w:p>
            <w:pPr>
              <w:pStyle w:val="TableText"/>
              <w:keepNext w:val="0"/>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+0.0072</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[-0.0165, +0.0317]</w:t>
            </w:r>
          </w:p>
        </w:tc>
        <w:tc>
          <w:tcPr>
            <w:tcW w:type="dxa" w:w="1361"/>
            <w:vAlign w:val="center"/>
            <w:tcMar>
              <w:top w:w="65" w:type="dxa"/>
              <w:left w:w="65" w:type="dxa"/>
              <w:bottom w:w="65" w:type="dxa"/>
              <w:right w:w="65" w:type="dxa"/>
            </w:tcMar>
          </w:tcPr>
          <w:p>
            <w:pPr>
              <w:pStyle w:val="TableText"/>
              <w:keepNext w:val="0"/>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+0.0098</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[-0.0161, +0.0360]</w:t>
            </w:r>
          </w:p>
        </w:tc>
        <w:tc>
          <w:tcPr>
            <w:tcW w:type="dxa" w:w="1361"/>
            <w:vAlign w:val="center"/>
            <w:tcMar>
              <w:top w:w="65" w:type="dxa"/>
              <w:left w:w="65" w:type="dxa"/>
              <w:bottom w:w="65" w:type="dxa"/>
              <w:right w:w="65" w:type="dxa"/>
            </w:tcMar>
          </w:tcPr>
          <w:p>
            <w:pPr>
              <w:pStyle w:val="TableText"/>
              <w:keepNext w:val="0"/>
              <w:widowControl/>
              <w:jc w:val="left"/>
            </w:pPr>
            <w:r>
              <w:rPr>
                <w:b w:val="0"/>
                <w:sz w:val="18"/>
              </w:rPr>
              <w:t>1.0000</w:t>
            </w:r>
          </w:p>
        </w:tc>
      </w:tr>
    </w:tbl>
    <w:p>
      <w:pPr>
        <w:pStyle w:val="SourceNote"/>
        <w:widowControl/>
      </w:pPr>
      <w:r>
        <w:t>자료: 기업별 Stage9와 production bootstrap 순서 재현. 표의 반올림 전 값과 family는 동봉 분석 CSV에서 추적한다.</w:t>
      </w:r>
    </w:p>
    <w:p>
      <w:bookmarkStart w:id="250" w:name="head_174"/>
      <w:pPr>
        <w:pStyle w:val="2"/>
        <w:widowControl/>
      </w:pPr>
      <w:r>
        <w:t>E.4 Baseline · Repaired / GPT-5.4-mini</w:t>
      </w:r>
      <w:bookmarkEnd w:id="250"/>
    </w:p>
    <w:p>
      <w:bookmarkStart w:id="251" w:name="cap_77"/>
      <w:pPr>
        <w:pStyle w:val="af"/>
        <w:widowControl/>
      </w:pPr>
      <w:r>
        <w:t>표 E-10. Baseline · Repaired / GPT / Oracle-α</w:t>
      </w:r>
      <w:bookmarkEnd w:id="251"/>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680"/>
        <w:gridCol w:w="1814"/>
        <w:gridCol w:w="1417"/>
        <w:gridCol w:w="2665"/>
        <w:gridCol w:w="1361"/>
      </w:tblGrid>
      <w:tr>
        <w:trPr>
          <w:cantSplit/>
          <w:tblHeader/>
        </w:trPr>
        <w:tc>
          <w:tcPr>
            <w:tcW w:type="dxa" w:w="680"/>
            <w:vAlign w:val="center"/>
            <w:shd w:fill="F1F1F1"/>
            <w:tcMar>
              <w:top w:w="65" w:type="dxa"/>
              <w:left w:w="65" w:type="dxa"/>
              <w:bottom w:w="65" w:type="dxa"/>
              <w:right w:w="65" w:type="dxa"/>
            </w:tcMar>
          </w:tcPr>
          <w:p>
            <w:pPr>
              <w:pStyle w:val="TableText"/>
              <w:keepNext/>
              <w:widowControl/>
              <w:jc w:val="center"/>
            </w:pPr>
            <w:r>
              <w:rPr>
                <w:b/>
                <w:sz w:val="18"/>
              </w:rPr>
              <w:t>예산</w:t>
            </w:r>
          </w:p>
        </w:tc>
        <w:tc>
          <w:tcPr>
            <w:tcW w:type="dxa" w:w="1814"/>
            <w:vAlign w:val="center"/>
            <w:shd w:fill="F1F1F1"/>
            <w:tcMar>
              <w:top w:w="65" w:type="dxa"/>
              <w:left w:w="65" w:type="dxa"/>
              <w:bottom w:w="65" w:type="dxa"/>
              <w:right w:w="65" w:type="dxa"/>
            </w:tcMar>
          </w:tcPr>
          <w:p>
            <w:pPr>
              <w:pStyle w:val="TableText"/>
              <w:keepNext/>
              <w:widowControl/>
              <w:jc w:val="center"/>
            </w:pPr>
            <w:r>
              <w:rPr>
                <w:b/>
                <w:sz w:val="18"/>
              </w:rPr>
              <w:t>대비</w:t>
            </w:r>
          </w:p>
        </w:tc>
        <w:tc>
          <w:tcPr>
            <w:tcW w:type="dxa" w:w="1417"/>
            <w:vAlign w:val="center"/>
            <w:shd w:fill="F1F1F1"/>
            <w:tcMar>
              <w:top w:w="65" w:type="dxa"/>
              <w:left w:w="65" w:type="dxa"/>
              <w:bottom w:w="65" w:type="dxa"/>
              <w:right w:w="65" w:type="dxa"/>
            </w:tcMar>
          </w:tcPr>
          <w:p>
            <w:pPr>
              <w:pStyle w:val="TableText"/>
              <w:keepNext/>
              <w:widowControl/>
              <w:jc w:val="center"/>
            </w:pPr>
            <w:r>
              <w:rPr>
                <w:b/>
                <w:sz w:val="18"/>
              </w:rPr>
              <w:t>평균차</w:t>
            </w:r>
          </w:p>
        </w:tc>
        <w:tc>
          <w:tcPr>
            <w:tcW w:type="dxa" w:w="2665"/>
            <w:vAlign w:val="center"/>
            <w:shd w:fill="F1F1F1"/>
            <w:tcMar>
              <w:top w:w="65" w:type="dxa"/>
              <w:left w:w="65" w:type="dxa"/>
              <w:bottom w:w="65" w:type="dxa"/>
              <w:right w:w="65" w:type="dxa"/>
            </w:tcMar>
          </w:tcPr>
          <w:p>
            <w:pPr>
              <w:pStyle w:val="TableText"/>
              <w:keepNext/>
              <w:widowControl/>
              <w:jc w:val="center"/>
            </w:pPr>
            <w:r>
              <w:rPr>
                <w:b/>
                <w:sz w:val="18"/>
              </w:rPr>
              <w:t>95% 구간</w:t>
            </w:r>
          </w:p>
        </w:tc>
        <w:tc>
          <w:tcPr>
            <w:tcW w:type="dxa" w:w="1361"/>
            <w:vAlign w:val="center"/>
            <w:shd w:fill="F1F1F1"/>
            <w:tcMar>
              <w:top w:w="65" w:type="dxa"/>
              <w:left w:w="65" w:type="dxa"/>
              <w:bottom w:w="65" w:type="dxa"/>
              <w:right w:w="65" w:type="dxa"/>
            </w:tcMar>
          </w:tcPr>
          <w:p>
            <w:pPr>
              <w:pStyle w:val="TableText"/>
              <w:keepNext/>
              <w:widowControl/>
              <w:jc w:val="center"/>
            </w:pPr>
            <w:r>
              <w:rPr>
                <w:b/>
                <w:sz w:val="18"/>
              </w:rPr>
              <w:t>Holm p</w:t>
            </w:r>
          </w:p>
        </w:tc>
      </w:tr>
      <w:tr>
        <w:trPr>
          <w:cantSplit/>
        </w:trPr>
        <w:tc>
          <w:tcPr>
            <w:tcW w:type="dxa" w:w="680"/>
            <w:vAlign w:val="center"/>
            <w:tcMar>
              <w:top w:w="65" w:type="dxa"/>
              <w:left w:w="65" w:type="dxa"/>
              <w:bottom w:w="65" w:type="dxa"/>
              <w:right w:w="65" w:type="dxa"/>
            </w:tcMar>
          </w:tcPr>
          <w:p>
            <w:pPr>
              <w:pStyle w:val="TableText"/>
              <w:keepNext/>
              <w:widowControl/>
              <w:jc w:val="left"/>
            </w:pPr>
            <w:r>
              <w:rPr>
                <w:b w:val="0"/>
                <w:sz w:val="18"/>
              </w:rPr>
              <w:t>B1</w:t>
            </w:r>
          </w:p>
        </w:tc>
        <w:tc>
          <w:tcPr>
            <w:tcW w:type="dxa" w:w="1814"/>
            <w:vAlign w:val="center"/>
            <w:tcMar>
              <w:top w:w="65" w:type="dxa"/>
              <w:left w:w="65" w:type="dxa"/>
              <w:bottom w:w="65" w:type="dxa"/>
              <w:right w:w="65" w:type="dxa"/>
            </w:tcMar>
          </w:tcPr>
          <w:p>
            <w:pPr>
              <w:pStyle w:val="TableText"/>
              <w:keepNext/>
              <w:widowControl/>
              <w:jc w:val="left"/>
            </w:pPr>
            <w:r>
              <w:rPr>
                <w:b w:val="0"/>
                <w:sz w:val="18"/>
              </w:rPr>
              <w:t>C4R−C4</w:t>
            </w:r>
          </w:p>
        </w:tc>
        <w:tc>
          <w:tcPr>
            <w:tcW w:type="dxa" w:w="1417"/>
            <w:vAlign w:val="center"/>
            <w:tcMar>
              <w:top w:w="65" w:type="dxa"/>
              <w:left w:w="65" w:type="dxa"/>
              <w:bottom w:w="65" w:type="dxa"/>
              <w:right w:w="65" w:type="dxa"/>
            </w:tcMar>
          </w:tcPr>
          <w:p>
            <w:pPr>
              <w:pStyle w:val="TableText"/>
              <w:keepNext/>
              <w:widowControl/>
              <w:jc w:val="left"/>
            </w:pPr>
            <w:r>
              <w:rPr>
                <w:b w:val="0"/>
                <w:sz w:val="18"/>
              </w:rPr>
              <w:t>+0.0047</w:t>
            </w:r>
          </w:p>
        </w:tc>
        <w:tc>
          <w:tcPr>
            <w:tcW w:type="dxa" w:w="2665"/>
            <w:vAlign w:val="center"/>
            <w:tcMar>
              <w:top w:w="65" w:type="dxa"/>
              <w:left w:w="65" w:type="dxa"/>
              <w:bottom w:w="65" w:type="dxa"/>
              <w:right w:w="65" w:type="dxa"/>
            </w:tcMar>
          </w:tcPr>
          <w:p>
            <w:pPr>
              <w:pStyle w:val="TableText"/>
              <w:keepNext/>
              <w:widowControl/>
              <w:jc w:val="left"/>
            </w:pPr>
            <w:r>
              <w:rPr>
                <w:b w:val="0"/>
                <w:sz w:val="18"/>
              </w:rPr>
              <w:t>[+0.0000, +0.0122]</w:t>
            </w:r>
          </w:p>
        </w:tc>
        <w:tc>
          <w:tcPr>
            <w:tcW w:type="dxa" w:w="1361"/>
            <w:vAlign w:val="center"/>
            <w:tcMar>
              <w:top w:w="65" w:type="dxa"/>
              <w:left w:w="65" w:type="dxa"/>
              <w:bottom w:w="65" w:type="dxa"/>
              <w:right w:w="65" w:type="dxa"/>
            </w:tcMar>
          </w:tcPr>
          <w:p>
            <w:pPr>
              <w:pStyle w:val="TableText"/>
              <w:keepNext/>
              <w:widowControl/>
              <w:jc w:val="left"/>
            </w:pPr>
            <w:r>
              <w:rPr>
                <w:b w:val="0"/>
                <w:sz w:val="18"/>
              </w:rPr>
              <w:t>0.5303</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+0.0787</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[-0.0115, +0.1691]</w:t>
            </w:r>
          </w:p>
        </w:tc>
        <w:tc>
          <w:tcPr>
            <w:tcW w:type="dxa" w:w="1361"/>
            <w:vAlign w:val="center"/>
            <w:tcMar>
              <w:top w:w="65" w:type="dxa"/>
              <w:left w:w="65" w:type="dxa"/>
              <w:bottom w:w="65" w:type="dxa"/>
              <w:right w:w="65" w:type="dxa"/>
            </w:tcMar>
          </w:tcPr>
          <w:p>
            <w:pPr>
              <w:pStyle w:val="TableText"/>
              <w:keepNext w:val="0"/>
              <w:widowControl/>
              <w:jc w:val="left"/>
            </w:pPr>
            <w:r>
              <w:rPr>
                <w:b w:val="0"/>
                <w:sz w:val="18"/>
              </w:rPr>
              <w:t>0.2496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+0.1936</w:t>
            </w:r>
          </w:p>
        </w:tc>
        <w:tc>
          <w:tcPr>
            <w:tcW w:type="dxa" w:w="2665"/>
            <w:vAlign w:val="center"/>
            <w:tcMar>
              <w:top w:w="65" w:type="dxa"/>
              <w:left w:w="65" w:type="dxa"/>
              <w:bottom w:w="65" w:type="dxa"/>
              <w:right w:w="65" w:type="dxa"/>
            </w:tcMar>
          </w:tcPr>
          <w:p>
            <w:pPr>
              <w:pStyle w:val="TableText"/>
              <w:keepNext w:val="0"/>
              <w:widowControl/>
              <w:jc w:val="left"/>
            </w:pPr>
            <w:r>
              <w:rPr>
                <w:b w:val="0"/>
                <w:sz w:val="18"/>
              </w:rPr>
              <w:t>[+0.1222, +0.2656]</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0.0016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+0.2027</w:t>
            </w:r>
          </w:p>
        </w:tc>
        <w:tc>
          <w:tcPr>
            <w:tcW w:type="dxa" w:w="2665"/>
            <w:vAlign w:val="center"/>
            <w:tcMar>
              <w:top w:w="65" w:type="dxa"/>
              <w:left w:w="65" w:type="dxa"/>
              <w:bottom w:w="65" w:type="dxa"/>
              <w:right w:w="65" w:type="dxa"/>
            </w:tcMar>
          </w:tcPr>
          <w:p>
            <w:pPr>
              <w:pStyle w:val="TableText"/>
              <w:keepNext w:val="0"/>
              <w:widowControl/>
              <w:jc w:val="left"/>
            </w:pPr>
            <w:r>
              <w:rPr>
                <w:b w:val="0"/>
                <w:sz w:val="18"/>
              </w:rPr>
              <w:t>[+0.1120, +0.2949]</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0.0016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C4R−C4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+0.0295</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[+0.0025, +0.0602]</w:t>
            </w:r>
          </w:p>
        </w:tc>
        <w:tc>
          <w:tcPr>
            <w:tcW w:type="dxa" w:w="1361"/>
            <w:vAlign w:val="center"/>
            <w:tcMar>
              <w:top w:w="65" w:type="dxa"/>
              <w:left w:w="65" w:type="dxa"/>
              <w:bottom w:w="65" w:type="dxa"/>
              <w:right w:w="65" w:type="dxa"/>
            </w:tcMar>
          </w:tcPr>
          <w:p>
            <w:pPr>
              <w:pStyle w:val="TableText"/>
              <w:keepNext w:val="0"/>
              <w:widowControl/>
              <w:jc w:val="left"/>
            </w:pPr>
            <w:r>
              <w:rPr>
                <w:b w:val="0"/>
                <w:sz w:val="18"/>
              </w:rPr>
              <w:t>0.1216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+0.0414</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[-0.0551, +0.1409]</w:t>
            </w:r>
          </w:p>
        </w:tc>
        <w:tc>
          <w:tcPr>
            <w:tcW w:type="dxa" w:w="1361"/>
            <w:vAlign w:val="center"/>
            <w:tcMar>
              <w:top w:w="65" w:type="dxa"/>
              <w:left w:w="65" w:type="dxa"/>
              <w:bottom w:w="65" w:type="dxa"/>
              <w:right w:w="65" w:type="dxa"/>
            </w:tcMar>
          </w:tcPr>
          <w:p>
            <w:pPr>
              <w:pStyle w:val="TableText"/>
              <w:keepNext w:val="0"/>
              <w:widowControl/>
              <w:jc w:val="left"/>
            </w:pPr>
            <w:r>
              <w:rPr>
                <w:b w:val="0"/>
                <w:sz w:val="18"/>
              </w:rPr>
              <w:t>0.5303</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+0.2070</w:t>
            </w:r>
          </w:p>
        </w:tc>
        <w:tc>
          <w:tcPr>
            <w:tcW w:type="dxa" w:w="2665"/>
            <w:vAlign w:val="center"/>
            <w:tcMar>
              <w:top w:w="65" w:type="dxa"/>
              <w:left w:w="65" w:type="dxa"/>
              <w:bottom w:w="65" w:type="dxa"/>
              <w:right w:w="65" w:type="dxa"/>
            </w:tcMar>
          </w:tcPr>
          <w:p>
            <w:pPr>
              <w:pStyle w:val="TableText"/>
              <w:keepNext w:val="0"/>
              <w:widowControl/>
              <w:jc w:val="left"/>
            </w:pPr>
            <w:r>
              <w:rPr>
                <w:b w:val="0"/>
                <w:sz w:val="18"/>
              </w:rPr>
              <w:t>[+0.1276, +0.2892]</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0.0016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+0.1572</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[+0.0623, +0.2550]</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0.0080</w:t>
            </w:r>
          </w:p>
        </w:tc>
      </w:tr>
    </w:tbl>
    <w:p>
      <w:pPr>
        <w:pStyle w:val="SourceNote"/>
        <w:widowControl/>
      </w:pPr>
      <w:r>
        <w:t>자료: 기업별 Stage9와 production bootstrap 순서 재현. 표의 반올림 전 값과 family는 동봉 분석 CSV에서 추적한다.</w:t>
      </w:r>
    </w:p>
    <w:p>
      <w:bookmarkStart w:id="252" w:name="cap_78"/>
      <w:pPr>
        <w:pStyle w:val="af"/>
        <w:widowControl/>
      </w:pPr>
      <w:r>
        <w:t>표 E-11. Baseline · Repaired / GPT / Oracle-β</w:t>
      </w:r>
      <w:bookmarkEnd w:id="252"/>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680"/>
        <w:gridCol w:w="1814"/>
        <w:gridCol w:w="1417"/>
        <w:gridCol w:w="2665"/>
        <w:gridCol w:w="1361"/>
      </w:tblGrid>
      <w:tr>
        <w:trPr>
          <w:cantSplit/>
          <w:tblHeader/>
        </w:trPr>
        <w:tc>
          <w:tcPr>
            <w:tcW w:type="dxa" w:w="680"/>
            <w:vAlign w:val="center"/>
            <w:shd w:fill="F1F1F1"/>
            <w:tcMar>
              <w:top w:w="65" w:type="dxa"/>
              <w:left w:w="65" w:type="dxa"/>
              <w:bottom w:w="65" w:type="dxa"/>
              <w:right w:w="65" w:type="dxa"/>
            </w:tcMar>
          </w:tcPr>
          <w:p>
            <w:pPr>
              <w:pStyle w:val="TableText"/>
              <w:keepNext/>
              <w:widowControl/>
              <w:jc w:val="center"/>
            </w:pPr>
            <w:r>
              <w:rPr>
                <w:b/>
                <w:sz w:val="18"/>
              </w:rPr>
              <w:t>예산</w:t>
            </w:r>
          </w:p>
        </w:tc>
        <w:tc>
          <w:tcPr>
            <w:tcW w:type="dxa" w:w="1814"/>
            <w:vAlign w:val="center"/>
            <w:shd w:fill="F1F1F1"/>
            <w:tcMar>
              <w:top w:w="65" w:type="dxa"/>
              <w:left w:w="65" w:type="dxa"/>
              <w:bottom w:w="65" w:type="dxa"/>
              <w:right w:w="65" w:type="dxa"/>
            </w:tcMar>
          </w:tcPr>
          <w:p>
            <w:pPr>
              <w:pStyle w:val="TableText"/>
              <w:keepNext/>
              <w:widowControl/>
              <w:jc w:val="center"/>
            </w:pPr>
            <w:r>
              <w:rPr>
                <w:b/>
                <w:sz w:val="18"/>
              </w:rPr>
              <w:t>대비</w:t>
            </w:r>
          </w:p>
        </w:tc>
        <w:tc>
          <w:tcPr>
            <w:tcW w:type="dxa" w:w="1417"/>
            <w:vAlign w:val="center"/>
            <w:shd w:fill="F1F1F1"/>
            <w:tcMar>
              <w:top w:w="65" w:type="dxa"/>
              <w:left w:w="65" w:type="dxa"/>
              <w:bottom w:w="65" w:type="dxa"/>
              <w:right w:w="65" w:type="dxa"/>
            </w:tcMar>
          </w:tcPr>
          <w:p>
            <w:pPr>
              <w:pStyle w:val="TableText"/>
              <w:keepNext/>
              <w:widowControl/>
              <w:jc w:val="center"/>
            </w:pPr>
            <w:r>
              <w:rPr>
                <w:b/>
                <w:sz w:val="18"/>
              </w:rPr>
              <w:t>평균차</w:t>
            </w:r>
          </w:p>
        </w:tc>
        <w:tc>
          <w:tcPr>
            <w:tcW w:type="dxa" w:w="2665"/>
            <w:vAlign w:val="center"/>
            <w:shd w:fill="F1F1F1"/>
            <w:tcMar>
              <w:top w:w="65" w:type="dxa"/>
              <w:left w:w="65" w:type="dxa"/>
              <w:bottom w:w="65" w:type="dxa"/>
              <w:right w:w="65" w:type="dxa"/>
            </w:tcMar>
          </w:tcPr>
          <w:p>
            <w:pPr>
              <w:pStyle w:val="TableText"/>
              <w:keepNext/>
              <w:widowControl/>
              <w:jc w:val="center"/>
            </w:pPr>
            <w:r>
              <w:rPr>
                <w:b/>
                <w:sz w:val="18"/>
              </w:rPr>
              <w:t>95% 구간</w:t>
            </w:r>
          </w:p>
        </w:tc>
        <w:tc>
          <w:tcPr>
            <w:tcW w:type="dxa" w:w="1361"/>
            <w:vAlign w:val="center"/>
            <w:shd w:fill="F1F1F1"/>
            <w:tcMar>
              <w:top w:w="65" w:type="dxa"/>
              <w:left w:w="65" w:type="dxa"/>
              <w:bottom w:w="65" w:type="dxa"/>
              <w:right w:w="65" w:type="dxa"/>
            </w:tcMar>
          </w:tcPr>
          <w:p>
            <w:pPr>
              <w:pStyle w:val="TableText"/>
              <w:keepNext/>
              <w:widowControl/>
              <w:jc w:val="center"/>
            </w:pPr>
            <w:r>
              <w:rPr>
                <w:b/>
                <w:sz w:val="18"/>
              </w:rPr>
              <w:t>Holm p</w:t>
            </w:r>
          </w:p>
        </w:tc>
      </w:tr>
      <w:tr>
        <w:trPr>
          <w:cantSplit/>
        </w:trPr>
        <w:tc>
          <w:tcPr>
            <w:tcW w:type="dxa" w:w="680"/>
            <w:vAlign w:val="center"/>
            <w:tcMar>
              <w:top w:w="65" w:type="dxa"/>
              <w:left w:w="65" w:type="dxa"/>
              <w:bottom w:w="65" w:type="dxa"/>
              <w:right w:w="65" w:type="dxa"/>
            </w:tcMar>
          </w:tcPr>
          <w:p>
            <w:pPr>
              <w:pStyle w:val="TableText"/>
              <w:keepNext/>
              <w:widowControl/>
              <w:jc w:val="left"/>
            </w:pPr>
            <w:r>
              <w:rPr>
                <w:b w:val="0"/>
                <w:sz w:val="18"/>
              </w:rPr>
              <w:t>B1</w:t>
            </w:r>
          </w:p>
        </w:tc>
        <w:tc>
          <w:tcPr>
            <w:tcW w:type="dxa" w:w="1814"/>
            <w:vAlign w:val="center"/>
            <w:tcMar>
              <w:top w:w="65" w:type="dxa"/>
              <w:left w:w="65" w:type="dxa"/>
              <w:bottom w:w="65" w:type="dxa"/>
              <w:right w:w="65" w:type="dxa"/>
            </w:tcMar>
          </w:tcPr>
          <w:p>
            <w:pPr>
              <w:pStyle w:val="TableText"/>
              <w:keepNext/>
              <w:widowControl/>
              <w:jc w:val="left"/>
            </w:pPr>
            <w:r>
              <w:rPr>
                <w:b w:val="0"/>
                <w:sz w:val="18"/>
              </w:rPr>
              <w:t>C4R−C4</w:t>
            </w:r>
          </w:p>
        </w:tc>
        <w:tc>
          <w:tcPr>
            <w:tcW w:type="dxa" w:w="1417"/>
            <w:vAlign w:val="center"/>
            <w:tcMar>
              <w:top w:w="65" w:type="dxa"/>
              <w:left w:w="65" w:type="dxa"/>
              <w:bottom w:w="65" w:type="dxa"/>
              <w:right w:w="65" w:type="dxa"/>
            </w:tcMar>
          </w:tcPr>
          <w:p>
            <w:pPr>
              <w:pStyle w:val="TableText"/>
              <w:keepNext/>
              <w:widowControl/>
              <w:jc w:val="left"/>
            </w:pPr>
            <w:r>
              <w:rPr>
                <w:b w:val="0"/>
                <w:sz w:val="18"/>
              </w:rPr>
              <w:t>+0.0007</w:t>
            </w:r>
          </w:p>
        </w:tc>
        <w:tc>
          <w:tcPr>
            <w:tcW w:type="dxa" w:w="2665"/>
            <w:vAlign w:val="center"/>
            <w:tcMar>
              <w:top w:w="65" w:type="dxa"/>
              <w:left w:w="65" w:type="dxa"/>
              <w:bottom w:w="65" w:type="dxa"/>
              <w:right w:w="65" w:type="dxa"/>
            </w:tcMar>
          </w:tcPr>
          <w:p>
            <w:pPr>
              <w:pStyle w:val="TableText"/>
              <w:keepNext/>
              <w:widowControl/>
              <w:jc w:val="left"/>
            </w:pPr>
            <w:r>
              <w:rPr>
                <w:b w:val="0"/>
                <w:sz w:val="18"/>
              </w:rPr>
              <w:t>[+0.0001, +0.0016]</w:t>
            </w:r>
          </w:p>
        </w:tc>
        <w:tc>
          <w:tcPr>
            <w:tcW w:type="dxa" w:w="1361"/>
            <w:vAlign w:val="center"/>
            <w:tcMar>
              <w:top w:w="65" w:type="dxa"/>
              <w:left w:w="65" w:type="dxa"/>
              <w:bottom w:w="65" w:type="dxa"/>
              <w:right w:w="65" w:type="dxa"/>
            </w:tcMar>
          </w:tcPr>
          <w:p>
            <w:pPr>
              <w:pStyle w:val="TableText"/>
              <w:keepNext/>
              <w:widowControl/>
              <w:jc w:val="left"/>
            </w:pPr>
            <w:r>
              <w:rPr>
                <w:b w:val="0"/>
                <w:sz w:val="18"/>
              </w:rPr>
              <w:t>0.0240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+0.0308</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[+0.0050, +0.0584]</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0.0980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+0.0504</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[+0.0300, +0.0741]</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0.0016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+0.0281</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[-0.0047, +0.0608]</w:t>
            </w:r>
          </w:p>
        </w:tc>
        <w:tc>
          <w:tcPr>
            <w:tcW w:type="dxa" w:w="1361"/>
            <w:vAlign w:val="center"/>
            <w:tcMar>
              <w:top w:w="65" w:type="dxa"/>
              <w:left w:w="65" w:type="dxa"/>
              <w:bottom w:w="65" w:type="dxa"/>
              <w:right w:w="65" w:type="dxa"/>
            </w:tcMar>
          </w:tcPr>
          <w:p>
            <w:pPr>
              <w:pStyle w:val="TableText"/>
              <w:keepNext w:val="0"/>
              <w:widowControl/>
              <w:jc w:val="left"/>
            </w:pPr>
            <w:r>
              <w:rPr>
                <w:b w:val="0"/>
                <w:sz w:val="18"/>
              </w:rPr>
              <w:t>0.2706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C4R−C4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+0.0050</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[-0.0030, +0.0160]</w:t>
            </w:r>
          </w:p>
        </w:tc>
        <w:tc>
          <w:tcPr>
            <w:tcW w:type="dxa" w:w="1361"/>
            <w:vAlign w:val="center"/>
            <w:tcMar>
              <w:top w:w="65" w:type="dxa"/>
              <w:left w:w="65" w:type="dxa"/>
              <w:bottom w:w="65" w:type="dxa"/>
              <w:right w:w="65" w:type="dxa"/>
            </w:tcMar>
          </w:tcPr>
          <w:p>
            <w:pPr>
              <w:pStyle w:val="TableText"/>
              <w:keepNext w:val="0"/>
              <w:widowControl/>
              <w:jc w:val="left"/>
            </w:pPr>
            <w:r>
              <w:rPr>
                <w:b w:val="0"/>
                <w:sz w:val="18"/>
              </w:rPr>
              <w:t>0.5691</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+0.0111</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[-0.0187, +0.0408]</w:t>
            </w:r>
          </w:p>
        </w:tc>
        <w:tc>
          <w:tcPr>
            <w:tcW w:type="dxa" w:w="1361"/>
            <w:vAlign w:val="center"/>
            <w:tcMar>
              <w:top w:w="65" w:type="dxa"/>
              <w:left w:w="65" w:type="dxa"/>
              <w:bottom w:w="65" w:type="dxa"/>
              <w:right w:w="65" w:type="dxa"/>
            </w:tcMar>
          </w:tcPr>
          <w:p>
            <w:pPr>
              <w:pStyle w:val="TableText"/>
              <w:keepNext w:val="0"/>
              <w:widowControl/>
              <w:jc w:val="left"/>
            </w:pPr>
            <w:r>
              <w:rPr>
                <w:b w:val="0"/>
                <w:sz w:val="18"/>
              </w:rPr>
              <w:t>0.5691</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+0.0569</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[+0.0309, +0.0843]</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0.0016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+0.0323</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[-0.0014, +0.0663]</w:t>
            </w:r>
          </w:p>
        </w:tc>
        <w:tc>
          <w:tcPr>
            <w:tcW w:type="dxa" w:w="1361"/>
            <w:vAlign w:val="center"/>
            <w:tcMar>
              <w:top w:w="65" w:type="dxa"/>
              <w:left w:w="65" w:type="dxa"/>
              <w:bottom w:w="65" w:type="dxa"/>
              <w:right w:w="65" w:type="dxa"/>
            </w:tcMar>
          </w:tcPr>
          <w:p>
            <w:pPr>
              <w:pStyle w:val="TableText"/>
              <w:keepNext w:val="0"/>
              <w:widowControl/>
              <w:jc w:val="left"/>
            </w:pPr>
            <w:r>
              <w:rPr>
                <w:b w:val="0"/>
                <w:sz w:val="18"/>
              </w:rPr>
              <w:t>0.2360</w:t>
            </w:r>
          </w:p>
        </w:tc>
      </w:tr>
    </w:tbl>
    <w:p>
      <w:pPr>
        <w:pStyle w:val="SourceNote"/>
        <w:widowControl/>
      </w:pPr>
      <w:r>
        <w:t>자료: 기업별 Stage9와 production bootstrap 순서 재현. 표의 반올림 전 값과 family는 동봉 분석 CSV에서 추적한다.</w:t>
      </w:r>
    </w:p>
    <w:p>
      <w:bookmarkStart w:id="253" w:name="cap_79"/>
      <w:pPr>
        <w:pStyle w:val="af"/>
        <w:widowControl/>
      </w:pPr>
      <w:r>
        <w:t>표 E-12. Baseline · Repaired / GPT / Oracle-γ</w:t>
      </w:r>
      <w:bookmarkEnd w:id="253"/>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680"/>
        <w:gridCol w:w="1814"/>
        <w:gridCol w:w="1417"/>
        <w:gridCol w:w="2665"/>
        <w:gridCol w:w="1361"/>
      </w:tblGrid>
      <w:tr>
        <w:trPr>
          <w:cantSplit/>
          <w:tblHeader/>
        </w:trPr>
        <w:tc>
          <w:tcPr>
            <w:tcW w:type="dxa" w:w="680"/>
            <w:vAlign w:val="center"/>
            <w:shd w:fill="F1F1F1"/>
            <w:tcMar>
              <w:top w:w="65" w:type="dxa"/>
              <w:left w:w="65" w:type="dxa"/>
              <w:bottom w:w="65" w:type="dxa"/>
              <w:right w:w="65" w:type="dxa"/>
            </w:tcMar>
          </w:tcPr>
          <w:p>
            <w:pPr>
              <w:pStyle w:val="TableText"/>
              <w:keepNext/>
              <w:widowControl/>
              <w:jc w:val="center"/>
            </w:pPr>
            <w:r>
              <w:rPr>
                <w:b/>
                <w:sz w:val="18"/>
              </w:rPr>
              <w:t>예산</w:t>
            </w:r>
          </w:p>
        </w:tc>
        <w:tc>
          <w:tcPr>
            <w:tcW w:type="dxa" w:w="1814"/>
            <w:vAlign w:val="center"/>
            <w:shd w:fill="F1F1F1"/>
            <w:tcMar>
              <w:top w:w="65" w:type="dxa"/>
              <w:left w:w="65" w:type="dxa"/>
              <w:bottom w:w="65" w:type="dxa"/>
              <w:right w:w="65" w:type="dxa"/>
            </w:tcMar>
          </w:tcPr>
          <w:p>
            <w:pPr>
              <w:pStyle w:val="TableText"/>
              <w:keepNext/>
              <w:widowControl/>
              <w:jc w:val="center"/>
            </w:pPr>
            <w:r>
              <w:rPr>
                <w:b/>
                <w:sz w:val="18"/>
              </w:rPr>
              <w:t>대비</w:t>
            </w:r>
          </w:p>
        </w:tc>
        <w:tc>
          <w:tcPr>
            <w:tcW w:type="dxa" w:w="1417"/>
            <w:vAlign w:val="center"/>
            <w:shd w:fill="F1F1F1"/>
            <w:tcMar>
              <w:top w:w="65" w:type="dxa"/>
              <w:left w:w="65" w:type="dxa"/>
              <w:bottom w:w="65" w:type="dxa"/>
              <w:right w:w="65" w:type="dxa"/>
            </w:tcMar>
          </w:tcPr>
          <w:p>
            <w:pPr>
              <w:pStyle w:val="TableText"/>
              <w:keepNext/>
              <w:widowControl/>
              <w:jc w:val="center"/>
            </w:pPr>
            <w:r>
              <w:rPr>
                <w:b/>
                <w:sz w:val="18"/>
              </w:rPr>
              <w:t>평균차</w:t>
            </w:r>
          </w:p>
        </w:tc>
        <w:tc>
          <w:tcPr>
            <w:tcW w:type="dxa" w:w="2665"/>
            <w:vAlign w:val="center"/>
            <w:shd w:fill="F1F1F1"/>
            <w:tcMar>
              <w:top w:w="65" w:type="dxa"/>
              <w:left w:w="65" w:type="dxa"/>
              <w:bottom w:w="65" w:type="dxa"/>
              <w:right w:w="65" w:type="dxa"/>
            </w:tcMar>
          </w:tcPr>
          <w:p>
            <w:pPr>
              <w:pStyle w:val="TableText"/>
              <w:keepNext/>
              <w:widowControl/>
              <w:jc w:val="center"/>
            </w:pPr>
            <w:r>
              <w:rPr>
                <w:b/>
                <w:sz w:val="18"/>
              </w:rPr>
              <w:t>95% 구간</w:t>
            </w:r>
          </w:p>
        </w:tc>
        <w:tc>
          <w:tcPr>
            <w:tcW w:type="dxa" w:w="1361"/>
            <w:vAlign w:val="center"/>
            <w:shd w:fill="F1F1F1"/>
            <w:tcMar>
              <w:top w:w="65" w:type="dxa"/>
              <w:left w:w="65" w:type="dxa"/>
              <w:bottom w:w="65" w:type="dxa"/>
              <w:right w:w="65" w:type="dxa"/>
            </w:tcMar>
          </w:tcPr>
          <w:p>
            <w:pPr>
              <w:pStyle w:val="TableText"/>
              <w:keepNext/>
              <w:widowControl/>
              <w:jc w:val="center"/>
            </w:pPr>
            <w:r>
              <w:rPr>
                <w:b/>
                <w:sz w:val="18"/>
              </w:rPr>
              <w:t>Holm p</w:t>
            </w:r>
          </w:p>
        </w:tc>
      </w:tr>
      <w:tr>
        <w:trPr>
          <w:cantSplit/>
        </w:trPr>
        <w:tc>
          <w:tcPr>
            <w:tcW w:type="dxa" w:w="680"/>
            <w:vAlign w:val="center"/>
            <w:tcMar>
              <w:top w:w="65" w:type="dxa"/>
              <w:left w:w="65" w:type="dxa"/>
              <w:bottom w:w="65" w:type="dxa"/>
              <w:right w:w="65" w:type="dxa"/>
            </w:tcMar>
          </w:tcPr>
          <w:p>
            <w:pPr>
              <w:pStyle w:val="TableText"/>
              <w:keepNext/>
              <w:widowControl/>
              <w:jc w:val="left"/>
            </w:pPr>
            <w:r>
              <w:rPr>
                <w:b w:val="0"/>
                <w:sz w:val="18"/>
              </w:rPr>
              <w:t>B1</w:t>
            </w:r>
          </w:p>
        </w:tc>
        <w:tc>
          <w:tcPr>
            <w:tcW w:type="dxa" w:w="1814"/>
            <w:vAlign w:val="center"/>
            <w:tcMar>
              <w:top w:w="65" w:type="dxa"/>
              <w:left w:w="65" w:type="dxa"/>
              <w:bottom w:w="65" w:type="dxa"/>
              <w:right w:w="65" w:type="dxa"/>
            </w:tcMar>
          </w:tcPr>
          <w:p>
            <w:pPr>
              <w:pStyle w:val="TableText"/>
              <w:keepNext/>
              <w:widowControl/>
              <w:jc w:val="left"/>
            </w:pPr>
            <w:r>
              <w:rPr>
                <w:b w:val="0"/>
                <w:sz w:val="18"/>
              </w:rPr>
              <w:t>C4R−C4</w:t>
            </w:r>
          </w:p>
        </w:tc>
        <w:tc>
          <w:tcPr>
            <w:tcW w:type="dxa" w:w="1417"/>
            <w:vAlign w:val="center"/>
            <w:tcMar>
              <w:top w:w="65" w:type="dxa"/>
              <w:left w:w="65" w:type="dxa"/>
              <w:bottom w:w="65" w:type="dxa"/>
              <w:right w:w="65" w:type="dxa"/>
            </w:tcMar>
          </w:tcPr>
          <w:p>
            <w:pPr>
              <w:pStyle w:val="TableText"/>
              <w:keepNext/>
              <w:widowControl/>
              <w:jc w:val="left"/>
            </w:pPr>
            <w:r>
              <w:rPr>
                <w:b w:val="0"/>
                <w:sz w:val="18"/>
              </w:rPr>
              <w:t>+0.0000</w:t>
            </w:r>
          </w:p>
        </w:tc>
        <w:tc>
          <w:tcPr>
            <w:tcW w:type="dxa" w:w="2665"/>
            <w:vAlign w:val="center"/>
            <w:tcMar>
              <w:top w:w="65" w:type="dxa"/>
              <w:left w:w="65" w:type="dxa"/>
              <w:bottom w:w="65" w:type="dxa"/>
              <w:right w:w="65" w:type="dxa"/>
            </w:tcMar>
          </w:tcPr>
          <w:p>
            <w:pPr>
              <w:pStyle w:val="TableText"/>
              <w:keepNext/>
              <w:widowControl/>
              <w:jc w:val="left"/>
            </w:pPr>
            <w:r>
              <w:rPr>
                <w:b w:val="0"/>
                <w:sz w:val="18"/>
              </w:rPr>
              <w:t>[-0.0007, +0.0009]</w:t>
            </w:r>
          </w:p>
        </w:tc>
        <w:tc>
          <w:tcPr>
            <w:tcW w:type="dxa" w:w="1361"/>
            <w:vAlign w:val="center"/>
            <w:tcMar>
              <w:top w:w="65" w:type="dxa"/>
              <w:left w:w="65" w:type="dxa"/>
              <w:bottom w:w="65" w:type="dxa"/>
              <w:right w:w="65" w:type="dxa"/>
            </w:tcMar>
          </w:tcPr>
          <w:p>
            <w:pPr>
              <w:pStyle w:val="TableText"/>
              <w:keepNext/>
              <w:widowControl/>
              <w:jc w:val="left"/>
            </w:pPr>
            <w:r>
              <w:rPr>
                <w:b w:val="0"/>
                <w:sz w:val="18"/>
              </w:rPr>
              <w:t>0.9617</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+0.0206</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[-0.0186, +0.0600]</w:t>
            </w:r>
          </w:p>
        </w:tc>
        <w:tc>
          <w:tcPr>
            <w:tcW w:type="dxa" w:w="1361"/>
            <w:vAlign w:val="center"/>
            <w:tcMar>
              <w:top w:w="65" w:type="dxa"/>
              <w:left w:w="65" w:type="dxa"/>
              <w:bottom w:w="65" w:type="dxa"/>
              <w:right w:w="65" w:type="dxa"/>
            </w:tcMar>
          </w:tcPr>
          <w:p>
            <w:pPr>
              <w:pStyle w:val="TableText"/>
              <w:keepNext w:val="0"/>
              <w:widowControl/>
              <w:jc w:val="left"/>
            </w:pPr>
            <w:r>
              <w:rPr>
                <w:b w:val="0"/>
                <w:sz w:val="18"/>
              </w:rPr>
              <w:t>0.5611</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+0.0734</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[+0.0385, +0.1106]</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0.0016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+0.0642</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[+0.0272, +0.1031]</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0.0042</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C4R−C4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+0.0092</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[-0.0013, +0.0214]</w:t>
            </w:r>
          </w:p>
        </w:tc>
        <w:tc>
          <w:tcPr>
            <w:tcW w:type="dxa" w:w="1361"/>
            <w:vAlign w:val="center"/>
            <w:tcMar>
              <w:top w:w="65" w:type="dxa"/>
              <w:left w:w="65" w:type="dxa"/>
              <w:bottom w:w="65" w:type="dxa"/>
              <w:right w:w="65" w:type="dxa"/>
            </w:tcMar>
          </w:tcPr>
          <w:p>
            <w:pPr>
              <w:pStyle w:val="TableText"/>
              <w:keepNext w:val="0"/>
              <w:widowControl/>
              <w:jc w:val="left"/>
            </w:pPr>
            <w:r>
              <w:rPr>
                <w:b w:val="0"/>
                <w:sz w:val="18"/>
              </w:rPr>
              <w:t>0.2676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-0.0414</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[-0.0844, +0.0005]</w:t>
            </w:r>
          </w:p>
        </w:tc>
        <w:tc>
          <w:tcPr>
            <w:tcW w:type="dxa" w:w="1361"/>
            <w:vAlign w:val="center"/>
            <w:tcMar>
              <w:top w:w="65" w:type="dxa"/>
              <w:left w:w="65" w:type="dxa"/>
              <w:bottom w:w="65" w:type="dxa"/>
              <w:right w:w="65" w:type="dxa"/>
            </w:tcMar>
          </w:tcPr>
          <w:p>
            <w:pPr>
              <w:pStyle w:val="TableText"/>
              <w:keepNext w:val="0"/>
              <w:widowControl/>
              <w:jc w:val="left"/>
            </w:pPr>
            <w:r>
              <w:rPr>
                <w:b w:val="0"/>
                <w:sz w:val="18"/>
              </w:rPr>
              <w:t>0.2510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+0.0489</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[+0.0146, +0.0848]</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0.0456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+0.0355</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[+0.0000, +0.0714]</w:t>
            </w:r>
          </w:p>
        </w:tc>
        <w:tc>
          <w:tcPr>
            <w:tcW w:type="dxa" w:w="1361"/>
            <w:vAlign w:val="center"/>
            <w:tcMar>
              <w:top w:w="65" w:type="dxa"/>
              <w:left w:w="65" w:type="dxa"/>
              <w:bottom w:w="65" w:type="dxa"/>
              <w:right w:w="65" w:type="dxa"/>
            </w:tcMar>
          </w:tcPr>
          <w:p>
            <w:pPr>
              <w:pStyle w:val="TableText"/>
              <w:keepNext w:val="0"/>
              <w:widowControl/>
              <w:jc w:val="left"/>
            </w:pPr>
            <w:r>
              <w:rPr>
                <w:b w:val="0"/>
                <w:sz w:val="18"/>
              </w:rPr>
              <w:t>0.2510</w:t>
            </w:r>
          </w:p>
        </w:tc>
      </w:tr>
    </w:tbl>
    <w:p>
      <w:pPr>
        <w:pStyle w:val="SourceNote"/>
        <w:widowControl/>
      </w:pPr>
      <w:r>
        <w:t>자료: 기업별 Stage9와 production bootstrap 순서 재현. 표의 반올림 전 값과 family는 동봉 분석 CSV에서 추적한다.</w:t>
      </w:r>
    </w:p>
    <w:p>
      <w:bookmarkStart w:id="254" w:name="head_175"/>
      <w:pPr>
        <w:pStyle w:val="2"/>
        <w:widowControl/>
      </w:pPr>
      <w:r>
        <w:t>E.5 High · Strict / Gemini 3.1 Flash-Lite</w:t>
      </w:r>
      <w:bookmarkEnd w:id="254"/>
    </w:p>
    <w:p>
      <w:bookmarkStart w:id="255" w:name="cap_80"/>
      <w:pPr>
        <w:pStyle w:val="af"/>
        <w:widowControl/>
      </w:pPr>
      <w:r>
        <w:t>표 E-13. High · Strict / Gemini / Oracle-α</w:t>
      </w:r>
      <w:bookmarkEnd w:id="255"/>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680"/>
        <w:gridCol w:w="1814"/>
        <w:gridCol w:w="1417"/>
        <w:gridCol w:w="2665"/>
        <w:gridCol w:w="1361"/>
      </w:tblGrid>
      <w:tr>
        <w:trPr>
          <w:cantSplit/>
          <w:tblHeader/>
        </w:trPr>
        <w:tc>
          <w:tcPr>
            <w:tcW w:type="dxa" w:w="680"/>
            <w:vAlign w:val="center"/>
            <w:shd w:fill="F1F1F1"/>
            <w:tcMar>
              <w:top w:w="65" w:type="dxa"/>
              <w:left w:w="65" w:type="dxa"/>
              <w:bottom w:w="65" w:type="dxa"/>
              <w:right w:w="65" w:type="dxa"/>
            </w:tcMar>
          </w:tcPr>
          <w:p>
            <w:pPr>
              <w:pStyle w:val="TableText"/>
              <w:keepNext/>
              <w:widowControl/>
              <w:jc w:val="center"/>
            </w:pPr>
            <w:r>
              <w:rPr>
                <w:b/>
                <w:sz w:val="18"/>
              </w:rPr>
              <w:t>예산</w:t>
            </w:r>
          </w:p>
        </w:tc>
        <w:tc>
          <w:tcPr>
            <w:tcW w:type="dxa" w:w="1814"/>
            <w:vAlign w:val="center"/>
            <w:shd w:fill="F1F1F1"/>
            <w:tcMar>
              <w:top w:w="65" w:type="dxa"/>
              <w:left w:w="65" w:type="dxa"/>
              <w:bottom w:w="65" w:type="dxa"/>
              <w:right w:w="65" w:type="dxa"/>
            </w:tcMar>
          </w:tcPr>
          <w:p>
            <w:pPr>
              <w:pStyle w:val="TableText"/>
              <w:keepNext/>
              <w:widowControl/>
              <w:jc w:val="center"/>
            </w:pPr>
            <w:r>
              <w:rPr>
                <w:b/>
                <w:sz w:val="18"/>
              </w:rPr>
              <w:t>대비</w:t>
            </w:r>
          </w:p>
        </w:tc>
        <w:tc>
          <w:tcPr>
            <w:tcW w:type="dxa" w:w="1417"/>
            <w:vAlign w:val="center"/>
            <w:shd w:fill="F1F1F1"/>
            <w:tcMar>
              <w:top w:w="65" w:type="dxa"/>
              <w:left w:w="65" w:type="dxa"/>
              <w:bottom w:w="65" w:type="dxa"/>
              <w:right w:w="65" w:type="dxa"/>
            </w:tcMar>
          </w:tcPr>
          <w:p>
            <w:pPr>
              <w:pStyle w:val="TableText"/>
              <w:keepNext/>
              <w:widowControl/>
              <w:jc w:val="center"/>
            </w:pPr>
            <w:r>
              <w:rPr>
                <w:b/>
                <w:sz w:val="18"/>
              </w:rPr>
              <w:t>평균차</w:t>
            </w:r>
          </w:p>
        </w:tc>
        <w:tc>
          <w:tcPr>
            <w:tcW w:type="dxa" w:w="2665"/>
            <w:vAlign w:val="center"/>
            <w:shd w:fill="F1F1F1"/>
            <w:tcMar>
              <w:top w:w="65" w:type="dxa"/>
              <w:left w:w="65" w:type="dxa"/>
              <w:bottom w:w="65" w:type="dxa"/>
              <w:right w:w="65" w:type="dxa"/>
            </w:tcMar>
          </w:tcPr>
          <w:p>
            <w:pPr>
              <w:pStyle w:val="TableText"/>
              <w:keepNext/>
              <w:widowControl/>
              <w:jc w:val="center"/>
            </w:pPr>
            <w:r>
              <w:rPr>
                <w:b/>
                <w:sz w:val="18"/>
              </w:rPr>
              <w:t>95% 구간</w:t>
            </w:r>
          </w:p>
        </w:tc>
        <w:tc>
          <w:tcPr>
            <w:tcW w:type="dxa" w:w="1361"/>
            <w:vAlign w:val="center"/>
            <w:shd w:fill="F1F1F1"/>
            <w:tcMar>
              <w:top w:w="65" w:type="dxa"/>
              <w:left w:w="65" w:type="dxa"/>
              <w:bottom w:w="65" w:type="dxa"/>
              <w:right w:w="65" w:type="dxa"/>
            </w:tcMar>
          </w:tcPr>
          <w:p>
            <w:pPr>
              <w:pStyle w:val="TableText"/>
              <w:keepNext/>
              <w:widowControl/>
              <w:jc w:val="center"/>
            </w:pPr>
            <w:r>
              <w:rPr>
                <w:b/>
                <w:sz w:val="18"/>
              </w:rPr>
              <w:t>Holm p</w:t>
            </w:r>
          </w:p>
        </w:tc>
      </w:tr>
      <w:tr>
        <w:trPr>
          <w:cantSplit/>
        </w:trPr>
        <w:tc>
          <w:tcPr>
            <w:tcW w:type="dxa" w:w="680"/>
            <w:vAlign w:val="center"/>
            <w:tcMar>
              <w:top w:w="65" w:type="dxa"/>
              <w:left w:w="65" w:type="dxa"/>
              <w:bottom w:w="65" w:type="dxa"/>
              <w:right w:w="65" w:type="dxa"/>
            </w:tcMar>
          </w:tcPr>
          <w:p>
            <w:pPr>
              <w:pStyle w:val="TableText"/>
              <w:keepNext/>
              <w:widowControl/>
              <w:jc w:val="left"/>
            </w:pPr>
            <w:r>
              <w:rPr>
                <w:b w:val="0"/>
                <w:sz w:val="18"/>
              </w:rPr>
              <w:t>B1</w:t>
            </w:r>
          </w:p>
        </w:tc>
        <w:tc>
          <w:tcPr>
            <w:tcW w:type="dxa" w:w="1814"/>
            <w:vAlign w:val="center"/>
            <w:tcMar>
              <w:top w:w="65" w:type="dxa"/>
              <w:left w:w="65" w:type="dxa"/>
              <w:bottom w:w="65" w:type="dxa"/>
              <w:right w:w="65" w:type="dxa"/>
            </w:tcMar>
          </w:tcPr>
          <w:p>
            <w:pPr>
              <w:pStyle w:val="TableText"/>
              <w:keepNext/>
              <w:widowControl/>
              <w:jc w:val="left"/>
            </w:pPr>
            <w:r>
              <w:rPr>
                <w:b w:val="0"/>
                <w:sz w:val="18"/>
              </w:rPr>
              <w:t>C4R−C4</w:t>
            </w:r>
          </w:p>
        </w:tc>
        <w:tc>
          <w:tcPr>
            <w:tcW w:type="dxa" w:w="1417"/>
            <w:vAlign w:val="center"/>
            <w:tcMar>
              <w:top w:w="65" w:type="dxa"/>
              <w:left w:w="65" w:type="dxa"/>
              <w:bottom w:w="65" w:type="dxa"/>
              <w:right w:w="65" w:type="dxa"/>
            </w:tcMar>
          </w:tcPr>
          <w:p>
            <w:pPr>
              <w:pStyle w:val="TableText"/>
              <w:keepNext/>
              <w:widowControl/>
              <w:jc w:val="left"/>
            </w:pPr>
            <w:r>
              <w:rPr>
                <w:b w:val="0"/>
                <w:sz w:val="18"/>
              </w:rPr>
              <w:t>-0.0102</w:t>
            </w:r>
          </w:p>
        </w:tc>
        <w:tc>
          <w:tcPr>
            <w:tcW w:type="dxa" w:w="2665"/>
            <w:vAlign w:val="center"/>
            <w:tcMar>
              <w:top w:w="65" w:type="dxa"/>
              <w:left w:w="65" w:type="dxa"/>
              <w:bottom w:w="65" w:type="dxa"/>
              <w:right w:w="65" w:type="dxa"/>
            </w:tcMar>
          </w:tcPr>
          <w:p>
            <w:pPr>
              <w:pStyle w:val="TableText"/>
              <w:keepNext/>
              <w:widowControl/>
              <w:jc w:val="left"/>
            </w:pPr>
            <w:r>
              <w:rPr>
                <w:b w:val="0"/>
                <w:sz w:val="18"/>
              </w:rPr>
              <w:t>[-0.0429, +0.0209]</w:t>
            </w:r>
          </w:p>
        </w:tc>
        <w:tc>
          <w:tcPr>
            <w:tcW w:type="dxa" w:w="1361"/>
            <w:vAlign w:val="center"/>
            <w:tcMar>
              <w:top w:w="65" w:type="dxa"/>
              <w:left w:w="65" w:type="dxa"/>
              <w:bottom w:w="65" w:type="dxa"/>
              <w:right w:w="65" w:type="dxa"/>
            </w:tcMar>
          </w:tcPr>
          <w:p>
            <w:pPr>
              <w:pStyle w:val="TableText"/>
              <w:keepNext/>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+0.0649</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[+0.0051, +0.1250]</w:t>
            </w:r>
          </w:p>
        </w:tc>
        <w:tc>
          <w:tcPr>
            <w:tcW w:type="dxa" w:w="1361"/>
            <w:vAlign w:val="center"/>
            <w:tcMar>
              <w:top w:w="65" w:type="dxa"/>
              <w:left w:w="65" w:type="dxa"/>
              <w:bottom w:w="65" w:type="dxa"/>
              <w:right w:w="65" w:type="dxa"/>
            </w:tcMar>
          </w:tcPr>
          <w:p>
            <w:pPr>
              <w:pStyle w:val="TableText"/>
              <w:keepNext w:val="0"/>
              <w:widowControl/>
              <w:jc w:val="left"/>
            </w:pPr>
            <w:r>
              <w:rPr>
                <w:b w:val="0"/>
                <w:sz w:val="18"/>
              </w:rPr>
              <w:t>0.1848</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+0.0897</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[+0.0408, +0.1405]</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0.0028</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+0.0412</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[-0.0134, +0.0986]</w:t>
            </w:r>
          </w:p>
        </w:tc>
        <w:tc>
          <w:tcPr>
            <w:tcW w:type="dxa" w:w="1361"/>
            <w:vAlign w:val="center"/>
            <w:tcMar>
              <w:top w:w="65" w:type="dxa"/>
              <w:left w:w="65" w:type="dxa"/>
              <w:bottom w:w="65" w:type="dxa"/>
              <w:right w:w="65" w:type="dxa"/>
            </w:tcMar>
          </w:tcPr>
          <w:p>
            <w:pPr>
              <w:pStyle w:val="TableText"/>
              <w:keepNext w:val="0"/>
              <w:widowControl/>
              <w:jc w:val="left"/>
            </w:pPr>
            <w:r>
              <w:rPr>
                <w:b w:val="0"/>
                <w:sz w:val="18"/>
              </w:rPr>
              <w:t>0.6899</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C4R−C4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+0.1449</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[+0.0914, +0.2009]</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0.0016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-0.0652</w:t>
            </w:r>
          </w:p>
        </w:tc>
        <w:tc>
          <w:tcPr>
            <w:tcW w:type="dxa" w:w="2665"/>
            <w:vAlign w:val="center"/>
            <w:tcMar>
              <w:top w:w="65" w:type="dxa"/>
              <w:left w:w="65" w:type="dxa"/>
              <w:bottom w:w="65" w:type="dxa"/>
              <w:right w:w="65" w:type="dxa"/>
            </w:tcMar>
          </w:tcPr>
          <w:p>
            <w:pPr>
              <w:pStyle w:val="TableText"/>
              <w:keepNext w:val="0"/>
              <w:widowControl/>
              <w:jc w:val="left"/>
            </w:pPr>
            <w:r>
              <w:rPr>
                <w:b w:val="0"/>
                <w:sz w:val="18"/>
              </w:rPr>
              <w:t>[-0.1514, +0.0199]</w:t>
            </w:r>
          </w:p>
        </w:tc>
        <w:tc>
          <w:tcPr>
            <w:tcW w:type="dxa" w:w="1361"/>
            <w:vAlign w:val="center"/>
            <w:tcMar>
              <w:top w:w="65" w:type="dxa"/>
              <w:left w:w="65" w:type="dxa"/>
              <w:bottom w:w="65" w:type="dxa"/>
              <w:right w:w="65" w:type="dxa"/>
            </w:tcMar>
          </w:tcPr>
          <w:p>
            <w:pPr>
              <w:pStyle w:val="TableText"/>
              <w:keepNext w:val="0"/>
              <w:widowControl/>
              <w:jc w:val="left"/>
            </w:pPr>
            <w:r>
              <w:rPr>
                <w:b w:val="0"/>
                <w:sz w:val="18"/>
              </w:rPr>
              <w:t>0.6899</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+0.0431</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[-0.0188, +0.1053]</w:t>
            </w:r>
          </w:p>
        </w:tc>
        <w:tc>
          <w:tcPr>
            <w:tcW w:type="dxa" w:w="1361"/>
            <w:vAlign w:val="center"/>
            <w:tcMar>
              <w:top w:w="65" w:type="dxa"/>
              <w:left w:w="65" w:type="dxa"/>
              <w:bottom w:w="65" w:type="dxa"/>
              <w:right w:w="65" w:type="dxa"/>
            </w:tcMar>
          </w:tcPr>
          <w:p>
            <w:pPr>
              <w:pStyle w:val="TableText"/>
              <w:keepNext w:val="0"/>
              <w:widowControl/>
              <w:jc w:val="left"/>
            </w:pPr>
            <w:r>
              <w:rPr>
                <w:b w:val="0"/>
                <w:sz w:val="18"/>
              </w:rPr>
              <w:t>0.6899</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+0.0153</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[-0.0405, +0.0724]</w:t>
            </w:r>
          </w:p>
        </w:tc>
        <w:tc>
          <w:tcPr>
            <w:tcW w:type="dxa" w:w="1361"/>
            <w:vAlign w:val="center"/>
            <w:tcMar>
              <w:top w:w="65" w:type="dxa"/>
              <w:left w:w="65" w:type="dxa"/>
              <w:bottom w:w="65" w:type="dxa"/>
              <w:right w:w="65" w:type="dxa"/>
            </w:tcMar>
          </w:tcPr>
          <w:p>
            <w:pPr>
              <w:pStyle w:val="TableText"/>
              <w:keepNext w:val="0"/>
              <w:widowControl/>
              <w:jc w:val="left"/>
            </w:pPr>
            <w:r>
              <w:rPr>
                <w:b w:val="0"/>
                <w:sz w:val="18"/>
              </w:rPr>
              <w:t>1.0000</w:t>
            </w:r>
          </w:p>
        </w:tc>
      </w:tr>
    </w:tbl>
    <w:p>
      <w:pPr>
        <w:pStyle w:val="SourceNote"/>
        <w:widowControl/>
      </w:pPr>
      <w:r>
        <w:t>자료: 기업별 Stage9와 production bootstrap 순서 재현. 표의 반올림 전 값과 family는 동봉 분석 CSV에서 추적한다.</w:t>
      </w:r>
    </w:p>
    <w:p>
      <w:bookmarkStart w:id="256" w:name="cap_81"/>
      <w:pPr>
        <w:pStyle w:val="af"/>
        <w:widowControl/>
      </w:pPr>
      <w:r>
        <w:t>표 E-14. High · Strict / Gemini / Oracle-β</w:t>
      </w:r>
      <w:bookmarkEnd w:id="256"/>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680"/>
        <w:gridCol w:w="1814"/>
        <w:gridCol w:w="1417"/>
        <w:gridCol w:w="2665"/>
        <w:gridCol w:w="1361"/>
      </w:tblGrid>
      <w:tr>
        <w:trPr>
          <w:cantSplit/>
          <w:tblHeader/>
        </w:trPr>
        <w:tc>
          <w:tcPr>
            <w:tcW w:type="dxa" w:w="680"/>
            <w:vAlign w:val="center"/>
            <w:shd w:fill="F1F1F1"/>
            <w:tcMar>
              <w:top w:w="65" w:type="dxa"/>
              <w:left w:w="65" w:type="dxa"/>
              <w:bottom w:w="65" w:type="dxa"/>
              <w:right w:w="65" w:type="dxa"/>
            </w:tcMar>
          </w:tcPr>
          <w:p>
            <w:pPr>
              <w:pStyle w:val="TableText"/>
              <w:keepNext/>
              <w:widowControl/>
              <w:jc w:val="center"/>
            </w:pPr>
            <w:r>
              <w:rPr>
                <w:b/>
                <w:sz w:val="18"/>
              </w:rPr>
              <w:t>예산</w:t>
            </w:r>
          </w:p>
        </w:tc>
        <w:tc>
          <w:tcPr>
            <w:tcW w:type="dxa" w:w="1814"/>
            <w:vAlign w:val="center"/>
            <w:shd w:fill="F1F1F1"/>
            <w:tcMar>
              <w:top w:w="65" w:type="dxa"/>
              <w:left w:w="65" w:type="dxa"/>
              <w:bottom w:w="65" w:type="dxa"/>
              <w:right w:w="65" w:type="dxa"/>
            </w:tcMar>
          </w:tcPr>
          <w:p>
            <w:pPr>
              <w:pStyle w:val="TableText"/>
              <w:keepNext/>
              <w:widowControl/>
              <w:jc w:val="center"/>
            </w:pPr>
            <w:r>
              <w:rPr>
                <w:b/>
                <w:sz w:val="18"/>
              </w:rPr>
              <w:t>대비</w:t>
            </w:r>
          </w:p>
        </w:tc>
        <w:tc>
          <w:tcPr>
            <w:tcW w:type="dxa" w:w="1417"/>
            <w:vAlign w:val="center"/>
            <w:shd w:fill="F1F1F1"/>
            <w:tcMar>
              <w:top w:w="65" w:type="dxa"/>
              <w:left w:w="65" w:type="dxa"/>
              <w:bottom w:w="65" w:type="dxa"/>
              <w:right w:w="65" w:type="dxa"/>
            </w:tcMar>
          </w:tcPr>
          <w:p>
            <w:pPr>
              <w:pStyle w:val="TableText"/>
              <w:keepNext/>
              <w:widowControl/>
              <w:jc w:val="center"/>
            </w:pPr>
            <w:r>
              <w:rPr>
                <w:b/>
                <w:sz w:val="18"/>
              </w:rPr>
              <w:t>평균차</w:t>
            </w:r>
          </w:p>
        </w:tc>
        <w:tc>
          <w:tcPr>
            <w:tcW w:type="dxa" w:w="2665"/>
            <w:vAlign w:val="center"/>
            <w:shd w:fill="F1F1F1"/>
            <w:tcMar>
              <w:top w:w="65" w:type="dxa"/>
              <w:left w:w="65" w:type="dxa"/>
              <w:bottom w:w="65" w:type="dxa"/>
              <w:right w:w="65" w:type="dxa"/>
            </w:tcMar>
          </w:tcPr>
          <w:p>
            <w:pPr>
              <w:pStyle w:val="TableText"/>
              <w:keepNext/>
              <w:widowControl/>
              <w:jc w:val="center"/>
            </w:pPr>
            <w:r>
              <w:rPr>
                <w:b/>
                <w:sz w:val="18"/>
              </w:rPr>
              <w:t>95% 구간</w:t>
            </w:r>
          </w:p>
        </w:tc>
        <w:tc>
          <w:tcPr>
            <w:tcW w:type="dxa" w:w="1361"/>
            <w:vAlign w:val="center"/>
            <w:shd w:fill="F1F1F1"/>
            <w:tcMar>
              <w:top w:w="65" w:type="dxa"/>
              <w:left w:w="65" w:type="dxa"/>
              <w:bottom w:w="65" w:type="dxa"/>
              <w:right w:w="65" w:type="dxa"/>
            </w:tcMar>
          </w:tcPr>
          <w:p>
            <w:pPr>
              <w:pStyle w:val="TableText"/>
              <w:keepNext/>
              <w:widowControl/>
              <w:jc w:val="center"/>
            </w:pPr>
            <w:r>
              <w:rPr>
                <w:b/>
                <w:sz w:val="18"/>
              </w:rPr>
              <w:t>Holm p</w:t>
            </w:r>
          </w:p>
        </w:tc>
      </w:tr>
      <w:tr>
        <w:trPr>
          <w:cantSplit/>
        </w:trPr>
        <w:tc>
          <w:tcPr>
            <w:tcW w:type="dxa" w:w="680"/>
            <w:vAlign w:val="center"/>
            <w:tcMar>
              <w:top w:w="65" w:type="dxa"/>
              <w:left w:w="65" w:type="dxa"/>
              <w:bottom w:w="65" w:type="dxa"/>
              <w:right w:w="65" w:type="dxa"/>
            </w:tcMar>
          </w:tcPr>
          <w:p>
            <w:pPr>
              <w:pStyle w:val="TableText"/>
              <w:keepNext/>
              <w:widowControl/>
              <w:jc w:val="left"/>
            </w:pPr>
            <w:r>
              <w:rPr>
                <w:b w:val="0"/>
                <w:sz w:val="18"/>
              </w:rPr>
              <w:t>B1</w:t>
            </w:r>
          </w:p>
        </w:tc>
        <w:tc>
          <w:tcPr>
            <w:tcW w:type="dxa" w:w="1814"/>
            <w:vAlign w:val="center"/>
            <w:tcMar>
              <w:top w:w="65" w:type="dxa"/>
              <w:left w:w="65" w:type="dxa"/>
              <w:bottom w:w="65" w:type="dxa"/>
              <w:right w:w="65" w:type="dxa"/>
            </w:tcMar>
          </w:tcPr>
          <w:p>
            <w:pPr>
              <w:pStyle w:val="TableText"/>
              <w:keepNext/>
              <w:widowControl/>
              <w:jc w:val="left"/>
            </w:pPr>
            <w:r>
              <w:rPr>
                <w:b w:val="0"/>
                <w:sz w:val="18"/>
              </w:rPr>
              <w:t>C4R−C4</w:t>
            </w:r>
          </w:p>
        </w:tc>
        <w:tc>
          <w:tcPr>
            <w:tcW w:type="dxa" w:w="1417"/>
            <w:vAlign w:val="center"/>
            <w:tcMar>
              <w:top w:w="65" w:type="dxa"/>
              <w:left w:w="65" w:type="dxa"/>
              <w:bottom w:w="65" w:type="dxa"/>
              <w:right w:w="65" w:type="dxa"/>
            </w:tcMar>
          </w:tcPr>
          <w:p>
            <w:pPr>
              <w:pStyle w:val="TableText"/>
              <w:keepNext/>
              <w:widowControl/>
              <w:jc w:val="left"/>
            </w:pPr>
            <w:r>
              <w:rPr>
                <w:b w:val="0"/>
                <w:sz w:val="18"/>
              </w:rPr>
              <w:t>-0.0013</w:t>
            </w:r>
          </w:p>
        </w:tc>
        <w:tc>
          <w:tcPr>
            <w:tcW w:type="dxa" w:w="2665"/>
            <w:vAlign w:val="center"/>
            <w:tcMar>
              <w:top w:w="65" w:type="dxa"/>
              <w:left w:w="65" w:type="dxa"/>
              <w:bottom w:w="65" w:type="dxa"/>
              <w:right w:w="65" w:type="dxa"/>
            </w:tcMar>
          </w:tcPr>
          <w:p>
            <w:pPr>
              <w:pStyle w:val="TableText"/>
              <w:keepNext/>
              <w:widowControl/>
              <w:jc w:val="left"/>
            </w:pPr>
            <w:r>
              <w:rPr>
                <w:b w:val="0"/>
                <w:sz w:val="18"/>
              </w:rPr>
              <w:t>[-0.0041, +0.0013]</w:t>
            </w:r>
          </w:p>
        </w:tc>
        <w:tc>
          <w:tcPr>
            <w:tcW w:type="dxa" w:w="1361"/>
            <w:vAlign w:val="center"/>
            <w:tcMar>
              <w:top w:w="65" w:type="dxa"/>
              <w:left w:w="65" w:type="dxa"/>
              <w:bottom w:w="65" w:type="dxa"/>
              <w:right w:w="65" w:type="dxa"/>
            </w:tcMar>
          </w:tcPr>
          <w:p>
            <w:pPr>
              <w:pStyle w:val="TableText"/>
              <w:keepNext/>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+0.0140</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[-0.0048, +0.0348]</w:t>
            </w:r>
          </w:p>
        </w:tc>
        <w:tc>
          <w:tcPr>
            <w:tcW w:type="dxa" w:w="1361"/>
            <w:vAlign w:val="center"/>
            <w:tcMar>
              <w:top w:w="65" w:type="dxa"/>
              <w:left w:w="65" w:type="dxa"/>
              <w:bottom w:w="65" w:type="dxa"/>
              <w:right w:w="65" w:type="dxa"/>
            </w:tcMar>
          </w:tcPr>
          <w:p>
            <w:pPr>
              <w:pStyle w:val="TableText"/>
              <w:keepNext w:val="0"/>
              <w:widowControl/>
              <w:jc w:val="left"/>
            </w:pPr>
            <w:r>
              <w:rPr>
                <w:b w:val="0"/>
                <w:sz w:val="18"/>
              </w:rPr>
              <w:t>0.9095</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+0.0156</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[+0.0060, +0.0283]</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0.0056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+0.0043</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[-0.0021, +0.0105]</w:t>
            </w:r>
          </w:p>
        </w:tc>
        <w:tc>
          <w:tcPr>
            <w:tcW w:type="dxa" w:w="1361"/>
            <w:vAlign w:val="center"/>
            <w:tcMar>
              <w:top w:w="65" w:type="dxa"/>
              <w:left w:w="65" w:type="dxa"/>
              <w:bottom w:w="65" w:type="dxa"/>
              <w:right w:w="65" w:type="dxa"/>
            </w:tcMar>
          </w:tcPr>
          <w:p>
            <w:pPr>
              <w:pStyle w:val="TableText"/>
              <w:keepNext w:val="0"/>
              <w:widowControl/>
              <w:jc w:val="left"/>
            </w:pPr>
            <w:r>
              <w:rPr>
                <w:b w:val="0"/>
                <w:sz w:val="18"/>
              </w:rPr>
              <w:t>0.9095</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C4R−C4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+0.0302</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[+0.0141, +0.0513]</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0.0016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-0.0008</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[-0.0338, +0.0327]</w:t>
            </w:r>
          </w:p>
        </w:tc>
        <w:tc>
          <w:tcPr>
            <w:tcW w:type="dxa" w:w="1361"/>
            <w:vAlign w:val="center"/>
            <w:tcMar>
              <w:top w:w="65" w:type="dxa"/>
              <w:left w:w="65" w:type="dxa"/>
              <w:bottom w:w="65" w:type="dxa"/>
              <w:right w:w="65" w:type="dxa"/>
            </w:tcMar>
          </w:tcPr>
          <w:p>
            <w:pPr>
              <w:pStyle w:val="TableText"/>
              <w:keepNext w:val="0"/>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+0.0120</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[-0.0157, +0.0389]</w:t>
            </w:r>
          </w:p>
        </w:tc>
        <w:tc>
          <w:tcPr>
            <w:tcW w:type="dxa" w:w="1361"/>
            <w:vAlign w:val="center"/>
            <w:tcMar>
              <w:top w:w="65" w:type="dxa"/>
              <w:left w:w="65" w:type="dxa"/>
              <w:bottom w:w="65" w:type="dxa"/>
              <w:right w:w="65" w:type="dxa"/>
            </w:tcMar>
          </w:tcPr>
          <w:p>
            <w:pPr>
              <w:pStyle w:val="TableText"/>
              <w:keepNext w:val="0"/>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-0.0002</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[-0.0192, +0.0149]</w:t>
            </w:r>
          </w:p>
        </w:tc>
        <w:tc>
          <w:tcPr>
            <w:tcW w:type="dxa" w:w="1361"/>
            <w:vAlign w:val="center"/>
            <w:tcMar>
              <w:top w:w="65" w:type="dxa"/>
              <w:left w:w="65" w:type="dxa"/>
              <w:bottom w:w="65" w:type="dxa"/>
              <w:right w:w="65" w:type="dxa"/>
            </w:tcMar>
          </w:tcPr>
          <w:p>
            <w:pPr>
              <w:pStyle w:val="TableText"/>
              <w:keepNext w:val="0"/>
              <w:widowControl/>
              <w:jc w:val="left"/>
            </w:pPr>
            <w:r>
              <w:rPr>
                <w:b w:val="0"/>
                <w:sz w:val="18"/>
              </w:rPr>
              <w:t>1.0000</w:t>
            </w:r>
          </w:p>
        </w:tc>
      </w:tr>
    </w:tbl>
    <w:p>
      <w:pPr>
        <w:pStyle w:val="SourceNote"/>
        <w:widowControl/>
      </w:pPr>
      <w:r>
        <w:t>자료: 기업별 Stage9와 production bootstrap 순서 재현. 표의 반올림 전 값과 family는 동봉 분석 CSV에서 추적한다.</w:t>
      </w:r>
    </w:p>
    <w:p>
      <w:bookmarkStart w:id="257" w:name="cap_82"/>
      <w:pPr>
        <w:pStyle w:val="af"/>
        <w:widowControl/>
      </w:pPr>
      <w:r>
        <w:t>표 E-15. High · Strict / Gemini / Oracle-γ</w:t>
      </w:r>
      <w:bookmarkEnd w:id="257"/>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680"/>
        <w:gridCol w:w="1814"/>
        <w:gridCol w:w="1417"/>
        <w:gridCol w:w="2665"/>
        <w:gridCol w:w="1361"/>
      </w:tblGrid>
      <w:tr>
        <w:trPr>
          <w:cantSplit/>
          <w:tblHeader/>
        </w:trPr>
        <w:tc>
          <w:tcPr>
            <w:tcW w:type="dxa" w:w="680"/>
            <w:vAlign w:val="center"/>
            <w:shd w:fill="F1F1F1"/>
            <w:tcMar>
              <w:top w:w="65" w:type="dxa"/>
              <w:left w:w="65" w:type="dxa"/>
              <w:bottom w:w="65" w:type="dxa"/>
              <w:right w:w="65" w:type="dxa"/>
            </w:tcMar>
          </w:tcPr>
          <w:p>
            <w:pPr>
              <w:pStyle w:val="TableText"/>
              <w:keepNext/>
              <w:widowControl/>
              <w:jc w:val="center"/>
            </w:pPr>
            <w:r>
              <w:rPr>
                <w:b/>
                <w:sz w:val="18"/>
              </w:rPr>
              <w:t>예산</w:t>
            </w:r>
          </w:p>
        </w:tc>
        <w:tc>
          <w:tcPr>
            <w:tcW w:type="dxa" w:w="1814"/>
            <w:vAlign w:val="center"/>
            <w:shd w:fill="F1F1F1"/>
            <w:tcMar>
              <w:top w:w="65" w:type="dxa"/>
              <w:left w:w="65" w:type="dxa"/>
              <w:bottom w:w="65" w:type="dxa"/>
              <w:right w:w="65" w:type="dxa"/>
            </w:tcMar>
          </w:tcPr>
          <w:p>
            <w:pPr>
              <w:pStyle w:val="TableText"/>
              <w:keepNext/>
              <w:widowControl/>
              <w:jc w:val="center"/>
            </w:pPr>
            <w:r>
              <w:rPr>
                <w:b/>
                <w:sz w:val="18"/>
              </w:rPr>
              <w:t>대비</w:t>
            </w:r>
          </w:p>
        </w:tc>
        <w:tc>
          <w:tcPr>
            <w:tcW w:type="dxa" w:w="1417"/>
            <w:vAlign w:val="center"/>
            <w:shd w:fill="F1F1F1"/>
            <w:tcMar>
              <w:top w:w="65" w:type="dxa"/>
              <w:left w:w="65" w:type="dxa"/>
              <w:bottom w:w="65" w:type="dxa"/>
              <w:right w:w="65" w:type="dxa"/>
            </w:tcMar>
          </w:tcPr>
          <w:p>
            <w:pPr>
              <w:pStyle w:val="TableText"/>
              <w:keepNext/>
              <w:widowControl/>
              <w:jc w:val="center"/>
            </w:pPr>
            <w:r>
              <w:rPr>
                <w:b/>
                <w:sz w:val="18"/>
              </w:rPr>
              <w:t>평균차</w:t>
            </w:r>
          </w:p>
        </w:tc>
        <w:tc>
          <w:tcPr>
            <w:tcW w:type="dxa" w:w="2665"/>
            <w:vAlign w:val="center"/>
            <w:shd w:fill="F1F1F1"/>
            <w:tcMar>
              <w:top w:w="65" w:type="dxa"/>
              <w:left w:w="65" w:type="dxa"/>
              <w:bottom w:w="65" w:type="dxa"/>
              <w:right w:w="65" w:type="dxa"/>
            </w:tcMar>
          </w:tcPr>
          <w:p>
            <w:pPr>
              <w:pStyle w:val="TableText"/>
              <w:keepNext/>
              <w:widowControl/>
              <w:jc w:val="center"/>
            </w:pPr>
            <w:r>
              <w:rPr>
                <w:b/>
                <w:sz w:val="18"/>
              </w:rPr>
              <w:t>95% 구간</w:t>
            </w:r>
          </w:p>
        </w:tc>
        <w:tc>
          <w:tcPr>
            <w:tcW w:type="dxa" w:w="1361"/>
            <w:vAlign w:val="center"/>
            <w:shd w:fill="F1F1F1"/>
            <w:tcMar>
              <w:top w:w="65" w:type="dxa"/>
              <w:left w:w="65" w:type="dxa"/>
              <w:bottom w:w="65" w:type="dxa"/>
              <w:right w:w="65" w:type="dxa"/>
            </w:tcMar>
          </w:tcPr>
          <w:p>
            <w:pPr>
              <w:pStyle w:val="TableText"/>
              <w:keepNext/>
              <w:widowControl/>
              <w:jc w:val="center"/>
            </w:pPr>
            <w:r>
              <w:rPr>
                <w:b/>
                <w:sz w:val="18"/>
              </w:rPr>
              <w:t>Holm p</w:t>
            </w:r>
          </w:p>
        </w:tc>
      </w:tr>
      <w:tr>
        <w:trPr>
          <w:cantSplit/>
        </w:trPr>
        <w:tc>
          <w:tcPr>
            <w:tcW w:type="dxa" w:w="680"/>
            <w:vAlign w:val="center"/>
            <w:tcMar>
              <w:top w:w="65" w:type="dxa"/>
              <w:left w:w="65" w:type="dxa"/>
              <w:bottom w:w="65" w:type="dxa"/>
              <w:right w:w="65" w:type="dxa"/>
            </w:tcMar>
          </w:tcPr>
          <w:p>
            <w:pPr>
              <w:pStyle w:val="TableText"/>
              <w:keepNext/>
              <w:widowControl/>
              <w:jc w:val="left"/>
            </w:pPr>
            <w:r>
              <w:rPr>
                <w:b w:val="0"/>
                <w:sz w:val="18"/>
              </w:rPr>
              <w:t>B1</w:t>
            </w:r>
          </w:p>
        </w:tc>
        <w:tc>
          <w:tcPr>
            <w:tcW w:type="dxa" w:w="1814"/>
            <w:vAlign w:val="center"/>
            <w:tcMar>
              <w:top w:w="65" w:type="dxa"/>
              <w:left w:w="65" w:type="dxa"/>
              <w:bottom w:w="65" w:type="dxa"/>
              <w:right w:w="65" w:type="dxa"/>
            </w:tcMar>
          </w:tcPr>
          <w:p>
            <w:pPr>
              <w:pStyle w:val="TableText"/>
              <w:keepNext/>
              <w:widowControl/>
              <w:jc w:val="left"/>
            </w:pPr>
            <w:r>
              <w:rPr>
                <w:b w:val="0"/>
                <w:sz w:val="18"/>
              </w:rPr>
              <w:t>C4R−C4</w:t>
            </w:r>
          </w:p>
        </w:tc>
        <w:tc>
          <w:tcPr>
            <w:tcW w:type="dxa" w:w="1417"/>
            <w:vAlign w:val="center"/>
            <w:tcMar>
              <w:top w:w="65" w:type="dxa"/>
              <w:left w:w="65" w:type="dxa"/>
              <w:bottom w:w="65" w:type="dxa"/>
              <w:right w:w="65" w:type="dxa"/>
            </w:tcMar>
          </w:tcPr>
          <w:p>
            <w:pPr>
              <w:pStyle w:val="TableText"/>
              <w:keepNext/>
              <w:widowControl/>
              <w:jc w:val="left"/>
            </w:pPr>
            <w:r>
              <w:rPr>
                <w:b w:val="0"/>
                <w:sz w:val="18"/>
              </w:rPr>
              <w:t>+0.0036</w:t>
            </w:r>
          </w:p>
        </w:tc>
        <w:tc>
          <w:tcPr>
            <w:tcW w:type="dxa" w:w="2665"/>
            <w:vAlign w:val="center"/>
            <w:tcMar>
              <w:top w:w="65" w:type="dxa"/>
              <w:left w:w="65" w:type="dxa"/>
              <w:bottom w:w="65" w:type="dxa"/>
              <w:right w:w="65" w:type="dxa"/>
            </w:tcMar>
          </w:tcPr>
          <w:p>
            <w:pPr>
              <w:pStyle w:val="TableText"/>
              <w:keepNext/>
              <w:widowControl/>
              <w:jc w:val="left"/>
            </w:pPr>
            <w:r>
              <w:rPr>
                <w:b w:val="0"/>
                <w:sz w:val="18"/>
              </w:rPr>
              <w:t>[-0.0087, +0.0163]</w:t>
            </w:r>
          </w:p>
        </w:tc>
        <w:tc>
          <w:tcPr>
            <w:tcW w:type="dxa" w:w="1361"/>
            <w:vAlign w:val="center"/>
            <w:tcMar>
              <w:top w:w="65" w:type="dxa"/>
              <w:left w:w="65" w:type="dxa"/>
              <w:bottom w:w="65" w:type="dxa"/>
              <w:right w:w="65" w:type="dxa"/>
            </w:tcMar>
          </w:tcPr>
          <w:p>
            <w:pPr>
              <w:pStyle w:val="TableText"/>
              <w:keepNext/>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+0.0144</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[-0.0153, +0.0437]</w:t>
            </w:r>
          </w:p>
        </w:tc>
        <w:tc>
          <w:tcPr>
            <w:tcW w:type="dxa" w:w="1361"/>
            <w:vAlign w:val="center"/>
            <w:tcMar>
              <w:top w:w="65" w:type="dxa"/>
              <w:left w:w="65" w:type="dxa"/>
              <w:bottom w:w="65" w:type="dxa"/>
              <w:right w:w="65" w:type="dxa"/>
            </w:tcMar>
          </w:tcPr>
          <w:p>
            <w:pPr>
              <w:pStyle w:val="TableText"/>
              <w:keepNext w:val="0"/>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+0.0222</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[+0.0019, +0.0444]</w:t>
            </w:r>
          </w:p>
        </w:tc>
        <w:tc>
          <w:tcPr>
            <w:tcW w:type="dxa" w:w="1361"/>
            <w:vAlign w:val="center"/>
            <w:tcMar>
              <w:top w:w="65" w:type="dxa"/>
              <w:left w:w="65" w:type="dxa"/>
              <w:bottom w:w="65" w:type="dxa"/>
              <w:right w:w="65" w:type="dxa"/>
            </w:tcMar>
          </w:tcPr>
          <w:p>
            <w:pPr>
              <w:pStyle w:val="TableText"/>
              <w:keepNext w:val="0"/>
              <w:widowControl/>
              <w:jc w:val="left"/>
            </w:pPr>
            <w:r>
              <w:rPr>
                <w:b w:val="0"/>
                <w:sz w:val="18"/>
              </w:rPr>
              <w:t>0.2226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+0.0114</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[-0.0108, +0.0344]</w:t>
            </w:r>
          </w:p>
        </w:tc>
        <w:tc>
          <w:tcPr>
            <w:tcW w:type="dxa" w:w="1361"/>
            <w:vAlign w:val="center"/>
            <w:tcMar>
              <w:top w:w="65" w:type="dxa"/>
              <w:left w:w="65" w:type="dxa"/>
              <w:bottom w:w="65" w:type="dxa"/>
              <w:right w:w="65" w:type="dxa"/>
            </w:tcMar>
          </w:tcPr>
          <w:p>
            <w:pPr>
              <w:pStyle w:val="TableText"/>
              <w:keepNext w:val="0"/>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C4R−C4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+0.0122</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[-0.0019, +0.0272]</w:t>
            </w:r>
          </w:p>
        </w:tc>
        <w:tc>
          <w:tcPr>
            <w:tcW w:type="dxa" w:w="1361"/>
            <w:vAlign w:val="center"/>
            <w:tcMar>
              <w:top w:w="65" w:type="dxa"/>
              <w:left w:w="65" w:type="dxa"/>
              <w:bottom w:w="65" w:type="dxa"/>
              <w:right w:w="65" w:type="dxa"/>
            </w:tcMar>
          </w:tcPr>
          <w:p>
            <w:pPr>
              <w:pStyle w:val="TableText"/>
              <w:keepNext w:val="0"/>
              <w:widowControl/>
              <w:jc w:val="left"/>
            </w:pPr>
            <w:r>
              <w:rPr>
                <w:b w:val="0"/>
                <w:sz w:val="18"/>
              </w:rPr>
              <w:t>0.4760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-0.0185</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[-0.0549, +0.0167]</w:t>
            </w:r>
          </w:p>
        </w:tc>
        <w:tc>
          <w:tcPr>
            <w:tcW w:type="dxa" w:w="1361"/>
            <w:vAlign w:val="center"/>
            <w:tcMar>
              <w:top w:w="65" w:type="dxa"/>
              <w:left w:w="65" w:type="dxa"/>
              <w:bottom w:w="65" w:type="dxa"/>
              <w:right w:w="65" w:type="dxa"/>
            </w:tcMar>
          </w:tcPr>
          <w:p>
            <w:pPr>
              <w:pStyle w:val="TableText"/>
              <w:keepNext w:val="0"/>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+0.0427</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[+0.0221, +0.0646]</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0.0016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+0.0228</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[+0.0019, +0.0452]</w:t>
            </w:r>
          </w:p>
        </w:tc>
        <w:tc>
          <w:tcPr>
            <w:tcW w:type="dxa" w:w="1361"/>
            <w:vAlign w:val="center"/>
            <w:tcMar>
              <w:top w:w="65" w:type="dxa"/>
              <w:left w:w="65" w:type="dxa"/>
              <w:bottom w:w="65" w:type="dxa"/>
              <w:right w:w="65" w:type="dxa"/>
            </w:tcMar>
          </w:tcPr>
          <w:p>
            <w:pPr>
              <w:pStyle w:val="TableText"/>
              <w:keepNext w:val="0"/>
              <w:widowControl/>
              <w:jc w:val="left"/>
            </w:pPr>
            <w:r>
              <w:rPr>
                <w:b w:val="0"/>
                <w:sz w:val="18"/>
              </w:rPr>
              <w:t>0.2226</w:t>
            </w:r>
          </w:p>
        </w:tc>
      </w:tr>
    </w:tbl>
    <w:p>
      <w:pPr>
        <w:pStyle w:val="SourceNote"/>
        <w:widowControl/>
      </w:pPr>
      <w:r>
        <w:t>자료: 기업별 Stage9와 production bootstrap 순서 재현. 표의 반올림 전 값과 family는 동봉 분석 CSV에서 추적한다.</w:t>
      </w:r>
    </w:p>
    <w:p>
      <w:bookmarkStart w:id="258" w:name="head_176"/>
      <w:pPr>
        <w:pStyle w:val="2"/>
        <w:widowControl/>
      </w:pPr>
      <w:r>
        <w:t>E.6 High · Strict / GPT-5.4-mini</w:t>
      </w:r>
      <w:bookmarkEnd w:id="258"/>
    </w:p>
    <w:p>
      <w:bookmarkStart w:id="259" w:name="cap_83"/>
      <w:pPr>
        <w:pStyle w:val="af"/>
        <w:widowControl/>
      </w:pPr>
      <w:r>
        <w:t>표 E-16. High · Strict / GPT / Oracle-α</w:t>
      </w:r>
      <w:bookmarkEnd w:id="259"/>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680"/>
        <w:gridCol w:w="1814"/>
        <w:gridCol w:w="1417"/>
        <w:gridCol w:w="2665"/>
        <w:gridCol w:w="1361"/>
      </w:tblGrid>
      <w:tr>
        <w:trPr>
          <w:cantSplit/>
          <w:tblHeader/>
        </w:trPr>
        <w:tc>
          <w:tcPr>
            <w:tcW w:type="dxa" w:w="680"/>
            <w:vAlign w:val="center"/>
            <w:shd w:fill="F1F1F1"/>
            <w:tcMar>
              <w:top w:w="65" w:type="dxa"/>
              <w:left w:w="65" w:type="dxa"/>
              <w:bottom w:w="65" w:type="dxa"/>
              <w:right w:w="65" w:type="dxa"/>
            </w:tcMar>
          </w:tcPr>
          <w:p>
            <w:pPr>
              <w:pStyle w:val="TableText"/>
              <w:keepNext/>
              <w:widowControl/>
              <w:jc w:val="center"/>
            </w:pPr>
            <w:r>
              <w:rPr>
                <w:b/>
                <w:sz w:val="18"/>
              </w:rPr>
              <w:t>예산</w:t>
            </w:r>
          </w:p>
        </w:tc>
        <w:tc>
          <w:tcPr>
            <w:tcW w:type="dxa" w:w="1814"/>
            <w:vAlign w:val="center"/>
            <w:shd w:fill="F1F1F1"/>
            <w:tcMar>
              <w:top w:w="65" w:type="dxa"/>
              <w:left w:w="65" w:type="dxa"/>
              <w:bottom w:w="65" w:type="dxa"/>
              <w:right w:w="65" w:type="dxa"/>
            </w:tcMar>
          </w:tcPr>
          <w:p>
            <w:pPr>
              <w:pStyle w:val="TableText"/>
              <w:keepNext/>
              <w:widowControl/>
              <w:jc w:val="center"/>
            </w:pPr>
            <w:r>
              <w:rPr>
                <w:b/>
                <w:sz w:val="18"/>
              </w:rPr>
              <w:t>대비</w:t>
            </w:r>
          </w:p>
        </w:tc>
        <w:tc>
          <w:tcPr>
            <w:tcW w:type="dxa" w:w="1417"/>
            <w:vAlign w:val="center"/>
            <w:shd w:fill="F1F1F1"/>
            <w:tcMar>
              <w:top w:w="65" w:type="dxa"/>
              <w:left w:w="65" w:type="dxa"/>
              <w:bottom w:w="65" w:type="dxa"/>
              <w:right w:w="65" w:type="dxa"/>
            </w:tcMar>
          </w:tcPr>
          <w:p>
            <w:pPr>
              <w:pStyle w:val="TableText"/>
              <w:keepNext/>
              <w:widowControl/>
              <w:jc w:val="center"/>
            </w:pPr>
            <w:r>
              <w:rPr>
                <w:b/>
                <w:sz w:val="18"/>
              </w:rPr>
              <w:t>평균차</w:t>
            </w:r>
          </w:p>
        </w:tc>
        <w:tc>
          <w:tcPr>
            <w:tcW w:type="dxa" w:w="2665"/>
            <w:vAlign w:val="center"/>
            <w:shd w:fill="F1F1F1"/>
            <w:tcMar>
              <w:top w:w="65" w:type="dxa"/>
              <w:left w:w="65" w:type="dxa"/>
              <w:bottom w:w="65" w:type="dxa"/>
              <w:right w:w="65" w:type="dxa"/>
            </w:tcMar>
          </w:tcPr>
          <w:p>
            <w:pPr>
              <w:pStyle w:val="TableText"/>
              <w:keepNext/>
              <w:widowControl/>
              <w:jc w:val="center"/>
            </w:pPr>
            <w:r>
              <w:rPr>
                <w:b/>
                <w:sz w:val="18"/>
              </w:rPr>
              <w:t>95% 구간</w:t>
            </w:r>
          </w:p>
        </w:tc>
        <w:tc>
          <w:tcPr>
            <w:tcW w:type="dxa" w:w="1361"/>
            <w:vAlign w:val="center"/>
            <w:shd w:fill="F1F1F1"/>
            <w:tcMar>
              <w:top w:w="65" w:type="dxa"/>
              <w:left w:w="65" w:type="dxa"/>
              <w:bottom w:w="65" w:type="dxa"/>
              <w:right w:w="65" w:type="dxa"/>
            </w:tcMar>
          </w:tcPr>
          <w:p>
            <w:pPr>
              <w:pStyle w:val="TableText"/>
              <w:keepNext/>
              <w:widowControl/>
              <w:jc w:val="center"/>
            </w:pPr>
            <w:r>
              <w:rPr>
                <w:b/>
                <w:sz w:val="18"/>
              </w:rPr>
              <w:t>Holm p</w:t>
            </w:r>
          </w:p>
        </w:tc>
      </w:tr>
      <w:tr>
        <w:trPr>
          <w:cantSplit/>
        </w:trPr>
        <w:tc>
          <w:tcPr>
            <w:tcW w:type="dxa" w:w="680"/>
            <w:vAlign w:val="center"/>
            <w:tcMar>
              <w:top w:w="65" w:type="dxa"/>
              <w:left w:w="65" w:type="dxa"/>
              <w:bottom w:w="65" w:type="dxa"/>
              <w:right w:w="65" w:type="dxa"/>
            </w:tcMar>
          </w:tcPr>
          <w:p>
            <w:pPr>
              <w:pStyle w:val="TableText"/>
              <w:keepNext/>
              <w:widowControl/>
              <w:jc w:val="left"/>
            </w:pPr>
            <w:r>
              <w:rPr>
                <w:b w:val="0"/>
                <w:sz w:val="18"/>
              </w:rPr>
              <w:t>B1</w:t>
            </w:r>
          </w:p>
        </w:tc>
        <w:tc>
          <w:tcPr>
            <w:tcW w:type="dxa" w:w="1814"/>
            <w:vAlign w:val="center"/>
            <w:tcMar>
              <w:top w:w="65" w:type="dxa"/>
              <w:left w:w="65" w:type="dxa"/>
              <w:bottom w:w="65" w:type="dxa"/>
              <w:right w:w="65" w:type="dxa"/>
            </w:tcMar>
          </w:tcPr>
          <w:p>
            <w:pPr>
              <w:pStyle w:val="TableText"/>
              <w:keepNext/>
              <w:widowControl/>
              <w:jc w:val="left"/>
            </w:pPr>
            <w:r>
              <w:rPr>
                <w:b w:val="0"/>
                <w:sz w:val="18"/>
              </w:rPr>
              <w:t>C4R−C4</w:t>
            </w:r>
          </w:p>
        </w:tc>
        <w:tc>
          <w:tcPr>
            <w:tcW w:type="dxa" w:w="1417"/>
            <w:vAlign w:val="center"/>
            <w:tcMar>
              <w:top w:w="65" w:type="dxa"/>
              <w:left w:w="65" w:type="dxa"/>
              <w:bottom w:w="65" w:type="dxa"/>
              <w:right w:w="65" w:type="dxa"/>
            </w:tcMar>
          </w:tcPr>
          <w:p>
            <w:pPr>
              <w:pStyle w:val="TableText"/>
              <w:keepNext/>
              <w:widowControl/>
              <w:jc w:val="left"/>
            </w:pPr>
            <w:r>
              <w:rPr>
                <w:b w:val="0"/>
                <w:sz w:val="18"/>
              </w:rPr>
              <w:t>+0.0264</w:t>
            </w:r>
          </w:p>
        </w:tc>
        <w:tc>
          <w:tcPr>
            <w:tcW w:type="dxa" w:w="2665"/>
            <w:vAlign w:val="center"/>
            <w:tcMar>
              <w:top w:w="65" w:type="dxa"/>
              <w:left w:w="65" w:type="dxa"/>
              <w:bottom w:w="65" w:type="dxa"/>
              <w:right w:w="65" w:type="dxa"/>
            </w:tcMar>
          </w:tcPr>
          <w:p>
            <w:pPr>
              <w:pStyle w:val="TableText"/>
              <w:keepNext/>
              <w:widowControl/>
              <w:jc w:val="left"/>
            </w:pPr>
            <w:r>
              <w:rPr>
                <w:b w:val="0"/>
                <w:sz w:val="18"/>
              </w:rPr>
              <w:t>[-0.0000, +0.0553]</w:t>
            </w:r>
          </w:p>
        </w:tc>
        <w:tc>
          <w:tcPr>
            <w:tcW w:type="dxa" w:w="1361"/>
            <w:vAlign w:val="center"/>
            <w:tcMar>
              <w:top w:w="65" w:type="dxa"/>
              <w:left w:w="65" w:type="dxa"/>
              <w:bottom w:w="65" w:type="dxa"/>
              <w:right w:w="65" w:type="dxa"/>
            </w:tcMar>
          </w:tcPr>
          <w:p>
            <w:pPr>
              <w:pStyle w:val="TableText"/>
              <w:keepNext/>
              <w:widowControl/>
              <w:jc w:val="left"/>
            </w:pPr>
            <w:r>
              <w:rPr>
                <w:b w:val="0"/>
                <w:sz w:val="18"/>
              </w:rPr>
              <w:t>0.1936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+0.0129</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[-0.0464, +0.0725]</w:t>
            </w:r>
          </w:p>
        </w:tc>
        <w:tc>
          <w:tcPr>
            <w:tcW w:type="dxa" w:w="1361"/>
            <w:vAlign w:val="center"/>
            <w:tcMar>
              <w:top w:w="65" w:type="dxa"/>
              <w:left w:w="65" w:type="dxa"/>
              <w:bottom w:w="65" w:type="dxa"/>
              <w:right w:w="65" w:type="dxa"/>
            </w:tcMar>
          </w:tcPr>
          <w:p>
            <w:pPr>
              <w:pStyle w:val="TableText"/>
              <w:keepNext w:val="0"/>
              <w:widowControl/>
              <w:jc w:val="left"/>
            </w:pPr>
            <w:r>
              <w:rPr>
                <w:b w:val="0"/>
                <w:sz w:val="18"/>
              </w:rPr>
              <w:t>0.6679</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+0.1003</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[+0.0368, +0.1631]</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0.0120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+0.1146</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[+0.0443, +0.1864]</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0.0084</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C4R−C4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+0.0724</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[+0.0290, +0.1189]</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0.0016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-0.0680</w:t>
            </w:r>
          </w:p>
        </w:tc>
        <w:tc>
          <w:tcPr>
            <w:tcW w:type="dxa" w:w="2665"/>
            <w:vAlign w:val="center"/>
            <w:tcMar>
              <w:top w:w="65" w:type="dxa"/>
              <w:left w:w="65" w:type="dxa"/>
              <w:bottom w:w="65" w:type="dxa"/>
              <w:right w:w="65" w:type="dxa"/>
            </w:tcMar>
          </w:tcPr>
          <w:p>
            <w:pPr>
              <w:pStyle w:val="TableText"/>
              <w:keepNext w:val="0"/>
              <w:widowControl/>
              <w:jc w:val="left"/>
            </w:pPr>
            <w:r>
              <w:rPr>
                <w:b w:val="0"/>
                <w:sz w:val="18"/>
              </w:rPr>
              <w:t>[-0.1378, +0.0011]</w:t>
            </w:r>
          </w:p>
        </w:tc>
        <w:tc>
          <w:tcPr>
            <w:tcW w:type="dxa" w:w="1361"/>
            <w:vAlign w:val="center"/>
            <w:tcMar>
              <w:top w:w="65" w:type="dxa"/>
              <w:left w:w="65" w:type="dxa"/>
              <w:bottom w:w="65" w:type="dxa"/>
              <w:right w:w="65" w:type="dxa"/>
            </w:tcMar>
          </w:tcPr>
          <w:p>
            <w:pPr>
              <w:pStyle w:val="TableText"/>
              <w:keepNext w:val="0"/>
              <w:widowControl/>
              <w:jc w:val="left"/>
            </w:pPr>
            <w:r>
              <w:rPr>
                <w:b w:val="0"/>
                <w:sz w:val="18"/>
              </w:rPr>
              <w:t>0.1936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+0.2142</w:t>
            </w:r>
          </w:p>
        </w:tc>
        <w:tc>
          <w:tcPr>
            <w:tcW w:type="dxa" w:w="2665"/>
            <w:vAlign w:val="center"/>
            <w:tcMar>
              <w:top w:w="65" w:type="dxa"/>
              <w:left w:w="65" w:type="dxa"/>
              <w:bottom w:w="65" w:type="dxa"/>
              <w:right w:w="65" w:type="dxa"/>
            </w:tcMar>
          </w:tcPr>
          <w:p>
            <w:pPr>
              <w:pStyle w:val="TableText"/>
              <w:keepNext w:val="0"/>
              <w:widowControl/>
              <w:jc w:val="left"/>
            </w:pPr>
            <w:r>
              <w:rPr>
                <w:b w:val="0"/>
                <w:sz w:val="18"/>
              </w:rPr>
              <w:t>[+0.1415, +0.2918]</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0.0016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+0.0767</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[+0.0007, +0.1544]</w:t>
            </w:r>
          </w:p>
        </w:tc>
        <w:tc>
          <w:tcPr>
            <w:tcW w:type="dxa" w:w="1361"/>
            <w:vAlign w:val="center"/>
            <w:tcMar>
              <w:top w:w="65" w:type="dxa"/>
              <w:left w:w="65" w:type="dxa"/>
              <w:bottom w:w="65" w:type="dxa"/>
              <w:right w:w="65" w:type="dxa"/>
            </w:tcMar>
          </w:tcPr>
          <w:p>
            <w:pPr>
              <w:pStyle w:val="TableText"/>
              <w:keepNext w:val="0"/>
              <w:widowControl/>
              <w:jc w:val="left"/>
            </w:pPr>
            <w:r>
              <w:rPr>
                <w:b w:val="0"/>
                <w:sz w:val="18"/>
              </w:rPr>
              <w:t>0.1936</w:t>
            </w:r>
          </w:p>
        </w:tc>
      </w:tr>
    </w:tbl>
    <w:p>
      <w:pPr>
        <w:pStyle w:val="SourceNote"/>
        <w:widowControl/>
      </w:pPr>
      <w:r>
        <w:t>자료: 기업별 Stage9와 production bootstrap 순서 재현. 표의 반올림 전 값과 family는 동봉 분석 CSV에서 추적한다.</w:t>
      </w:r>
    </w:p>
    <w:p>
      <w:bookmarkStart w:id="260" w:name="cap_84"/>
      <w:pPr>
        <w:pStyle w:val="af"/>
        <w:widowControl/>
      </w:pPr>
      <w:r>
        <w:t>표 E-17. High · Strict / GPT / Oracle-β</w:t>
      </w:r>
      <w:bookmarkEnd w:id="260"/>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680"/>
        <w:gridCol w:w="1814"/>
        <w:gridCol w:w="1417"/>
        <w:gridCol w:w="2665"/>
        <w:gridCol w:w="1361"/>
      </w:tblGrid>
      <w:tr>
        <w:trPr>
          <w:cantSplit/>
          <w:tblHeader/>
        </w:trPr>
        <w:tc>
          <w:tcPr>
            <w:tcW w:type="dxa" w:w="680"/>
            <w:vAlign w:val="center"/>
            <w:shd w:fill="F1F1F1"/>
            <w:tcMar>
              <w:top w:w="65" w:type="dxa"/>
              <w:left w:w="65" w:type="dxa"/>
              <w:bottom w:w="65" w:type="dxa"/>
              <w:right w:w="65" w:type="dxa"/>
            </w:tcMar>
          </w:tcPr>
          <w:p>
            <w:pPr>
              <w:pStyle w:val="TableText"/>
              <w:keepNext/>
              <w:widowControl/>
              <w:jc w:val="center"/>
            </w:pPr>
            <w:r>
              <w:rPr>
                <w:b/>
                <w:sz w:val="18"/>
              </w:rPr>
              <w:t>예산</w:t>
            </w:r>
          </w:p>
        </w:tc>
        <w:tc>
          <w:tcPr>
            <w:tcW w:type="dxa" w:w="1814"/>
            <w:vAlign w:val="center"/>
            <w:shd w:fill="F1F1F1"/>
            <w:tcMar>
              <w:top w:w="65" w:type="dxa"/>
              <w:left w:w="65" w:type="dxa"/>
              <w:bottom w:w="65" w:type="dxa"/>
              <w:right w:w="65" w:type="dxa"/>
            </w:tcMar>
          </w:tcPr>
          <w:p>
            <w:pPr>
              <w:pStyle w:val="TableText"/>
              <w:keepNext/>
              <w:widowControl/>
              <w:jc w:val="center"/>
            </w:pPr>
            <w:r>
              <w:rPr>
                <w:b/>
                <w:sz w:val="18"/>
              </w:rPr>
              <w:t>대비</w:t>
            </w:r>
          </w:p>
        </w:tc>
        <w:tc>
          <w:tcPr>
            <w:tcW w:type="dxa" w:w="1417"/>
            <w:vAlign w:val="center"/>
            <w:shd w:fill="F1F1F1"/>
            <w:tcMar>
              <w:top w:w="65" w:type="dxa"/>
              <w:left w:w="65" w:type="dxa"/>
              <w:bottom w:w="65" w:type="dxa"/>
              <w:right w:w="65" w:type="dxa"/>
            </w:tcMar>
          </w:tcPr>
          <w:p>
            <w:pPr>
              <w:pStyle w:val="TableText"/>
              <w:keepNext/>
              <w:widowControl/>
              <w:jc w:val="center"/>
            </w:pPr>
            <w:r>
              <w:rPr>
                <w:b/>
                <w:sz w:val="18"/>
              </w:rPr>
              <w:t>평균차</w:t>
            </w:r>
          </w:p>
        </w:tc>
        <w:tc>
          <w:tcPr>
            <w:tcW w:type="dxa" w:w="2665"/>
            <w:vAlign w:val="center"/>
            <w:shd w:fill="F1F1F1"/>
            <w:tcMar>
              <w:top w:w="65" w:type="dxa"/>
              <w:left w:w="65" w:type="dxa"/>
              <w:bottom w:w="65" w:type="dxa"/>
              <w:right w:w="65" w:type="dxa"/>
            </w:tcMar>
          </w:tcPr>
          <w:p>
            <w:pPr>
              <w:pStyle w:val="TableText"/>
              <w:keepNext/>
              <w:widowControl/>
              <w:jc w:val="center"/>
            </w:pPr>
            <w:r>
              <w:rPr>
                <w:b/>
                <w:sz w:val="18"/>
              </w:rPr>
              <w:t>95% 구간</w:t>
            </w:r>
          </w:p>
        </w:tc>
        <w:tc>
          <w:tcPr>
            <w:tcW w:type="dxa" w:w="1361"/>
            <w:vAlign w:val="center"/>
            <w:shd w:fill="F1F1F1"/>
            <w:tcMar>
              <w:top w:w="65" w:type="dxa"/>
              <w:left w:w="65" w:type="dxa"/>
              <w:bottom w:w="65" w:type="dxa"/>
              <w:right w:w="65" w:type="dxa"/>
            </w:tcMar>
          </w:tcPr>
          <w:p>
            <w:pPr>
              <w:pStyle w:val="TableText"/>
              <w:keepNext/>
              <w:widowControl/>
              <w:jc w:val="center"/>
            </w:pPr>
            <w:r>
              <w:rPr>
                <w:b/>
                <w:sz w:val="18"/>
              </w:rPr>
              <w:t>Holm p</w:t>
            </w:r>
          </w:p>
        </w:tc>
      </w:tr>
      <w:tr>
        <w:trPr>
          <w:cantSplit/>
        </w:trPr>
        <w:tc>
          <w:tcPr>
            <w:tcW w:type="dxa" w:w="680"/>
            <w:vAlign w:val="center"/>
            <w:tcMar>
              <w:top w:w="65" w:type="dxa"/>
              <w:left w:w="65" w:type="dxa"/>
              <w:bottom w:w="65" w:type="dxa"/>
              <w:right w:w="65" w:type="dxa"/>
            </w:tcMar>
          </w:tcPr>
          <w:p>
            <w:pPr>
              <w:pStyle w:val="TableText"/>
              <w:keepNext/>
              <w:widowControl/>
              <w:jc w:val="left"/>
            </w:pPr>
            <w:r>
              <w:rPr>
                <w:b w:val="0"/>
                <w:sz w:val="18"/>
              </w:rPr>
              <w:t>B1</w:t>
            </w:r>
          </w:p>
        </w:tc>
        <w:tc>
          <w:tcPr>
            <w:tcW w:type="dxa" w:w="1814"/>
            <w:vAlign w:val="center"/>
            <w:tcMar>
              <w:top w:w="65" w:type="dxa"/>
              <w:left w:w="65" w:type="dxa"/>
              <w:bottom w:w="65" w:type="dxa"/>
              <w:right w:w="65" w:type="dxa"/>
            </w:tcMar>
          </w:tcPr>
          <w:p>
            <w:pPr>
              <w:pStyle w:val="TableText"/>
              <w:keepNext/>
              <w:widowControl/>
              <w:jc w:val="left"/>
            </w:pPr>
            <w:r>
              <w:rPr>
                <w:b w:val="0"/>
                <w:sz w:val="18"/>
              </w:rPr>
              <w:t>C4R−C4</w:t>
            </w:r>
          </w:p>
        </w:tc>
        <w:tc>
          <w:tcPr>
            <w:tcW w:type="dxa" w:w="1417"/>
            <w:vAlign w:val="center"/>
            <w:tcMar>
              <w:top w:w="65" w:type="dxa"/>
              <w:left w:w="65" w:type="dxa"/>
              <w:bottom w:w="65" w:type="dxa"/>
              <w:right w:w="65" w:type="dxa"/>
            </w:tcMar>
          </w:tcPr>
          <w:p>
            <w:pPr>
              <w:pStyle w:val="TableText"/>
              <w:keepNext/>
              <w:widowControl/>
              <w:jc w:val="left"/>
            </w:pPr>
            <w:r>
              <w:rPr>
                <w:b w:val="0"/>
                <w:sz w:val="18"/>
              </w:rPr>
              <w:t>-0.0026</w:t>
            </w:r>
          </w:p>
        </w:tc>
        <w:tc>
          <w:tcPr>
            <w:tcW w:type="dxa" w:w="2665"/>
            <w:vAlign w:val="center"/>
            <w:tcMar>
              <w:top w:w="65" w:type="dxa"/>
              <w:left w:w="65" w:type="dxa"/>
              <w:bottom w:w="65" w:type="dxa"/>
              <w:right w:w="65" w:type="dxa"/>
            </w:tcMar>
          </w:tcPr>
          <w:p>
            <w:pPr>
              <w:pStyle w:val="TableText"/>
              <w:keepNext/>
              <w:widowControl/>
              <w:jc w:val="left"/>
            </w:pPr>
            <w:r>
              <w:rPr>
                <w:b w:val="0"/>
                <w:sz w:val="18"/>
              </w:rPr>
              <w:t>[-0.0141, +0.0044]</w:t>
            </w:r>
          </w:p>
        </w:tc>
        <w:tc>
          <w:tcPr>
            <w:tcW w:type="dxa" w:w="1361"/>
            <w:vAlign w:val="center"/>
            <w:tcMar>
              <w:top w:w="65" w:type="dxa"/>
              <w:left w:w="65" w:type="dxa"/>
              <w:bottom w:w="65" w:type="dxa"/>
              <w:right w:w="65" w:type="dxa"/>
            </w:tcMar>
          </w:tcPr>
          <w:p>
            <w:pPr>
              <w:pStyle w:val="TableText"/>
              <w:keepNext/>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+0.0052</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[-0.0130, +0.0203]</w:t>
            </w:r>
          </w:p>
        </w:tc>
        <w:tc>
          <w:tcPr>
            <w:tcW w:type="dxa" w:w="1361"/>
            <w:vAlign w:val="center"/>
            <w:tcMar>
              <w:top w:w="65" w:type="dxa"/>
              <w:left w:w="65" w:type="dxa"/>
              <w:bottom w:w="65" w:type="dxa"/>
              <w:right w:w="65" w:type="dxa"/>
            </w:tcMar>
          </w:tcPr>
          <w:p>
            <w:pPr>
              <w:pStyle w:val="TableText"/>
              <w:keepNext w:val="0"/>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+0.0231</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[+0.0006, +0.0474]</w:t>
            </w:r>
          </w:p>
        </w:tc>
        <w:tc>
          <w:tcPr>
            <w:tcW w:type="dxa" w:w="1361"/>
            <w:vAlign w:val="center"/>
            <w:tcMar>
              <w:top w:w="65" w:type="dxa"/>
              <w:left w:w="65" w:type="dxa"/>
              <w:bottom w:w="65" w:type="dxa"/>
              <w:right w:w="65" w:type="dxa"/>
            </w:tcMar>
          </w:tcPr>
          <w:p>
            <w:pPr>
              <w:pStyle w:val="TableText"/>
              <w:keepNext w:val="0"/>
              <w:widowControl/>
              <w:jc w:val="left"/>
            </w:pPr>
            <w:r>
              <w:rPr>
                <w:b w:val="0"/>
                <w:sz w:val="18"/>
              </w:rPr>
              <w:t>0.3080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+0.0084</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[-0.0159, +0.0310]</w:t>
            </w:r>
          </w:p>
        </w:tc>
        <w:tc>
          <w:tcPr>
            <w:tcW w:type="dxa" w:w="1361"/>
            <w:vAlign w:val="center"/>
            <w:tcMar>
              <w:top w:w="65" w:type="dxa"/>
              <w:left w:w="65" w:type="dxa"/>
              <w:bottom w:w="65" w:type="dxa"/>
              <w:right w:w="65" w:type="dxa"/>
            </w:tcMar>
          </w:tcPr>
          <w:p>
            <w:pPr>
              <w:pStyle w:val="TableText"/>
              <w:keepNext w:val="0"/>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C4R−C4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+0.0106</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[-0.0050, +0.0270]</w:t>
            </w:r>
          </w:p>
        </w:tc>
        <w:tc>
          <w:tcPr>
            <w:tcW w:type="dxa" w:w="1361"/>
            <w:vAlign w:val="center"/>
            <w:tcMar>
              <w:top w:w="65" w:type="dxa"/>
              <w:left w:w="65" w:type="dxa"/>
              <w:bottom w:w="65" w:type="dxa"/>
              <w:right w:w="65" w:type="dxa"/>
            </w:tcMar>
          </w:tcPr>
          <w:p>
            <w:pPr>
              <w:pStyle w:val="TableText"/>
              <w:keepNext w:val="0"/>
              <w:widowControl/>
              <w:jc w:val="left"/>
            </w:pPr>
            <w:r>
              <w:rPr>
                <w:b w:val="0"/>
                <w:sz w:val="18"/>
              </w:rPr>
              <w:t>0.9119</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+0.0048</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[-0.0163, +0.0250]</w:t>
            </w:r>
          </w:p>
        </w:tc>
        <w:tc>
          <w:tcPr>
            <w:tcW w:type="dxa" w:w="1361"/>
            <w:vAlign w:val="center"/>
            <w:tcMar>
              <w:top w:w="65" w:type="dxa"/>
              <w:left w:w="65" w:type="dxa"/>
              <w:bottom w:w="65" w:type="dxa"/>
              <w:right w:w="65" w:type="dxa"/>
            </w:tcMar>
          </w:tcPr>
          <w:p>
            <w:pPr>
              <w:pStyle w:val="TableText"/>
              <w:keepNext w:val="0"/>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+0.0425</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[+0.0258, +0.0617]</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0.0016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+0.0108</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[-0.0035, +0.0256]</w:t>
            </w:r>
          </w:p>
        </w:tc>
        <w:tc>
          <w:tcPr>
            <w:tcW w:type="dxa" w:w="1361"/>
            <w:vAlign w:val="center"/>
            <w:tcMar>
              <w:top w:w="65" w:type="dxa"/>
              <w:left w:w="65" w:type="dxa"/>
              <w:bottom w:w="65" w:type="dxa"/>
              <w:right w:w="65" w:type="dxa"/>
            </w:tcMar>
          </w:tcPr>
          <w:p>
            <w:pPr>
              <w:pStyle w:val="TableText"/>
              <w:keepNext w:val="0"/>
              <w:widowControl/>
              <w:jc w:val="left"/>
            </w:pPr>
            <w:r>
              <w:rPr>
                <w:b w:val="0"/>
                <w:sz w:val="18"/>
              </w:rPr>
              <w:t>0.8519</w:t>
            </w:r>
          </w:p>
        </w:tc>
      </w:tr>
    </w:tbl>
    <w:p>
      <w:pPr>
        <w:pStyle w:val="SourceNote"/>
        <w:widowControl/>
      </w:pPr>
      <w:r>
        <w:t>자료: 기업별 Stage9와 production bootstrap 순서 재현. 표의 반올림 전 값과 family는 동봉 분석 CSV에서 추적한다.</w:t>
      </w:r>
    </w:p>
    <w:p>
      <w:bookmarkStart w:id="261" w:name="cap_85"/>
      <w:pPr>
        <w:pStyle w:val="af"/>
        <w:widowControl/>
      </w:pPr>
      <w:r>
        <w:t>표 E-18. High · Strict / GPT / Oracle-γ</w:t>
      </w:r>
      <w:bookmarkEnd w:id="261"/>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680"/>
        <w:gridCol w:w="1814"/>
        <w:gridCol w:w="1417"/>
        <w:gridCol w:w="2665"/>
        <w:gridCol w:w="1361"/>
      </w:tblGrid>
      <w:tr>
        <w:trPr>
          <w:cantSplit/>
          <w:tblHeader/>
        </w:trPr>
        <w:tc>
          <w:tcPr>
            <w:tcW w:type="dxa" w:w="680"/>
            <w:vAlign w:val="center"/>
            <w:shd w:fill="F1F1F1"/>
            <w:tcMar>
              <w:top w:w="65" w:type="dxa"/>
              <w:left w:w="65" w:type="dxa"/>
              <w:bottom w:w="65" w:type="dxa"/>
              <w:right w:w="65" w:type="dxa"/>
            </w:tcMar>
          </w:tcPr>
          <w:p>
            <w:pPr>
              <w:pStyle w:val="TableText"/>
              <w:keepNext/>
              <w:widowControl/>
              <w:jc w:val="center"/>
            </w:pPr>
            <w:r>
              <w:rPr>
                <w:b/>
                <w:sz w:val="18"/>
              </w:rPr>
              <w:t>예산</w:t>
            </w:r>
          </w:p>
        </w:tc>
        <w:tc>
          <w:tcPr>
            <w:tcW w:type="dxa" w:w="1814"/>
            <w:vAlign w:val="center"/>
            <w:shd w:fill="F1F1F1"/>
            <w:tcMar>
              <w:top w:w="65" w:type="dxa"/>
              <w:left w:w="65" w:type="dxa"/>
              <w:bottom w:w="65" w:type="dxa"/>
              <w:right w:w="65" w:type="dxa"/>
            </w:tcMar>
          </w:tcPr>
          <w:p>
            <w:pPr>
              <w:pStyle w:val="TableText"/>
              <w:keepNext/>
              <w:widowControl/>
              <w:jc w:val="center"/>
            </w:pPr>
            <w:r>
              <w:rPr>
                <w:b/>
                <w:sz w:val="18"/>
              </w:rPr>
              <w:t>대비</w:t>
            </w:r>
          </w:p>
        </w:tc>
        <w:tc>
          <w:tcPr>
            <w:tcW w:type="dxa" w:w="1417"/>
            <w:vAlign w:val="center"/>
            <w:shd w:fill="F1F1F1"/>
            <w:tcMar>
              <w:top w:w="65" w:type="dxa"/>
              <w:left w:w="65" w:type="dxa"/>
              <w:bottom w:w="65" w:type="dxa"/>
              <w:right w:w="65" w:type="dxa"/>
            </w:tcMar>
          </w:tcPr>
          <w:p>
            <w:pPr>
              <w:pStyle w:val="TableText"/>
              <w:keepNext/>
              <w:widowControl/>
              <w:jc w:val="center"/>
            </w:pPr>
            <w:r>
              <w:rPr>
                <w:b/>
                <w:sz w:val="18"/>
              </w:rPr>
              <w:t>평균차</w:t>
            </w:r>
          </w:p>
        </w:tc>
        <w:tc>
          <w:tcPr>
            <w:tcW w:type="dxa" w:w="2665"/>
            <w:vAlign w:val="center"/>
            <w:shd w:fill="F1F1F1"/>
            <w:tcMar>
              <w:top w:w="65" w:type="dxa"/>
              <w:left w:w="65" w:type="dxa"/>
              <w:bottom w:w="65" w:type="dxa"/>
              <w:right w:w="65" w:type="dxa"/>
            </w:tcMar>
          </w:tcPr>
          <w:p>
            <w:pPr>
              <w:pStyle w:val="TableText"/>
              <w:keepNext/>
              <w:widowControl/>
              <w:jc w:val="center"/>
            </w:pPr>
            <w:r>
              <w:rPr>
                <w:b/>
                <w:sz w:val="18"/>
              </w:rPr>
              <w:t>95% 구간</w:t>
            </w:r>
          </w:p>
        </w:tc>
        <w:tc>
          <w:tcPr>
            <w:tcW w:type="dxa" w:w="1361"/>
            <w:vAlign w:val="center"/>
            <w:shd w:fill="F1F1F1"/>
            <w:tcMar>
              <w:top w:w="65" w:type="dxa"/>
              <w:left w:w="65" w:type="dxa"/>
              <w:bottom w:w="65" w:type="dxa"/>
              <w:right w:w="65" w:type="dxa"/>
            </w:tcMar>
          </w:tcPr>
          <w:p>
            <w:pPr>
              <w:pStyle w:val="TableText"/>
              <w:keepNext/>
              <w:widowControl/>
              <w:jc w:val="center"/>
            </w:pPr>
            <w:r>
              <w:rPr>
                <w:b/>
                <w:sz w:val="18"/>
              </w:rPr>
              <w:t>Holm p</w:t>
            </w:r>
          </w:p>
        </w:tc>
      </w:tr>
      <w:tr>
        <w:trPr>
          <w:cantSplit/>
        </w:trPr>
        <w:tc>
          <w:tcPr>
            <w:tcW w:type="dxa" w:w="680"/>
            <w:vAlign w:val="center"/>
            <w:tcMar>
              <w:top w:w="65" w:type="dxa"/>
              <w:left w:w="65" w:type="dxa"/>
              <w:bottom w:w="65" w:type="dxa"/>
              <w:right w:w="65" w:type="dxa"/>
            </w:tcMar>
          </w:tcPr>
          <w:p>
            <w:pPr>
              <w:pStyle w:val="TableText"/>
              <w:keepNext/>
              <w:widowControl/>
              <w:jc w:val="left"/>
            </w:pPr>
            <w:r>
              <w:rPr>
                <w:b w:val="0"/>
                <w:sz w:val="18"/>
              </w:rPr>
              <w:t>B1</w:t>
            </w:r>
          </w:p>
        </w:tc>
        <w:tc>
          <w:tcPr>
            <w:tcW w:type="dxa" w:w="1814"/>
            <w:vAlign w:val="center"/>
            <w:tcMar>
              <w:top w:w="65" w:type="dxa"/>
              <w:left w:w="65" w:type="dxa"/>
              <w:bottom w:w="65" w:type="dxa"/>
              <w:right w:w="65" w:type="dxa"/>
            </w:tcMar>
          </w:tcPr>
          <w:p>
            <w:pPr>
              <w:pStyle w:val="TableText"/>
              <w:keepNext/>
              <w:widowControl/>
              <w:jc w:val="left"/>
            </w:pPr>
            <w:r>
              <w:rPr>
                <w:b w:val="0"/>
                <w:sz w:val="18"/>
              </w:rPr>
              <w:t>C4R−C4</w:t>
            </w:r>
          </w:p>
        </w:tc>
        <w:tc>
          <w:tcPr>
            <w:tcW w:type="dxa" w:w="1417"/>
            <w:vAlign w:val="center"/>
            <w:tcMar>
              <w:top w:w="65" w:type="dxa"/>
              <w:left w:w="65" w:type="dxa"/>
              <w:bottom w:w="65" w:type="dxa"/>
              <w:right w:w="65" w:type="dxa"/>
            </w:tcMar>
          </w:tcPr>
          <w:p>
            <w:pPr>
              <w:pStyle w:val="TableText"/>
              <w:keepNext/>
              <w:widowControl/>
              <w:jc w:val="left"/>
            </w:pPr>
            <w:r>
              <w:rPr>
                <w:b w:val="0"/>
                <w:sz w:val="18"/>
              </w:rPr>
              <w:t>+0.0012</w:t>
            </w:r>
          </w:p>
        </w:tc>
        <w:tc>
          <w:tcPr>
            <w:tcW w:type="dxa" w:w="2665"/>
            <w:vAlign w:val="center"/>
            <w:tcMar>
              <w:top w:w="65" w:type="dxa"/>
              <w:left w:w="65" w:type="dxa"/>
              <w:bottom w:w="65" w:type="dxa"/>
              <w:right w:w="65" w:type="dxa"/>
            </w:tcMar>
          </w:tcPr>
          <w:p>
            <w:pPr>
              <w:pStyle w:val="TableText"/>
              <w:keepNext/>
              <w:widowControl/>
              <w:jc w:val="left"/>
            </w:pPr>
            <w:r>
              <w:rPr>
                <w:b w:val="0"/>
                <w:sz w:val="18"/>
              </w:rPr>
              <w:t>[-0.0057, +0.0088]</w:t>
            </w:r>
          </w:p>
        </w:tc>
        <w:tc>
          <w:tcPr>
            <w:tcW w:type="dxa" w:w="1361"/>
            <w:vAlign w:val="center"/>
            <w:tcMar>
              <w:top w:w="65" w:type="dxa"/>
              <w:left w:w="65" w:type="dxa"/>
              <w:bottom w:w="65" w:type="dxa"/>
              <w:right w:w="65" w:type="dxa"/>
            </w:tcMar>
          </w:tcPr>
          <w:p>
            <w:pPr>
              <w:pStyle w:val="TableText"/>
              <w:keepNext/>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+0.0010</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[-0.0239, +0.0268]</w:t>
            </w:r>
          </w:p>
        </w:tc>
        <w:tc>
          <w:tcPr>
            <w:tcW w:type="dxa" w:w="1361"/>
            <w:vAlign w:val="center"/>
            <w:tcMar>
              <w:top w:w="65" w:type="dxa"/>
              <w:left w:w="65" w:type="dxa"/>
              <w:bottom w:w="65" w:type="dxa"/>
              <w:right w:w="65" w:type="dxa"/>
            </w:tcMar>
          </w:tcPr>
          <w:p>
            <w:pPr>
              <w:pStyle w:val="TableText"/>
              <w:keepNext w:val="0"/>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+0.0196</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[-0.0049, +0.0430]</w:t>
            </w:r>
          </w:p>
        </w:tc>
        <w:tc>
          <w:tcPr>
            <w:tcW w:type="dxa" w:w="1361"/>
            <w:vAlign w:val="center"/>
            <w:tcMar>
              <w:top w:w="65" w:type="dxa"/>
              <w:left w:w="65" w:type="dxa"/>
              <w:bottom w:w="65" w:type="dxa"/>
              <w:right w:w="65" w:type="dxa"/>
            </w:tcMar>
          </w:tcPr>
          <w:p>
            <w:pPr>
              <w:pStyle w:val="TableText"/>
              <w:keepNext w:val="0"/>
              <w:widowControl/>
              <w:jc w:val="left"/>
            </w:pPr>
            <w:r>
              <w:rPr>
                <w:b w:val="0"/>
                <w:sz w:val="18"/>
              </w:rPr>
              <w:t>0.4632</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+0.0286</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[+0.0011, +0.0578]</w:t>
            </w:r>
          </w:p>
        </w:tc>
        <w:tc>
          <w:tcPr>
            <w:tcW w:type="dxa" w:w="1361"/>
            <w:vAlign w:val="center"/>
            <w:tcMar>
              <w:top w:w="65" w:type="dxa"/>
              <w:left w:w="65" w:type="dxa"/>
              <w:bottom w:w="65" w:type="dxa"/>
              <w:right w:w="65" w:type="dxa"/>
            </w:tcMar>
          </w:tcPr>
          <w:p>
            <w:pPr>
              <w:pStyle w:val="TableText"/>
              <w:keepNext w:val="0"/>
              <w:widowControl/>
              <w:jc w:val="left"/>
            </w:pPr>
            <w:r>
              <w:rPr>
                <w:b w:val="0"/>
                <w:sz w:val="18"/>
              </w:rPr>
              <w:t>0.2050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C4R−C4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+0.0179</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[+0.0075, +0.0303]</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0.0056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-0.0062</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[-0.0361, +0.0242]</w:t>
            </w:r>
          </w:p>
        </w:tc>
        <w:tc>
          <w:tcPr>
            <w:tcW w:type="dxa" w:w="1361"/>
            <w:vAlign w:val="center"/>
            <w:tcMar>
              <w:top w:w="65" w:type="dxa"/>
              <w:left w:w="65" w:type="dxa"/>
              <w:bottom w:w="65" w:type="dxa"/>
              <w:right w:w="65" w:type="dxa"/>
            </w:tcMar>
          </w:tcPr>
          <w:p>
            <w:pPr>
              <w:pStyle w:val="TableText"/>
              <w:keepNext w:val="0"/>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+0.0709</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[+0.0398, +0.1054]</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0.0016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+0.0412</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[+0.0084, +0.0744]</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0.0816</w:t>
            </w:r>
          </w:p>
        </w:tc>
      </w:tr>
    </w:tbl>
    <w:p>
      <w:pPr>
        <w:pStyle w:val="SourceNote"/>
        <w:widowControl/>
      </w:pPr>
      <w:r>
        <w:t>자료: 기업별 Stage9와 production bootstrap 순서 재현. 표의 반올림 전 값과 family는 동봉 분석 CSV에서 추적한다.</w:t>
      </w:r>
    </w:p>
    <w:p>
      <w:bookmarkStart w:id="262" w:name="head_177"/>
      <w:pPr>
        <w:pStyle w:val="2"/>
        <w:widowControl/>
      </w:pPr>
      <w:r>
        <w:t>E.7 High · Repaired / Gemini 3.1 Flash-Lite</w:t>
      </w:r>
      <w:bookmarkEnd w:id="262"/>
    </w:p>
    <w:p>
      <w:bookmarkStart w:id="263" w:name="cap_86"/>
      <w:pPr>
        <w:pStyle w:val="af"/>
        <w:widowControl/>
      </w:pPr>
      <w:r>
        <w:t>표 E-19. High · Repaired / Gemini / Oracle-α</w:t>
      </w:r>
      <w:bookmarkEnd w:id="263"/>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680"/>
        <w:gridCol w:w="1814"/>
        <w:gridCol w:w="1417"/>
        <w:gridCol w:w="2665"/>
        <w:gridCol w:w="1361"/>
      </w:tblGrid>
      <w:tr>
        <w:trPr>
          <w:cantSplit/>
          <w:tblHeader/>
        </w:trPr>
        <w:tc>
          <w:tcPr>
            <w:tcW w:type="dxa" w:w="680"/>
            <w:vAlign w:val="center"/>
            <w:shd w:fill="F1F1F1"/>
            <w:tcMar>
              <w:top w:w="65" w:type="dxa"/>
              <w:left w:w="65" w:type="dxa"/>
              <w:bottom w:w="65" w:type="dxa"/>
              <w:right w:w="65" w:type="dxa"/>
            </w:tcMar>
          </w:tcPr>
          <w:p>
            <w:pPr>
              <w:pStyle w:val="TableText"/>
              <w:keepNext/>
              <w:widowControl/>
              <w:jc w:val="center"/>
            </w:pPr>
            <w:r>
              <w:rPr>
                <w:b/>
                <w:sz w:val="18"/>
              </w:rPr>
              <w:t>예산</w:t>
            </w:r>
          </w:p>
        </w:tc>
        <w:tc>
          <w:tcPr>
            <w:tcW w:type="dxa" w:w="1814"/>
            <w:vAlign w:val="center"/>
            <w:shd w:fill="F1F1F1"/>
            <w:tcMar>
              <w:top w:w="65" w:type="dxa"/>
              <w:left w:w="65" w:type="dxa"/>
              <w:bottom w:w="65" w:type="dxa"/>
              <w:right w:w="65" w:type="dxa"/>
            </w:tcMar>
          </w:tcPr>
          <w:p>
            <w:pPr>
              <w:pStyle w:val="TableText"/>
              <w:keepNext/>
              <w:widowControl/>
              <w:jc w:val="center"/>
            </w:pPr>
            <w:r>
              <w:rPr>
                <w:b/>
                <w:sz w:val="18"/>
              </w:rPr>
              <w:t>대비</w:t>
            </w:r>
          </w:p>
        </w:tc>
        <w:tc>
          <w:tcPr>
            <w:tcW w:type="dxa" w:w="1417"/>
            <w:vAlign w:val="center"/>
            <w:shd w:fill="F1F1F1"/>
            <w:tcMar>
              <w:top w:w="65" w:type="dxa"/>
              <w:left w:w="65" w:type="dxa"/>
              <w:bottom w:w="65" w:type="dxa"/>
              <w:right w:w="65" w:type="dxa"/>
            </w:tcMar>
          </w:tcPr>
          <w:p>
            <w:pPr>
              <w:pStyle w:val="TableText"/>
              <w:keepNext/>
              <w:widowControl/>
              <w:jc w:val="center"/>
            </w:pPr>
            <w:r>
              <w:rPr>
                <w:b/>
                <w:sz w:val="18"/>
              </w:rPr>
              <w:t>평균차</w:t>
            </w:r>
          </w:p>
        </w:tc>
        <w:tc>
          <w:tcPr>
            <w:tcW w:type="dxa" w:w="2665"/>
            <w:vAlign w:val="center"/>
            <w:shd w:fill="F1F1F1"/>
            <w:tcMar>
              <w:top w:w="65" w:type="dxa"/>
              <w:left w:w="65" w:type="dxa"/>
              <w:bottom w:w="65" w:type="dxa"/>
              <w:right w:w="65" w:type="dxa"/>
            </w:tcMar>
          </w:tcPr>
          <w:p>
            <w:pPr>
              <w:pStyle w:val="TableText"/>
              <w:keepNext/>
              <w:widowControl/>
              <w:jc w:val="center"/>
            </w:pPr>
            <w:r>
              <w:rPr>
                <w:b/>
                <w:sz w:val="18"/>
              </w:rPr>
              <w:t>95% 구간</w:t>
            </w:r>
          </w:p>
        </w:tc>
        <w:tc>
          <w:tcPr>
            <w:tcW w:type="dxa" w:w="1361"/>
            <w:vAlign w:val="center"/>
            <w:shd w:fill="F1F1F1"/>
            <w:tcMar>
              <w:top w:w="65" w:type="dxa"/>
              <w:left w:w="65" w:type="dxa"/>
              <w:bottom w:w="65" w:type="dxa"/>
              <w:right w:w="65" w:type="dxa"/>
            </w:tcMar>
          </w:tcPr>
          <w:p>
            <w:pPr>
              <w:pStyle w:val="TableText"/>
              <w:keepNext/>
              <w:widowControl/>
              <w:jc w:val="center"/>
            </w:pPr>
            <w:r>
              <w:rPr>
                <w:b/>
                <w:sz w:val="18"/>
              </w:rPr>
              <w:t>Holm p</w:t>
            </w:r>
          </w:p>
        </w:tc>
      </w:tr>
      <w:tr>
        <w:trPr>
          <w:cantSplit/>
        </w:trPr>
        <w:tc>
          <w:tcPr>
            <w:tcW w:type="dxa" w:w="680"/>
            <w:vAlign w:val="center"/>
            <w:tcMar>
              <w:top w:w="65" w:type="dxa"/>
              <w:left w:w="65" w:type="dxa"/>
              <w:bottom w:w="65" w:type="dxa"/>
              <w:right w:w="65" w:type="dxa"/>
            </w:tcMar>
          </w:tcPr>
          <w:p>
            <w:pPr>
              <w:pStyle w:val="TableText"/>
              <w:keepNext/>
              <w:widowControl/>
              <w:jc w:val="left"/>
            </w:pPr>
            <w:r>
              <w:rPr>
                <w:b w:val="0"/>
                <w:sz w:val="18"/>
              </w:rPr>
              <w:t>B1</w:t>
            </w:r>
          </w:p>
        </w:tc>
        <w:tc>
          <w:tcPr>
            <w:tcW w:type="dxa" w:w="1814"/>
            <w:vAlign w:val="center"/>
            <w:tcMar>
              <w:top w:w="65" w:type="dxa"/>
              <w:left w:w="65" w:type="dxa"/>
              <w:bottom w:w="65" w:type="dxa"/>
              <w:right w:w="65" w:type="dxa"/>
            </w:tcMar>
          </w:tcPr>
          <w:p>
            <w:pPr>
              <w:pStyle w:val="TableText"/>
              <w:keepNext/>
              <w:widowControl/>
              <w:jc w:val="left"/>
            </w:pPr>
            <w:r>
              <w:rPr>
                <w:b w:val="0"/>
                <w:sz w:val="18"/>
              </w:rPr>
              <w:t>C4R−C4</w:t>
            </w:r>
          </w:p>
        </w:tc>
        <w:tc>
          <w:tcPr>
            <w:tcW w:type="dxa" w:w="1417"/>
            <w:vAlign w:val="center"/>
            <w:tcMar>
              <w:top w:w="65" w:type="dxa"/>
              <w:left w:w="65" w:type="dxa"/>
              <w:bottom w:w="65" w:type="dxa"/>
              <w:right w:w="65" w:type="dxa"/>
            </w:tcMar>
          </w:tcPr>
          <w:p>
            <w:pPr>
              <w:pStyle w:val="TableText"/>
              <w:keepNext/>
              <w:widowControl/>
              <w:jc w:val="left"/>
            </w:pPr>
            <w:r>
              <w:rPr>
                <w:b w:val="0"/>
                <w:sz w:val="18"/>
              </w:rPr>
              <w:t>+0.0003</w:t>
            </w:r>
          </w:p>
        </w:tc>
        <w:tc>
          <w:tcPr>
            <w:tcW w:type="dxa" w:w="2665"/>
            <w:vAlign w:val="center"/>
            <w:tcMar>
              <w:top w:w="65" w:type="dxa"/>
              <w:left w:w="65" w:type="dxa"/>
              <w:bottom w:w="65" w:type="dxa"/>
              <w:right w:w="65" w:type="dxa"/>
            </w:tcMar>
          </w:tcPr>
          <w:p>
            <w:pPr>
              <w:pStyle w:val="TableText"/>
              <w:keepNext/>
              <w:widowControl/>
              <w:jc w:val="left"/>
            </w:pPr>
            <w:r>
              <w:rPr>
                <w:b w:val="0"/>
                <w:sz w:val="18"/>
              </w:rPr>
              <w:t>[-0.0281, +0.0292]</w:t>
            </w:r>
          </w:p>
        </w:tc>
        <w:tc>
          <w:tcPr>
            <w:tcW w:type="dxa" w:w="1361"/>
            <w:vAlign w:val="center"/>
            <w:tcMar>
              <w:top w:w="65" w:type="dxa"/>
              <w:left w:w="65" w:type="dxa"/>
              <w:bottom w:w="65" w:type="dxa"/>
              <w:right w:w="65" w:type="dxa"/>
            </w:tcMar>
          </w:tcPr>
          <w:p>
            <w:pPr>
              <w:pStyle w:val="TableText"/>
              <w:keepNext/>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+0.0625</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[+0.0038, +0.1205]</w:t>
            </w:r>
          </w:p>
        </w:tc>
        <w:tc>
          <w:tcPr>
            <w:tcW w:type="dxa" w:w="1361"/>
            <w:vAlign w:val="center"/>
            <w:tcMar>
              <w:top w:w="65" w:type="dxa"/>
              <w:left w:w="65" w:type="dxa"/>
              <w:bottom w:w="65" w:type="dxa"/>
              <w:right w:w="65" w:type="dxa"/>
            </w:tcMar>
          </w:tcPr>
          <w:p>
            <w:pPr>
              <w:pStyle w:val="TableText"/>
              <w:keepNext w:val="0"/>
              <w:widowControl/>
              <w:jc w:val="left"/>
            </w:pPr>
            <w:r>
              <w:rPr>
                <w:b w:val="0"/>
                <w:sz w:val="18"/>
              </w:rPr>
              <w:t>0.2064</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+0.0793</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[+0.0371, +0.1244]</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0.0028</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+0.0470</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[-0.0039, +0.0999]</w:t>
            </w:r>
          </w:p>
        </w:tc>
        <w:tc>
          <w:tcPr>
            <w:tcW w:type="dxa" w:w="1361"/>
            <w:vAlign w:val="center"/>
            <w:tcMar>
              <w:top w:w="65" w:type="dxa"/>
              <w:left w:w="65" w:type="dxa"/>
              <w:bottom w:w="65" w:type="dxa"/>
              <w:right w:w="65" w:type="dxa"/>
            </w:tcMar>
          </w:tcPr>
          <w:p>
            <w:pPr>
              <w:pStyle w:val="TableText"/>
              <w:keepNext w:val="0"/>
              <w:widowControl/>
              <w:jc w:val="left"/>
            </w:pPr>
            <w:r>
              <w:rPr>
                <w:b w:val="0"/>
                <w:sz w:val="18"/>
              </w:rPr>
              <w:t>0.3650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C4R−C4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+0.1449</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[+0.0918, +0.2004]</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0.0016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-0.0652</w:t>
            </w:r>
          </w:p>
        </w:tc>
        <w:tc>
          <w:tcPr>
            <w:tcW w:type="dxa" w:w="2665"/>
            <w:vAlign w:val="center"/>
            <w:tcMar>
              <w:top w:w="65" w:type="dxa"/>
              <w:left w:w="65" w:type="dxa"/>
              <w:bottom w:w="65" w:type="dxa"/>
              <w:right w:w="65" w:type="dxa"/>
            </w:tcMar>
          </w:tcPr>
          <w:p>
            <w:pPr>
              <w:pStyle w:val="TableText"/>
              <w:keepNext w:val="0"/>
              <w:widowControl/>
              <w:jc w:val="left"/>
            </w:pPr>
            <w:r>
              <w:rPr>
                <w:b w:val="0"/>
                <w:sz w:val="18"/>
              </w:rPr>
              <w:t>[-0.1526, +0.0198]</w:t>
            </w:r>
          </w:p>
        </w:tc>
        <w:tc>
          <w:tcPr>
            <w:tcW w:type="dxa" w:w="1361"/>
            <w:vAlign w:val="center"/>
            <w:tcMar>
              <w:top w:w="65" w:type="dxa"/>
              <w:left w:w="65" w:type="dxa"/>
              <w:bottom w:w="65" w:type="dxa"/>
              <w:right w:w="65" w:type="dxa"/>
            </w:tcMar>
          </w:tcPr>
          <w:p>
            <w:pPr>
              <w:pStyle w:val="TableText"/>
              <w:keepNext w:val="0"/>
              <w:widowControl/>
              <w:jc w:val="left"/>
            </w:pPr>
            <w:r>
              <w:rPr>
                <w:b w:val="0"/>
                <w:sz w:val="18"/>
              </w:rPr>
              <w:t>0.5351</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+0.0431</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[-0.0188, +0.1041]</w:t>
            </w:r>
          </w:p>
        </w:tc>
        <w:tc>
          <w:tcPr>
            <w:tcW w:type="dxa" w:w="1361"/>
            <w:vAlign w:val="center"/>
            <w:tcMar>
              <w:top w:w="65" w:type="dxa"/>
              <w:left w:w="65" w:type="dxa"/>
              <w:bottom w:w="65" w:type="dxa"/>
              <w:right w:w="65" w:type="dxa"/>
            </w:tcMar>
          </w:tcPr>
          <w:p>
            <w:pPr>
              <w:pStyle w:val="TableText"/>
              <w:keepNext w:val="0"/>
              <w:widowControl/>
              <w:jc w:val="left"/>
            </w:pPr>
            <w:r>
              <w:rPr>
                <w:b w:val="0"/>
                <w:sz w:val="18"/>
              </w:rPr>
              <w:t>0.5453</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+0.0153</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[-0.0401, +0.0728]</w:t>
            </w:r>
          </w:p>
        </w:tc>
        <w:tc>
          <w:tcPr>
            <w:tcW w:type="dxa" w:w="1361"/>
            <w:vAlign w:val="center"/>
            <w:tcMar>
              <w:top w:w="65" w:type="dxa"/>
              <w:left w:w="65" w:type="dxa"/>
              <w:bottom w:w="65" w:type="dxa"/>
              <w:right w:w="65" w:type="dxa"/>
            </w:tcMar>
          </w:tcPr>
          <w:p>
            <w:pPr>
              <w:pStyle w:val="TableText"/>
              <w:keepNext w:val="0"/>
              <w:widowControl/>
              <w:jc w:val="left"/>
            </w:pPr>
            <w:r>
              <w:rPr>
                <w:b w:val="0"/>
                <w:sz w:val="18"/>
              </w:rPr>
              <w:t>1.0000</w:t>
            </w:r>
          </w:p>
        </w:tc>
      </w:tr>
    </w:tbl>
    <w:p>
      <w:pPr>
        <w:pStyle w:val="SourceNote"/>
        <w:widowControl/>
      </w:pPr>
      <w:r>
        <w:t>자료: 기업별 Stage9와 production bootstrap 순서 재현. 표의 반올림 전 값과 family는 동봉 분석 CSV에서 추적한다.</w:t>
      </w:r>
    </w:p>
    <w:p>
      <w:bookmarkStart w:id="264" w:name="cap_87"/>
      <w:pPr>
        <w:pStyle w:val="af"/>
        <w:widowControl/>
      </w:pPr>
      <w:r>
        <w:t>표 E-20. High · Repaired / Gemini / Oracle-β</w:t>
      </w:r>
      <w:bookmarkEnd w:id="264"/>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680"/>
        <w:gridCol w:w="1814"/>
        <w:gridCol w:w="1417"/>
        <w:gridCol w:w="2665"/>
        <w:gridCol w:w="1361"/>
      </w:tblGrid>
      <w:tr>
        <w:trPr>
          <w:cantSplit/>
          <w:tblHeader/>
        </w:trPr>
        <w:tc>
          <w:tcPr>
            <w:tcW w:type="dxa" w:w="680"/>
            <w:vAlign w:val="center"/>
            <w:shd w:fill="F1F1F1"/>
            <w:tcMar>
              <w:top w:w="65" w:type="dxa"/>
              <w:left w:w="65" w:type="dxa"/>
              <w:bottom w:w="65" w:type="dxa"/>
              <w:right w:w="65" w:type="dxa"/>
            </w:tcMar>
          </w:tcPr>
          <w:p>
            <w:pPr>
              <w:pStyle w:val="TableText"/>
              <w:keepNext/>
              <w:widowControl/>
              <w:jc w:val="center"/>
            </w:pPr>
            <w:r>
              <w:rPr>
                <w:b/>
                <w:sz w:val="18"/>
              </w:rPr>
              <w:t>예산</w:t>
            </w:r>
          </w:p>
        </w:tc>
        <w:tc>
          <w:tcPr>
            <w:tcW w:type="dxa" w:w="1814"/>
            <w:vAlign w:val="center"/>
            <w:shd w:fill="F1F1F1"/>
            <w:tcMar>
              <w:top w:w="65" w:type="dxa"/>
              <w:left w:w="65" w:type="dxa"/>
              <w:bottom w:w="65" w:type="dxa"/>
              <w:right w:w="65" w:type="dxa"/>
            </w:tcMar>
          </w:tcPr>
          <w:p>
            <w:pPr>
              <w:pStyle w:val="TableText"/>
              <w:keepNext/>
              <w:widowControl/>
              <w:jc w:val="center"/>
            </w:pPr>
            <w:r>
              <w:rPr>
                <w:b/>
                <w:sz w:val="18"/>
              </w:rPr>
              <w:t>대비</w:t>
            </w:r>
          </w:p>
        </w:tc>
        <w:tc>
          <w:tcPr>
            <w:tcW w:type="dxa" w:w="1417"/>
            <w:vAlign w:val="center"/>
            <w:shd w:fill="F1F1F1"/>
            <w:tcMar>
              <w:top w:w="65" w:type="dxa"/>
              <w:left w:w="65" w:type="dxa"/>
              <w:bottom w:w="65" w:type="dxa"/>
              <w:right w:w="65" w:type="dxa"/>
            </w:tcMar>
          </w:tcPr>
          <w:p>
            <w:pPr>
              <w:pStyle w:val="TableText"/>
              <w:keepNext/>
              <w:widowControl/>
              <w:jc w:val="center"/>
            </w:pPr>
            <w:r>
              <w:rPr>
                <w:b/>
                <w:sz w:val="18"/>
              </w:rPr>
              <w:t>평균차</w:t>
            </w:r>
          </w:p>
        </w:tc>
        <w:tc>
          <w:tcPr>
            <w:tcW w:type="dxa" w:w="2665"/>
            <w:vAlign w:val="center"/>
            <w:shd w:fill="F1F1F1"/>
            <w:tcMar>
              <w:top w:w="65" w:type="dxa"/>
              <w:left w:w="65" w:type="dxa"/>
              <w:bottom w:w="65" w:type="dxa"/>
              <w:right w:w="65" w:type="dxa"/>
            </w:tcMar>
          </w:tcPr>
          <w:p>
            <w:pPr>
              <w:pStyle w:val="TableText"/>
              <w:keepNext/>
              <w:widowControl/>
              <w:jc w:val="center"/>
            </w:pPr>
            <w:r>
              <w:rPr>
                <w:b/>
                <w:sz w:val="18"/>
              </w:rPr>
              <w:t>95% 구간</w:t>
            </w:r>
          </w:p>
        </w:tc>
        <w:tc>
          <w:tcPr>
            <w:tcW w:type="dxa" w:w="1361"/>
            <w:vAlign w:val="center"/>
            <w:shd w:fill="F1F1F1"/>
            <w:tcMar>
              <w:top w:w="65" w:type="dxa"/>
              <w:left w:w="65" w:type="dxa"/>
              <w:bottom w:w="65" w:type="dxa"/>
              <w:right w:w="65" w:type="dxa"/>
            </w:tcMar>
          </w:tcPr>
          <w:p>
            <w:pPr>
              <w:pStyle w:val="TableText"/>
              <w:keepNext/>
              <w:widowControl/>
              <w:jc w:val="center"/>
            </w:pPr>
            <w:r>
              <w:rPr>
                <w:b/>
                <w:sz w:val="18"/>
              </w:rPr>
              <w:t>Holm p</w:t>
            </w:r>
          </w:p>
        </w:tc>
      </w:tr>
      <w:tr>
        <w:trPr>
          <w:cantSplit/>
        </w:trPr>
        <w:tc>
          <w:tcPr>
            <w:tcW w:type="dxa" w:w="680"/>
            <w:vAlign w:val="center"/>
            <w:tcMar>
              <w:top w:w="65" w:type="dxa"/>
              <w:left w:w="65" w:type="dxa"/>
              <w:bottom w:w="65" w:type="dxa"/>
              <w:right w:w="65" w:type="dxa"/>
            </w:tcMar>
          </w:tcPr>
          <w:p>
            <w:pPr>
              <w:pStyle w:val="TableText"/>
              <w:keepNext/>
              <w:widowControl/>
              <w:jc w:val="left"/>
            </w:pPr>
            <w:r>
              <w:rPr>
                <w:b w:val="0"/>
                <w:sz w:val="18"/>
              </w:rPr>
              <w:t>B1</w:t>
            </w:r>
          </w:p>
        </w:tc>
        <w:tc>
          <w:tcPr>
            <w:tcW w:type="dxa" w:w="1814"/>
            <w:vAlign w:val="center"/>
            <w:tcMar>
              <w:top w:w="65" w:type="dxa"/>
              <w:left w:w="65" w:type="dxa"/>
              <w:bottom w:w="65" w:type="dxa"/>
              <w:right w:w="65" w:type="dxa"/>
            </w:tcMar>
          </w:tcPr>
          <w:p>
            <w:pPr>
              <w:pStyle w:val="TableText"/>
              <w:keepNext/>
              <w:widowControl/>
              <w:jc w:val="left"/>
            </w:pPr>
            <w:r>
              <w:rPr>
                <w:b w:val="0"/>
                <w:sz w:val="18"/>
              </w:rPr>
              <w:t>C4R−C4</w:t>
            </w:r>
          </w:p>
        </w:tc>
        <w:tc>
          <w:tcPr>
            <w:tcW w:type="dxa" w:w="1417"/>
            <w:vAlign w:val="center"/>
            <w:tcMar>
              <w:top w:w="65" w:type="dxa"/>
              <w:left w:w="65" w:type="dxa"/>
              <w:bottom w:w="65" w:type="dxa"/>
              <w:right w:w="65" w:type="dxa"/>
            </w:tcMar>
          </w:tcPr>
          <w:p>
            <w:pPr>
              <w:pStyle w:val="TableText"/>
              <w:keepNext/>
              <w:widowControl/>
              <w:jc w:val="left"/>
            </w:pPr>
            <w:r>
              <w:rPr>
                <w:b w:val="0"/>
                <w:sz w:val="18"/>
              </w:rPr>
              <w:t>-0.0022</w:t>
            </w:r>
          </w:p>
        </w:tc>
        <w:tc>
          <w:tcPr>
            <w:tcW w:type="dxa" w:w="2665"/>
            <w:vAlign w:val="center"/>
            <w:tcMar>
              <w:top w:w="65" w:type="dxa"/>
              <w:left w:w="65" w:type="dxa"/>
              <w:bottom w:w="65" w:type="dxa"/>
              <w:right w:w="65" w:type="dxa"/>
            </w:tcMar>
          </w:tcPr>
          <w:p>
            <w:pPr>
              <w:pStyle w:val="TableText"/>
              <w:keepNext/>
              <w:widowControl/>
              <w:jc w:val="left"/>
            </w:pPr>
            <w:r>
              <w:rPr>
                <w:b w:val="0"/>
                <w:sz w:val="18"/>
              </w:rPr>
              <w:t>[-0.0070, +0.0015]</w:t>
            </w:r>
          </w:p>
        </w:tc>
        <w:tc>
          <w:tcPr>
            <w:tcW w:type="dxa" w:w="1361"/>
            <w:vAlign w:val="center"/>
            <w:tcMar>
              <w:top w:w="65" w:type="dxa"/>
              <w:left w:w="65" w:type="dxa"/>
              <w:bottom w:w="65" w:type="dxa"/>
              <w:right w:w="65" w:type="dxa"/>
            </w:tcMar>
          </w:tcPr>
          <w:p>
            <w:pPr>
              <w:pStyle w:val="TableText"/>
              <w:keepNext/>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+0.0148</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[-0.0037, +0.0359]</w:t>
            </w:r>
          </w:p>
        </w:tc>
        <w:tc>
          <w:tcPr>
            <w:tcW w:type="dxa" w:w="1361"/>
            <w:vAlign w:val="center"/>
            <w:tcMar>
              <w:top w:w="65" w:type="dxa"/>
              <w:left w:w="65" w:type="dxa"/>
              <w:bottom w:w="65" w:type="dxa"/>
              <w:right w:w="65" w:type="dxa"/>
            </w:tcMar>
          </w:tcPr>
          <w:p>
            <w:pPr>
              <w:pStyle w:val="TableText"/>
              <w:keepNext w:val="0"/>
              <w:widowControl/>
              <w:jc w:val="left"/>
            </w:pPr>
            <w:r>
              <w:rPr>
                <w:b w:val="0"/>
                <w:sz w:val="18"/>
              </w:rPr>
              <w:t>0.6959</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+0.0176</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[+0.0075, +0.0307]</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0.0028</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+0.0049</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[-0.0013, +0.0108]</w:t>
            </w:r>
          </w:p>
        </w:tc>
        <w:tc>
          <w:tcPr>
            <w:tcW w:type="dxa" w:w="1361"/>
            <w:vAlign w:val="center"/>
            <w:tcMar>
              <w:top w:w="65" w:type="dxa"/>
              <w:left w:w="65" w:type="dxa"/>
              <w:bottom w:w="65" w:type="dxa"/>
              <w:right w:w="65" w:type="dxa"/>
            </w:tcMar>
          </w:tcPr>
          <w:p>
            <w:pPr>
              <w:pStyle w:val="TableText"/>
              <w:keepNext w:val="0"/>
              <w:widowControl/>
              <w:jc w:val="left"/>
            </w:pPr>
            <w:r>
              <w:rPr>
                <w:b w:val="0"/>
                <w:sz w:val="18"/>
              </w:rPr>
              <w:t>0.6959</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C4R−C4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+0.0302</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[+0.0138, +0.0513]</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0.0016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-0.0008</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[-0.0329, +0.0336]</w:t>
            </w:r>
          </w:p>
        </w:tc>
        <w:tc>
          <w:tcPr>
            <w:tcW w:type="dxa" w:w="1361"/>
            <w:vAlign w:val="center"/>
            <w:tcMar>
              <w:top w:w="65" w:type="dxa"/>
              <w:left w:w="65" w:type="dxa"/>
              <w:bottom w:w="65" w:type="dxa"/>
              <w:right w:w="65" w:type="dxa"/>
            </w:tcMar>
          </w:tcPr>
          <w:p>
            <w:pPr>
              <w:pStyle w:val="TableText"/>
              <w:keepNext w:val="0"/>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+0.0120</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[-0.0163, +0.0388]</w:t>
            </w:r>
          </w:p>
        </w:tc>
        <w:tc>
          <w:tcPr>
            <w:tcW w:type="dxa" w:w="1361"/>
            <w:vAlign w:val="center"/>
            <w:tcMar>
              <w:top w:w="65" w:type="dxa"/>
              <w:left w:w="65" w:type="dxa"/>
              <w:bottom w:w="65" w:type="dxa"/>
              <w:right w:w="65" w:type="dxa"/>
            </w:tcMar>
          </w:tcPr>
          <w:p>
            <w:pPr>
              <w:pStyle w:val="TableText"/>
              <w:keepNext w:val="0"/>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-0.0002</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[-0.0197, +0.0147]</w:t>
            </w:r>
          </w:p>
        </w:tc>
        <w:tc>
          <w:tcPr>
            <w:tcW w:type="dxa" w:w="1361"/>
            <w:vAlign w:val="center"/>
            <w:tcMar>
              <w:top w:w="65" w:type="dxa"/>
              <w:left w:w="65" w:type="dxa"/>
              <w:bottom w:w="65" w:type="dxa"/>
              <w:right w:w="65" w:type="dxa"/>
            </w:tcMar>
          </w:tcPr>
          <w:p>
            <w:pPr>
              <w:pStyle w:val="TableText"/>
              <w:keepNext w:val="0"/>
              <w:widowControl/>
              <w:jc w:val="left"/>
            </w:pPr>
            <w:r>
              <w:rPr>
                <w:b w:val="0"/>
                <w:sz w:val="18"/>
              </w:rPr>
              <w:t>1.0000</w:t>
            </w:r>
          </w:p>
        </w:tc>
      </w:tr>
    </w:tbl>
    <w:p>
      <w:pPr>
        <w:pStyle w:val="SourceNote"/>
        <w:widowControl/>
      </w:pPr>
      <w:r>
        <w:t>자료: 기업별 Stage9와 production bootstrap 순서 재현. 표의 반올림 전 값과 family는 동봉 분석 CSV에서 추적한다.</w:t>
      </w:r>
    </w:p>
    <w:p>
      <w:bookmarkStart w:id="265" w:name="cap_88"/>
      <w:pPr>
        <w:pStyle w:val="af"/>
        <w:widowControl/>
      </w:pPr>
      <w:r>
        <w:t>표 E-21. High · Repaired / Gemini / Oracle-γ</w:t>
      </w:r>
      <w:bookmarkEnd w:id="265"/>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680"/>
        <w:gridCol w:w="1814"/>
        <w:gridCol w:w="1417"/>
        <w:gridCol w:w="2665"/>
        <w:gridCol w:w="1361"/>
      </w:tblGrid>
      <w:tr>
        <w:trPr>
          <w:cantSplit/>
          <w:tblHeader/>
        </w:trPr>
        <w:tc>
          <w:tcPr>
            <w:tcW w:type="dxa" w:w="680"/>
            <w:vAlign w:val="center"/>
            <w:shd w:fill="F1F1F1"/>
            <w:tcMar>
              <w:top w:w="65" w:type="dxa"/>
              <w:left w:w="65" w:type="dxa"/>
              <w:bottom w:w="65" w:type="dxa"/>
              <w:right w:w="65" w:type="dxa"/>
            </w:tcMar>
          </w:tcPr>
          <w:p>
            <w:pPr>
              <w:pStyle w:val="TableText"/>
              <w:keepNext/>
              <w:widowControl/>
              <w:jc w:val="center"/>
            </w:pPr>
            <w:r>
              <w:rPr>
                <w:b/>
                <w:sz w:val="18"/>
              </w:rPr>
              <w:t>예산</w:t>
            </w:r>
          </w:p>
        </w:tc>
        <w:tc>
          <w:tcPr>
            <w:tcW w:type="dxa" w:w="1814"/>
            <w:vAlign w:val="center"/>
            <w:shd w:fill="F1F1F1"/>
            <w:tcMar>
              <w:top w:w="65" w:type="dxa"/>
              <w:left w:w="65" w:type="dxa"/>
              <w:bottom w:w="65" w:type="dxa"/>
              <w:right w:w="65" w:type="dxa"/>
            </w:tcMar>
          </w:tcPr>
          <w:p>
            <w:pPr>
              <w:pStyle w:val="TableText"/>
              <w:keepNext/>
              <w:widowControl/>
              <w:jc w:val="center"/>
            </w:pPr>
            <w:r>
              <w:rPr>
                <w:b/>
                <w:sz w:val="18"/>
              </w:rPr>
              <w:t>대비</w:t>
            </w:r>
          </w:p>
        </w:tc>
        <w:tc>
          <w:tcPr>
            <w:tcW w:type="dxa" w:w="1417"/>
            <w:vAlign w:val="center"/>
            <w:shd w:fill="F1F1F1"/>
            <w:tcMar>
              <w:top w:w="65" w:type="dxa"/>
              <w:left w:w="65" w:type="dxa"/>
              <w:bottom w:w="65" w:type="dxa"/>
              <w:right w:w="65" w:type="dxa"/>
            </w:tcMar>
          </w:tcPr>
          <w:p>
            <w:pPr>
              <w:pStyle w:val="TableText"/>
              <w:keepNext/>
              <w:widowControl/>
              <w:jc w:val="center"/>
            </w:pPr>
            <w:r>
              <w:rPr>
                <w:b/>
                <w:sz w:val="18"/>
              </w:rPr>
              <w:t>평균차</w:t>
            </w:r>
          </w:p>
        </w:tc>
        <w:tc>
          <w:tcPr>
            <w:tcW w:type="dxa" w:w="2665"/>
            <w:vAlign w:val="center"/>
            <w:shd w:fill="F1F1F1"/>
            <w:tcMar>
              <w:top w:w="65" w:type="dxa"/>
              <w:left w:w="65" w:type="dxa"/>
              <w:bottom w:w="65" w:type="dxa"/>
              <w:right w:w="65" w:type="dxa"/>
            </w:tcMar>
          </w:tcPr>
          <w:p>
            <w:pPr>
              <w:pStyle w:val="TableText"/>
              <w:keepNext/>
              <w:widowControl/>
              <w:jc w:val="center"/>
            </w:pPr>
            <w:r>
              <w:rPr>
                <w:b/>
                <w:sz w:val="18"/>
              </w:rPr>
              <w:t>95% 구간</w:t>
            </w:r>
          </w:p>
        </w:tc>
        <w:tc>
          <w:tcPr>
            <w:tcW w:type="dxa" w:w="1361"/>
            <w:vAlign w:val="center"/>
            <w:shd w:fill="F1F1F1"/>
            <w:tcMar>
              <w:top w:w="65" w:type="dxa"/>
              <w:left w:w="65" w:type="dxa"/>
              <w:bottom w:w="65" w:type="dxa"/>
              <w:right w:w="65" w:type="dxa"/>
            </w:tcMar>
          </w:tcPr>
          <w:p>
            <w:pPr>
              <w:pStyle w:val="TableText"/>
              <w:keepNext/>
              <w:widowControl/>
              <w:jc w:val="center"/>
            </w:pPr>
            <w:r>
              <w:rPr>
                <w:b/>
                <w:sz w:val="18"/>
              </w:rPr>
              <w:t>Holm p</w:t>
            </w:r>
          </w:p>
        </w:tc>
      </w:tr>
      <w:tr>
        <w:trPr>
          <w:cantSplit/>
        </w:trPr>
        <w:tc>
          <w:tcPr>
            <w:tcW w:type="dxa" w:w="680"/>
            <w:vAlign w:val="center"/>
            <w:tcMar>
              <w:top w:w="65" w:type="dxa"/>
              <w:left w:w="65" w:type="dxa"/>
              <w:bottom w:w="65" w:type="dxa"/>
              <w:right w:w="65" w:type="dxa"/>
            </w:tcMar>
          </w:tcPr>
          <w:p>
            <w:pPr>
              <w:pStyle w:val="TableText"/>
              <w:keepNext/>
              <w:widowControl/>
              <w:jc w:val="left"/>
            </w:pPr>
            <w:r>
              <w:rPr>
                <w:b w:val="0"/>
                <w:sz w:val="18"/>
              </w:rPr>
              <w:t>B1</w:t>
            </w:r>
          </w:p>
        </w:tc>
        <w:tc>
          <w:tcPr>
            <w:tcW w:type="dxa" w:w="1814"/>
            <w:vAlign w:val="center"/>
            <w:tcMar>
              <w:top w:w="65" w:type="dxa"/>
              <w:left w:w="65" w:type="dxa"/>
              <w:bottom w:w="65" w:type="dxa"/>
              <w:right w:w="65" w:type="dxa"/>
            </w:tcMar>
          </w:tcPr>
          <w:p>
            <w:pPr>
              <w:pStyle w:val="TableText"/>
              <w:keepNext/>
              <w:widowControl/>
              <w:jc w:val="left"/>
            </w:pPr>
            <w:r>
              <w:rPr>
                <w:b w:val="0"/>
                <w:sz w:val="18"/>
              </w:rPr>
              <w:t>C4R−C4</w:t>
            </w:r>
          </w:p>
        </w:tc>
        <w:tc>
          <w:tcPr>
            <w:tcW w:type="dxa" w:w="1417"/>
            <w:vAlign w:val="center"/>
            <w:tcMar>
              <w:top w:w="65" w:type="dxa"/>
              <w:left w:w="65" w:type="dxa"/>
              <w:bottom w:w="65" w:type="dxa"/>
              <w:right w:w="65" w:type="dxa"/>
            </w:tcMar>
          </w:tcPr>
          <w:p>
            <w:pPr>
              <w:pStyle w:val="TableText"/>
              <w:keepNext/>
              <w:widowControl/>
              <w:jc w:val="left"/>
            </w:pPr>
            <w:r>
              <w:rPr>
                <w:b w:val="0"/>
                <w:sz w:val="18"/>
              </w:rPr>
              <w:t>+0.0074</w:t>
            </w:r>
          </w:p>
        </w:tc>
        <w:tc>
          <w:tcPr>
            <w:tcW w:type="dxa" w:w="2665"/>
            <w:vAlign w:val="center"/>
            <w:tcMar>
              <w:top w:w="65" w:type="dxa"/>
              <w:left w:w="65" w:type="dxa"/>
              <w:bottom w:w="65" w:type="dxa"/>
              <w:right w:w="65" w:type="dxa"/>
            </w:tcMar>
          </w:tcPr>
          <w:p>
            <w:pPr>
              <w:pStyle w:val="TableText"/>
              <w:keepNext/>
              <w:widowControl/>
              <w:jc w:val="left"/>
            </w:pPr>
            <w:r>
              <w:rPr>
                <w:b w:val="0"/>
                <w:sz w:val="18"/>
              </w:rPr>
              <w:t>[-0.0061, +0.0216]</w:t>
            </w:r>
          </w:p>
        </w:tc>
        <w:tc>
          <w:tcPr>
            <w:tcW w:type="dxa" w:w="1361"/>
            <w:vAlign w:val="center"/>
            <w:tcMar>
              <w:top w:w="65" w:type="dxa"/>
              <w:left w:w="65" w:type="dxa"/>
              <w:bottom w:w="65" w:type="dxa"/>
              <w:right w:w="65" w:type="dxa"/>
            </w:tcMar>
          </w:tcPr>
          <w:p>
            <w:pPr>
              <w:pStyle w:val="TableText"/>
              <w:keepNext/>
              <w:widowControl/>
              <w:jc w:val="left"/>
            </w:pPr>
            <w:r>
              <w:rPr>
                <w:b w:val="0"/>
                <w:sz w:val="18"/>
              </w:rPr>
              <w:t>0.8459</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+0.0115</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[-0.0175, +0.0409]</w:t>
            </w:r>
          </w:p>
        </w:tc>
        <w:tc>
          <w:tcPr>
            <w:tcW w:type="dxa" w:w="1361"/>
            <w:vAlign w:val="center"/>
            <w:tcMar>
              <w:top w:w="65" w:type="dxa"/>
              <w:left w:w="65" w:type="dxa"/>
              <w:bottom w:w="65" w:type="dxa"/>
              <w:right w:w="65" w:type="dxa"/>
            </w:tcMar>
          </w:tcPr>
          <w:p>
            <w:pPr>
              <w:pStyle w:val="TableText"/>
              <w:keepNext w:val="0"/>
              <w:widowControl/>
              <w:jc w:val="left"/>
            </w:pPr>
            <w:r>
              <w:rPr>
                <w:b w:val="0"/>
                <w:sz w:val="18"/>
              </w:rPr>
              <w:t>0.8459</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+0.0166</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[-0.0045, +0.0387]</w:t>
            </w:r>
          </w:p>
        </w:tc>
        <w:tc>
          <w:tcPr>
            <w:tcW w:type="dxa" w:w="1361"/>
            <w:vAlign w:val="center"/>
            <w:tcMar>
              <w:top w:w="65" w:type="dxa"/>
              <w:left w:w="65" w:type="dxa"/>
              <w:bottom w:w="65" w:type="dxa"/>
              <w:right w:w="65" w:type="dxa"/>
            </w:tcMar>
          </w:tcPr>
          <w:p>
            <w:pPr>
              <w:pStyle w:val="TableText"/>
              <w:keepNext w:val="0"/>
              <w:widowControl/>
              <w:jc w:val="left"/>
            </w:pPr>
            <w:r>
              <w:rPr>
                <w:b w:val="0"/>
                <w:sz w:val="18"/>
              </w:rPr>
              <w:t>0.6359</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+0.0147</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[-0.0071, +0.0371]</w:t>
            </w:r>
          </w:p>
        </w:tc>
        <w:tc>
          <w:tcPr>
            <w:tcW w:type="dxa" w:w="1361"/>
            <w:vAlign w:val="center"/>
            <w:tcMar>
              <w:top w:w="65" w:type="dxa"/>
              <w:left w:w="65" w:type="dxa"/>
              <w:bottom w:w="65" w:type="dxa"/>
              <w:right w:w="65" w:type="dxa"/>
            </w:tcMar>
          </w:tcPr>
          <w:p>
            <w:pPr>
              <w:pStyle w:val="TableText"/>
              <w:keepNext w:val="0"/>
              <w:widowControl/>
              <w:jc w:val="left"/>
            </w:pPr>
            <w:r>
              <w:rPr>
                <w:b w:val="0"/>
                <w:sz w:val="18"/>
              </w:rPr>
              <w:t>0.6807</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C4R−C4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+0.0122</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[-0.0018, +0.0273]</w:t>
            </w:r>
          </w:p>
        </w:tc>
        <w:tc>
          <w:tcPr>
            <w:tcW w:type="dxa" w:w="1361"/>
            <w:vAlign w:val="center"/>
            <w:tcMar>
              <w:top w:w="65" w:type="dxa"/>
              <w:left w:w="65" w:type="dxa"/>
              <w:bottom w:w="65" w:type="dxa"/>
              <w:right w:w="65" w:type="dxa"/>
            </w:tcMar>
          </w:tcPr>
          <w:p>
            <w:pPr>
              <w:pStyle w:val="TableText"/>
              <w:keepNext w:val="0"/>
              <w:widowControl/>
              <w:jc w:val="left"/>
            </w:pPr>
            <w:r>
              <w:rPr>
                <w:b w:val="0"/>
                <w:sz w:val="18"/>
              </w:rPr>
              <w:t>0.5399</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-0.0185</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[-0.0553, +0.0167]</w:t>
            </w:r>
          </w:p>
        </w:tc>
        <w:tc>
          <w:tcPr>
            <w:tcW w:type="dxa" w:w="1361"/>
            <w:vAlign w:val="center"/>
            <w:tcMar>
              <w:top w:w="65" w:type="dxa"/>
              <w:left w:w="65" w:type="dxa"/>
              <w:bottom w:w="65" w:type="dxa"/>
              <w:right w:w="65" w:type="dxa"/>
            </w:tcMar>
          </w:tcPr>
          <w:p>
            <w:pPr>
              <w:pStyle w:val="TableText"/>
              <w:keepNext w:val="0"/>
              <w:widowControl/>
              <w:jc w:val="left"/>
            </w:pPr>
            <w:r>
              <w:rPr>
                <w:b w:val="0"/>
                <w:sz w:val="18"/>
              </w:rPr>
              <w:t>0.8459</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+0.0427</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[+0.0219, +0.0641]</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0.0016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+0.0228</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[+0.0022, +0.0445]</w:t>
            </w:r>
          </w:p>
        </w:tc>
        <w:tc>
          <w:tcPr>
            <w:tcW w:type="dxa" w:w="1361"/>
            <w:vAlign w:val="center"/>
            <w:tcMar>
              <w:top w:w="65" w:type="dxa"/>
              <w:left w:w="65" w:type="dxa"/>
              <w:bottom w:w="65" w:type="dxa"/>
              <w:right w:w="65" w:type="dxa"/>
            </w:tcMar>
          </w:tcPr>
          <w:p>
            <w:pPr>
              <w:pStyle w:val="TableText"/>
              <w:keepNext w:val="0"/>
              <w:widowControl/>
              <w:jc w:val="left"/>
            </w:pPr>
            <w:r>
              <w:rPr>
                <w:b w:val="0"/>
                <w:sz w:val="18"/>
              </w:rPr>
              <w:t>0.2016</w:t>
            </w:r>
          </w:p>
        </w:tc>
      </w:tr>
    </w:tbl>
    <w:p>
      <w:pPr>
        <w:pStyle w:val="SourceNote"/>
        <w:widowControl/>
      </w:pPr>
      <w:r>
        <w:t>자료: 기업별 Stage9와 production bootstrap 순서 재현. 표의 반올림 전 값과 family는 동봉 분석 CSV에서 추적한다.</w:t>
      </w:r>
    </w:p>
    <w:p>
      <w:bookmarkStart w:id="266" w:name="head_178"/>
      <w:pPr>
        <w:pStyle w:val="2"/>
        <w:widowControl/>
      </w:pPr>
      <w:r>
        <w:t>E.8 High · Repaired / GPT-5.4-mini</w:t>
      </w:r>
      <w:bookmarkEnd w:id="266"/>
    </w:p>
    <w:p>
      <w:bookmarkStart w:id="267" w:name="cap_89"/>
      <w:pPr>
        <w:pStyle w:val="af"/>
        <w:widowControl/>
      </w:pPr>
      <w:r>
        <w:t>표 E-22. High · Repaired / GPT / Oracle-α</w:t>
      </w:r>
      <w:bookmarkEnd w:id="267"/>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680"/>
        <w:gridCol w:w="1814"/>
        <w:gridCol w:w="1417"/>
        <w:gridCol w:w="2665"/>
        <w:gridCol w:w="1361"/>
      </w:tblGrid>
      <w:tr>
        <w:trPr>
          <w:cantSplit/>
          <w:tblHeader/>
        </w:trPr>
        <w:tc>
          <w:tcPr>
            <w:tcW w:type="dxa" w:w="680"/>
            <w:vAlign w:val="center"/>
            <w:shd w:fill="F1F1F1"/>
            <w:tcMar>
              <w:top w:w="65" w:type="dxa"/>
              <w:left w:w="65" w:type="dxa"/>
              <w:bottom w:w="65" w:type="dxa"/>
              <w:right w:w="65" w:type="dxa"/>
            </w:tcMar>
          </w:tcPr>
          <w:p>
            <w:pPr>
              <w:pStyle w:val="TableText"/>
              <w:keepNext/>
              <w:widowControl/>
              <w:jc w:val="center"/>
            </w:pPr>
            <w:r>
              <w:rPr>
                <w:b/>
                <w:sz w:val="18"/>
              </w:rPr>
              <w:t>예산</w:t>
            </w:r>
          </w:p>
        </w:tc>
        <w:tc>
          <w:tcPr>
            <w:tcW w:type="dxa" w:w="1814"/>
            <w:vAlign w:val="center"/>
            <w:shd w:fill="F1F1F1"/>
            <w:tcMar>
              <w:top w:w="65" w:type="dxa"/>
              <w:left w:w="65" w:type="dxa"/>
              <w:bottom w:w="65" w:type="dxa"/>
              <w:right w:w="65" w:type="dxa"/>
            </w:tcMar>
          </w:tcPr>
          <w:p>
            <w:pPr>
              <w:pStyle w:val="TableText"/>
              <w:keepNext/>
              <w:widowControl/>
              <w:jc w:val="center"/>
            </w:pPr>
            <w:r>
              <w:rPr>
                <w:b/>
                <w:sz w:val="18"/>
              </w:rPr>
              <w:t>대비</w:t>
            </w:r>
          </w:p>
        </w:tc>
        <w:tc>
          <w:tcPr>
            <w:tcW w:type="dxa" w:w="1417"/>
            <w:vAlign w:val="center"/>
            <w:shd w:fill="F1F1F1"/>
            <w:tcMar>
              <w:top w:w="65" w:type="dxa"/>
              <w:left w:w="65" w:type="dxa"/>
              <w:bottom w:w="65" w:type="dxa"/>
              <w:right w:w="65" w:type="dxa"/>
            </w:tcMar>
          </w:tcPr>
          <w:p>
            <w:pPr>
              <w:pStyle w:val="TableText"/>
              <w:keepNext/>
              <w:widowControl/>
              <w:jc w:val="center"/>
            </w:pPr>
            <w:r>
              <w:rPr>
                <w:b/>
                <w:sz w:val="18"/>
              </w:rPr>
              <w:t>평균차</w:t>
            </w:r>
          </w:p>
        </w:tc>
        <w:tc>
          <w:tcPr>
            <w:tcW w:type="dxa" w:w="2665"/>
            <w:vAlign w:val="center"/>
            <w:shd w:fill="F1F1F1"/>
            <w:tcMar>
              <w:top w:w="65" w:type="dxa"/>
              <w:left w:w="65" w:type="dxa"/>
              <w:bottom w:w="65" w:type="dxa"/>
              <w:right w:w="65" w:type="dxa"/>
            </w:tcMar>
          </w:tcPr>
          <w:p>
            <w:pPr>
              <w:pStyle w:val="TableText"/>
              <w:keepNext/>
              <w:widowControl/>
              <w:jc w:val="center"/>
            </w:pPr>
            <w:r>
              <w:rPr>
                <w:b/>
                <w:sz w:val="18"/>
              </w:rPr>
              <w:t>95% 구간</w:t>
            </w:r>
          </w:p>
        </w:tc>
        <w:tc>
          <w:tcPr>
            <w:tcW w:type="dxa" w:w="1361"/>
            <w:vAlign w:val="center"/>
            <w:shd w:fill="F1F1F1"/>
            <w:tcMar>
              <w:top w:w="65" w:type="dxa"/>
              <w:left w:w="65" w:type="dxa"/>
              <w:bottom w:w="65" w:type="dxa"/>
              <w:right w:w="65" w:type="dxa"/>
            </w:tcMar>
          </w:tcPr>
          <w:p>
            <w:pPr>
              <w:pStyle w:val="TableText"/>
              <w:keepNext/>
              <w:widowControl/>
              <w:jc w:val="center"/>
            </w:pPr>
            <w:r>
              <w:rPr>
                <w:b/>
                <w:sz w:val="18"/>
              </w:rPr>
              <w:t>Holm p</w:t>
            </w:r>
          </w:p>
        </w:tc>
      </w:tr>
      <w:tr>
        <w:trPr>
          <w:cantSplit/>
        </w:trPr>
        <w:tc>
          <w:tcPr>
            <w:tcW w:type="dxa" w:w="680"/>
            <w:vAlign w:val="center"/>
            <w:tcMar>
              <w:top w:w="65" w:type="dxa"/>
              <w:left w:w="65" w:type="dxa"/>
              <w:bottom w:w="65" w:type="dxa"/>
              <w:right w:w="65" w:type="dxa"/>
            </w:tcMar>
          </w:tcPr>
          <w:p>
            <w:pPr>
              <w:pStyle w:val="TableText"/>
              <w:keepNext/>
              <w:widowControl/>
              <w:jc w:val="left"/>
            </w:pPr>
            <w:r>
              <w:rPr>
                <w:b w:val="0"/>
                <w:sz w:val="18"/>
              </w:rPr>
              <w:t>B1</w:t>
            </w:r>
          </w:p>
        </w:tc>
        <w:tc>
          <w:tcPr>
            <w:tcW w:type="dxa" w:w="1814"/>
            <w:vAlign w:val="center"/>
            <w:tcMar>
              <w:top w:w="65" w:type="dxa"/>
              <w:left w:w="65" w:type="dxa"/>
              <w:bottom w:w="65" w:type="dxa"/>
              <w:right w:w="65" w:type="dxa"/>
            </w:tcMar>
          </w:tcPr>
          <w:p>
            <w:pPr>
              <w:pStyle w:val="TableText"/>
              <w:keepNext/>
              <w:widowControl/>
              <w:jc w:val="left"/>
            </w:pPr>
            <w:r>
              <w:rPr>
                <w:b w:val="0"/>
                <w:sz w:val="18"/>
              </w:rPr>
              <w:t>C4R−C4</w:t>
            </w:r>
          </w:p>
        </w:tc>
        <w:tc>
          <w:tcPr>
            <w:tcW w:type="dxa" w:w="1417"/>
            <w:vAlign w:val="center"/>
            <w:tcMar>
              <w:top w:w="65" w:type="dxa"/>
              <w:left w:w="65" w:type="dxa"/>
              <w:bottom w:w="65" w:type="dxa"/>
              <w:right w:w="65" w:type="dxa"/>
            </w:tcMar>
          </w:tcPr>
          <w:p>
            <w:pPr>
              <w:pStyle w:val="TableText"/>
              <w:keepNext/>
              <w:widowControl/>
              <w:jc w:val="left"/>
            </w:pPr>
            <w:r>
              <w:rPr>
                <w:b w:val="0"/>
                <w:sz w:val="18"/>
              </w:rPr>
              <w:t>+0.0105</w:t>
            </w:r>
          </w:p>
        </w:tc>
        <w:tc>
          <w:tcPr>
            <w:tcW w:type="dxa" w:w="2665"/>
            <w:vAlign w:val="center"/>
            <w:tcMar>
              <w:top w:w="65" w:type="dxa"/>
              <w:left w:w="65" w:type="dxa"/>
              <w:bottom w:w="65" w:type="dxa"/>
              <w:right w:w="65" w:type="dxa"/>
            </w:tcMar>
          </w:tcPr>
          <w:p>
            <w:pPr>
              <w:pStyle w:val="TableText"/>
              <w:keepNext/>
              <w:widowControl/>
              <w:jc w:val="left"/>
            </w:pPr>
            <w:r>
              <w:rPr>
                <w:b w:val="0"/>
                <w:sz w:val="18"/>
              </w:rPr>
              <w:t>[-0.0005, +0.0293]</w:t>
            </w:r>
          </w:p>
        </w:tc>
        <w:tc>
          <w:tcPr>
            <w:tcW w:type="dxa" w:w="1361"/>
            <w:vAlign w:val="center"/>
            <w:tcMar>
              <w:top w:w="65" w:type="dxa"/>
              <w:left w:w="65" w:type="dxa"/>
              <w:bottom w:w="65" w:type="dxa"/>
              <w:right w:w="65" w:type="dxa"/>
            </w:tcMar>
          </w:tcPr>
          <w:p>
            <w:pPr>
              <w:pStyle w:val="TableText"/>
              <w:keepNext/>
              <w:widowControl/>
              <w:jc w:val="left"/>
            </w:pPr>
            <w:r>
              <w:rPr>
                <w:b w:val="0"/>
                <w:sz w:val="18"/>
              </w:rPr>
              <w:t>0.1556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-0.0059</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[-0.0646, +0.0552]</w:t>
            </w:r>
          </w:p>
        </w:tc>
        <w:tc>
          <w:tcPr>
            <w:tcW w:type="dxa" w:w="1361"/>
            <w:vAlign w:val="center"/>
            <w:tcMar>
              <w:top w:w="65" w:type="dxa"/>
              <w:left w:w="65" w:type="dxa"/>
              <w:bottom w:w="65" w:type="dxa"/>
              <w:right w:w="65" w:type="dxa"/>
            </w:tcMar>
          </w:tcPr>
          <w:p>
            <w:pPr>
              <w:pStyle w:val="TableText"/>
              <w:keepNext w:val="0"/>
              <w:widowControl/>
              <w:jc w:val="left"/>
            </w:pPr>
            <w:r>
              <w:rPr>
                <w:b w:val="0"/>
                <w:sz w:val="18"/>
              </w:rPr>
              <w:t>0.8473</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+0.1190</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[+0.0703, +0.1715]</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0.0016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+0.1230</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[+0.0642, +0.1849]</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0.0016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C4R−C4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+0.0586</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[+0.0208, +0.0996]</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0.0120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-0.0827</w:t>
            </w:r>
          </w:p>
        </w:tc>
        <w:tc>
          <w:tcPr>
            <w:tcW w:type="dxa" w:w="2665"/>
            <w:vAlign w:val="center"/>
            <w:tcMar>
              <w:top w:w="65" w:type="dxa"/>
              <w:left w:w="65" w:type="dxa"/>
              <w:bottom w:w="65" w:type="dxa"/>
              <w:right w:w="65" w:type="dxa"/>
            </w:tcMar>
          </w:tcPr>
          <w:p>
            <w:pPr>
              <w:pStyle w:val="TableText"/>
              <w:keepNext w:val="0"/>
              <w:widowControl/>
              <w:jc w:val="left"/>
            </w:pPr>
            <w:r>
              <w:rPr>
                <w:b w:val="0"/>
                <w:sz w:val="18"/>
              </w:rPr>
              <w:t>[-0.1478, -0.0181]</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0.0488</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+0.2212</w:t>
            </w:r>
          </w:p>
        </w:tc>
        <w:tc>
          <w:tcPr>
            <w:tcW w:type="dxa" w:w="2665"/>
            <w:vAlign w:val="center"/>
            <w:tcMar>
              <w:top w:w="65" w:type="dxa"/>
              <w:left w:w="65" w:type="dxa"/>
              <w:bottom w:w="65" w:type="dxa"/>
              <w:right w:w="65" w:type="dxa"/>
            </w:tcMar>
          </w:tcPr>
          <w:p>
            <w:pPr>
              <w:pStyle w:val="TableText"/>
              <w:keepNext w:val="0"/>
              <w:widowControl/>
              <w:jc w:val="left"/>
            </w:pPr>
            <w:r>
              <w:rPr>
                <w:b w:val="0"/>
                <w:sz w:val="18"/>
              </w:rPr>
              <w:t>[+0.1516, +0.2940]</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0.0016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+0.0893</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[+0.0169, +0.1632]</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0.0510</w:t>
            </w:r>
          </w:p>
        </w:tc>
      </w:tr>
    </w:tbl>
    <w:p>
      <w:pPr>
        <w:pStyle w:val="SourceNote"/>
        <w:widowControl/>
      </w:pPr>
      <w:r>
        <w:t>자료: 기업별 Stage9와 production bootstrap 순서 재현. 표의 반올림 전 값과 family는 동봉 분석 CSV에서 추적한다.</w:t>
      </w:r>
    </w:p>
    <w:p>
      <w:bookmarkStart w:id="268" w:name="cap_90"/>
      <w:pPr>
        <w:pStyle w:val="af"/>
        <w:widowControl/>
      </w:pPr>
      <w:r>
        <w:t>표 E-23. High · Repaired / GPT / Oracle-β</w:t>
      </w:r>
      <w:bookmarkEnd w:id="268"/>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680"/>
        <w:gridCol w:w="1814"/>
        <w:gridCol w:w="1417"/>
        <w:gridCol w:w="2665"/>
        <w:gridCol w:w="1361"/>
      </w:tblGrid>
      <w:tr>
        <w:trPr>
          <w:cantSplit/>
          <w:tblHeader/>
        </w:trPr>
        <w:tc>
          <w:tcPr>
            <w:tcW w:type="dxa" w:w="680"/>
            <w:vAlign w:val="center"/>
            <w:shd w:fill="F1F1F1"/>
            <w:tcMar>
              <w:top w:w="65" w:type="dxa"/>
              <w:left w:w="65" w:type="dxa"/>
              <w:bottom w:w="65" w:type="dxa"/>
              <w:right w:w="65" w:type="dxa"/>
            </w:tcMar>
          </w:tcPr>
          <w:p>
            <w:pPr>
              <w:pStyle w:val="TableText"/>
              <w:keepNext/>
              <w:widowControl/>
              <w:jc w:val="center"/>
            </w:pPr>
            <w:r>
              <w:rPr>
                <w:b/>
                <w:sz w:val="18"/>
              </w:rPr>
              <w:t>예산</w:t>
            </w:r>
          </w:p>
        </w:tc>
        <w:tc>
          <w:tcPr>
            <w:tcW w:type="dxa" w:w="1814"/>
            <w:vAlign w:val="center"/>
            <w:shd w:fill="F1F1F1"/>
            <w:tcMar>
              <w:top w:w="65" w:type="dxa"/>
              <w:left w:w="65" w:type="dxa"/>
              <w:bottom w:w="65" w:type="dxa"/>
              <w:right w:w="65" w:type="dxa"/>
            </w:tcMar>
          </w:tcPr>
          <w:p>
            <w:pPr>
              <w:pStyle w:val="TableText"/>
              <w:keepNext/>
              <w:widowControl/>
              <w:jc w:val="center"/>
            </w:pPr>
            <w:r>
              <w:rPr>
                <w:b/>
                <w:sz w:val="18"/>
              </w:rPr>
              <w:t>대비</w:t>
            </w:r>
          </w:p>
        </w:tc>
        <w:tc>
          <w:tcPr>
            <w:tcW w:type="dxa" w:w="1417"/>
            <w:vAlign w:val="center"/>
            <w:shd w:fill="F1F1F1"/>
            <w:tcMar>
              <w:top w:w="65" w:type="dxa"/>
              <w:left w:w="65" w:type="dxa"/>
              <w:bottom w:w="65" w:type="dxa"/>
              <w:right w:w="65" w:type="dxa"/>
            </w:tcMar>
          </w:tcPr>
          <w:p>
            <w:pPr>
              <w:pStyle w:val="TableText"/>
              <w:keepNext/>
              <w:widowControl/>
              <w:jc w:val="center"/>
            </w:pPr>
            <w:r>
              <w:rPr>
                <w:b/>
                <w:sz w:val="18"/>
              </w:rPr>
              <w:t>평균차</w:t>
            </w:r>
          </w:p>
        </w:tc>
        <w:tc>
          <w:tcPr>
            <w:tcW w:type="dxa" w:w="2665"/>
            <w:vAlign w:val="center"/>
            <w:shd w:fill="F1F1F1"/>
            <w:tcMar>
              <w:top w:w="65" w:type="dxa"/>
              <w:left w:w="65" w:type="dxa"/>
              <w:bottom w:w="65" w:type="dxa"/>
              <w:right w:w="65" w:type="dxa"/>
            </w:tcMar>
          </w:tcPr>
          <w:p>
            <w:pPr>
              <w:pStyle w:val="TableText"/>
              <w:keepNext/>
              <w:widowControl/>
              <w:jc w:val="center"/>
            </w:pPr>
            <w:r>
              <w:rPr>
                <w:b/>
                <w:sz w:val="18"/>
              </w:rPr>
              <w:t>95% 구간</w:t>
            </w:r>
          </w:p>
        </w:tc>
        <w:tc>
          <w:tcPr>
            <w:tcW w:type="dxa" w:w="1361"/>
            <w:vAlign w:val="center"/>
            <w:shd w:fill="F1F1F1"/>
            <w:tcMar>
              <w:top w:w="65" w:type="dxa"/>
              <w:left w:w="65" w:type="dxa"/>
              <w:bottom w:w="65" w:type="dxa"/>
              <w:right w:w="65" w:type="dxa"/>
            </w:tcMar>
          </w:tcPr>
          <w:p>
            <w:pPr>
              <w:pStyle w:val="TableText"/>
              <w:keepNext/>
              <w:widowControl/>
              <w:jc w:val="center"/>
            </w:pPr>
            <w:r>
              <w:rPr>
                <w:b/>
                <w:sz w:val="18"/>
              </w:rPr>
              <w:t>Holm p</w:t>
            </w:r>
          </w:p>
        </w:tc>
      </w:tr>
      <w:tr>
        <w:trPr>
          <w:cantSplit/>
        </w:trPr>
        <w:tc>
          <w:tcPr>
            <w:tcW w:type="dxa" w:w="680"/>
            <w:vAlign w:val="center"/>
            <w:tcMar>
              <w:top w:w="65" w:type="dxa"/>
              <w:left w:w="65" w:type="dxa"/>
              <w:bottom w:w="65" w:type="dxa"/>
              <w:right w:w="65" w:type="dxa"/>
            </w:tcMar>
          </w:tcPr>
          <w:p>
            <w:pPr>
              <w:pStyle w:val="TableText"/>
              <w:keepNext/>
              <w:widowControl/>
              <w:jc w:val="left"/>
            </w:pPr>
            <w:r>
              <w:rPr>
                <w:b w:val="0"/>
                <w:sz w:val="18"/>
              </w:rPr>
              <w:t>B1</w:t>
            </w:r>
          </w:p>
        </w:tc>
        <w:tc>
          <w:tcPr>
            <w:tcW w:type="dxa" w:w="1814"/>
            <w:vAlign w:val="center"/>
            <w:tcMar>
              <w:top w:w="65" w:type="dxa"/>
              <w:left w:w="65" w:type="dxa"/>
              <w:bottom w:w="65" w:type="dxa"/>
              <w:right w:w="65" w:type="dxa"/>
            </w:tcMar>
          </w:tcPr>
          <w:p>
            <w:pPr>
              <w:pStyle w:val="TableText"/>
              <w:keepNext/>
              <w:widowControl/>
              <w:jc w:val="left"/>
            </w:pPr>
            <w:r>
              <w:rPr>
                <w:b w:val="0"/>
                <w:sz w:val="18"/>
              </w:rPr>
              <w:t>C4R−C4</w:t>
            </w:r>
          </w:p>
        </w:tc>
        <w:tc>
          <w:tcPr>
            <w:tcW w:type="dxa" w:w="1417"/>
            <w:vAlign w:val="center"/>
            <w:tcMar>
              <w:top w:w="65" w:type="dxa"/>
              <w:left w:w="65" w:type="dxa"/>
              <w:bottom w:w="65" w:type="dxa"/>
              <w:right w:w="65" w:type="dxa"/>
            </w:tcMar>
          </w:tcPr>
          <w:p>
            <w:pPr>
              <w:pStyle w:val="TableText"/>
              <w:keepNext/>
              <w:widowControl/>
              <w:jc w:val="left"/>
            </w:pPr>
            <w:r>
              <w:rPr>
                <w:b w:val="0"/>
                <w:sz w:val="18"/>
              </w:rPr>
              <w:t>+0.0006</w:t>
            </w:r>
          </w:p>
        </w:tc>
        <w:tc>
          <w:tcPr>
            <w:tcW w:type="dxa" w:w="2665"/>
            <w:vAlign w:val="center"/>
            <w:tcMar>
              <w:top w:w="65" w:type="dxa"/>
              <w:left w:w="65" w:type="dxa"/>
              <w:bottom w:w="65" w:type="dxa"/>
              <w:right w:w="65" w:type="dxa"/>
            </w:tcMar>
          </w:tcPr>
          <w:p>
            <w:pPr>
              <w:pStyle w:val="TableText"/>
              <w:keepNext/>
              <w:widowControl/>
              <w:jc w:val="left"/>
            </w:pPr>
            <w:r>
              <w:rPr>
                <w:b w:val="0"/>
                <w:sz w:val="18"/>
              </w:rPr>
              <w:t>[-0.0011, +0.0021]</w:t>
            </w:r>
          </w:p>
        </w:tc>
        <w:tc>
          <w:tcPr>
            <w:tcW w:type="dxa" w:w="1361"/>
            <w:vAlign w:val="center"/>
            <w:tcMar>
              <w:top w:w="65" w:type="dxa"/>
              <w:left w:w="65" w:type="dxa"/>
              <w:bottom w:w="65" w:type="dxa"/>
              <w:right w:w="65" w:type="dxa"/>
            </w:tcMar>
          </w:tcPr>
          <w:p>
            <w:pPr>
              <w:pStyle w:val="TableText"/>
              <w:keepNext/>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+0.0027</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[-0.0154, +0.0178]</w:t>
            </w:r>
          </w:p>
        </w:tc>
        <w:tc>
          <w:tcPr>
            <w:tcW w:type="dxa" w:w="1361"/>
            <w:vAlign w:val="center"/>
            <w:tcMar>
              <w:top w:w="65" w:type="dxa"/>
              <w:left w:w="65" w:type="dxa"/>
              <w:bottom w:w="65" w:type="dxa"/>
              <w:right w:w="65" w:type="dxa"/>
            </w:tcMar>
          </w:tcPr>
          <w:p>
            <w:pPr>
              <w:pStyle w:val="TableText"/>
              <w:keepNext w:val="0"/>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+0.0235</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[+0.0069, +0.0435]</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0.0308</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+0.0126</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[-0.0079, +0.0337]</w:t>
            </w:r>
          </w:p>
        </w:tc>
        <w:tc>
          <w:tcPr>
            <w:tcW w:type="dxa" w:w="1361"/>
            <w:vAlign w:val="center"/>
            <w:tcMar>
              <w:top w:w="65" w:type="dxa"/>
              <w:left w:w="65" w:type="dxa"/>
              <w:bottom w:w="65" w:type="dxa"/>
              <w:right w:w="65" w:type="dxa"/>
            </w:tcMar>
          </w:tcPr>
          <w:p>
            <w:pPr>
              <w:pStyle w:val="TableText"/>
              <w:keepNext w:val="0"/>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C4R−C4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+0.0095</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[-0.0066, +0.0258]</w:t>
            </w:r>
          </w:p>
        </w:tc>
        <w:tc>
          <w:tcPr>
            <w:tcW w:type="dxa" w:w="1361"/>
            <w:vAlign w:val="center"/>
            <w:tcMar>
              <w:top w:w="65" w:type="dxa"/>
              <w:left w:w="65" w:type="dxa"/>
              <w:bottom w:w="65" w:type="dxa"/>
              <w:right w:w="65" w:type="dxa"/>
            </w:tcMar>
          </w:tcPr>
          <w:p>
            <w:pPr>
              <w:pStyle w:val="TableText"/>
              <w:keepNext w:val="0"/>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+0.0039</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[-0.0169, +0.0245]</w:t>
            </w:r>
          </w:p>
        </w:tc>
        <w:tc>
          <w:tcPr>
            <w:tcW w:type="dxa" w:w="1361"/>
            <w:vAlign w:val="center"/>
            <w:tcMar>
              <w:top w:w="65" w:type="dxa"/>
              <w:left w:w="65" w:type="dxa"/>
              <w:bottom w:w="65" w:type="dxa"/>
              <w:right w:w="65" w:type="dxa"/>
            </w:tcMar>
          </w:tcPr>
          <w:p>
            <w:pPr>
              <w:pStyle w:val="TableText"/>
              <w:keepNext w:val="0"/>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+0.0438</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[+0.0271, +0.0628]</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0.0016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+0.0120</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[-0.0022, +0.0270]</w:t>
            </w:r>
          </w:p>
        </w:tc>
        <w:tc>
          <w:tcPr>
            <w:tcW w:type="dxa" w:w="1361"/>
            <w:vAlign w:val="center"/>
            <w:tcMar>
              <w:top w:w="65" w:type="dxa"/>
              <w:left w:w="65" w:type="dxa"/>
              <w:bottom w:w="65" w:type="dxa"/>
              <w:right w:w="65" w:type="dxa"/>
            </w:tcMar>
          </w:tcPr>
          <w:p>
            <w:pPr>
              <w:pStyle w:val="TableText"/>
              <w:keepNext w:val="0"/>
              <w:widowControl/>
              <w:jc w:val="left"/>
            </w:pPr>
            <w:r>
              <w:rPr>
                <w:b w:val="0"/>
                <w:sz w:val="18"/>
              </w:rPr>
              <w:t>0.6167</w:t>
            </w:r>
          </w:p>
        </w:tc>
      </w:tr>
    </w:tbl>
    <w:p>
      <w:pPr>
        <w:pStyle w:val="SourceNote"/>
        <w:widowControl/>
      </w:pPr>
      <w:r>
        <w:t>자료: 기업별 Stage9와 production bootstrap 순서 재현. 표의 반올림 전 값과 family는 동봉 분석 CSV에서 추적한다.</w:t>
      </w:r>
    </w:p>
    <w:p>
      <w:bookmarkStart w:id="269" w:name="cap_91"/>
      <w:pPr>
        <w:pStyle w:val="af"/>
        <w:widowControl/>
      </w:pPr>
      <w:r>
        <w:t>표 E-24. High · Repaired / GPT / Oracle-γ</w:t>
      </w:r>
      <w:bookmarkEnd w:id="269"/>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680"/>
        <w:gridCol w:w="1814"/>
        <w:gridCol w:w="1417"/>
        <w:gridCol w:w="2665"/>
        <w:gridCol w:w="1361"/>
      </w:tblGrid>
      <w:tr>
        <w:trPr>
          <w:cantSplit/>
          <w:tblHeader/>
        </w:trPr>
        <w:tc>
          <w:tcPr>
            <w:tcW w:type="dxa" w:w="680"/>
            <w:vAlign w:val="center"/>
            <w:shd w:fill="F1F1F1"/>
            <w:tcMar>
              <w:top w:w="65" w:type="dxa"/>
              <w:left w:w="65" w:type="dxa"/>
              <w:bottom w:w="65" w:type="dxa"/>
              <w:right w:w="65" w:type="dxa"/>
            </w:tcMar>
          </w:tcPr>
          <w:p>
            <w:pPr>
              <w:pStyle w:val="TableText"/>
              <w:keepNext/>
              <w:widowControl/>
              <w:jc w:val="center"/>
            </w:pPr>
            <w:r>
              <w:rPr>
                <w:b/>
                <w:sz w:val="18"/>
              </w:rPr>
              <w:t>예산</w:t>
            </w:r>
          </w:p>
        </w:tc>
        <w:tc>
          <w:tcPr>
            <w:tcW w:type="dxa" w:w="1814"/>
            <w:vAlign w:val="center"/>
            <w:shd w:fill="F1F1F1"/>
            <w:tcMar>
              <w:top w:w="65" w:type="dxa"/>
              <w:left w:w="65" w:type="dxa"/>
              <w:bottom w:w="65" w:type="dxa"/>
              <w:right w:w="65" w:type="dxa"/>
            </w:tcMar>
          </w:tcPr>
          <w:p>
            <w:pPr>
              <w:pStyle w:val="TableText"/>
              <w:keepNext/>
              <w:widowControl/>
              <w:jc w:val="center"/>
            </w:pPr>
            <w:r>
              <w:rPr>
                <w:b/>
                <w:sz w:val="18"/>
              </w:rPr>
              <w:t>대비</w:t>
            </w:r>
          </w:p>
        </w:tc>
        <w:tc>
          <w:tcPr>
            <w:tcW w:type="dxa" w:w="1417"/>
            <w:vAlign w:val="center"/>
            <w:shd w:fill="F1F1F1"/>
            <w:tcMar>
              <w:top w:w="65" w:type="dxa"/>
              <w:left w:w="65" w:type="dxa"/>
              <w:bottom w:w="65" w:type="dxa"/>
              <w:right w:w="65" w:type="dxa"/>
            </w:tcMar>
          </w:tcPr>
          <w:p>
            <w:pPr>
              <w:pStyle w:val="TableText"/>
              <w:keepNext/>
              <w:widowControl/>
              <w:jc w:val="center"/>
            </w:pPr>
            <w:r>
              <w:rPr>
                <w:b/>
                <w:sz w:val="18"/>
              </w:rPr>
              <w:t>평균차</w:t>
            </w:r>
          </w:p>
        </w:tc>
        <w:tc>
          <w:tcPr>
            <w:tcW w:type="dxa" w:w="2665"/>
            <w:vAlign w:val="center"/>
            <w:shd w:fill="F1F1F1"/>
            <w:tcMar>
              <w:top w:w="65" w:type="dxa"/>
              <w:left w:w="65" w:type="dxa"/>
              <w:bottom w:w="65" w:type="dxa"/>
              <w:right w:w="65" w:type="dxa"/>
            </w:tcMar>
          </w:tcPr>
          <w:p>
            <w:pPr>
              <w:pStyle w:val="TableText"/>
              <w:keepNext/>
              <w:widowControl/>
              <w:jc w:val="center"/>
            </w:pPr>
            <w:r>
              <w:rPr>
                <w:b/>
                <w:sz w:val="18"/>
              </w:rPr>
              <w:t>95% 구간</w:t>
            </w:r>
          </w:p>
        </w:tc>
        <w:tc>
          <w:tcPr>
            <w:tcW w:type="dxa" w:w="1361"/>
            <w:vAlign w:val="center"/>
            <w:shd w:fill="F1F1F1"/>
            <w:tcMar>
              <w:top w:w="65" w:type="dxa"/>
              <w:left w:w="65" w:type="dxa"/>
              <w:bottom w:w="65" w:type="dxa"/>
              <w:right w:w="65" w:type="dxa"/>
            </w:tcMar>
          </w:tcPr>
          <w:p>
            <w:pPr>
              <w:pStyle w:val="TableText"/>
              <w:keepNext/>
              <w:widowControl/>
              <w:jc w:val="center"/>
            </w:pPr>
            <w:r>
              <w:rPr>
                <w:b/>
                <w:sz w:val="18"/>
              </w:rPr>
              <w:t>Holm p</w:t>
            </w:r>
          </w:p>
        </w:tc>
      </w:tr>
      <w:tr>
        <w:trPr>
          <w:cantSplit/>
        </w:trPr>
        <w:tc>
          <w:tcPr>
            <w:tcW w:type="dxa" w:w="680"/>
            <w:vAlign w:val="center"/>
            <w:tcMar>
              <w:top w:w="65" w:type="dxa"/>
              <w:left w:w="65" w:type="dxa"/>
              <w:bottom w:w="65" w:type="dxa"/>
              <w:right w:w="65" w:type="dxa"/>
            </w:tcMar>
          </w:tcPr>
          <w:p>
            <w:pPr>
              <w:pStyle w:val="TableText"/>
              <w:keepNext/>
              <w:widowControl/>
              <w:jc w:val="left"/>
            </w:pPr>
            <w:r>
              <w:rPr>
                <w:b w:val="0"/>
                <w:sz w:val="18"/>
              </w:rPr>
              <w:t>B1</w:t>
            </w:r>
          </w:p>
        </w:tc>
        <w:tc>
          <w:tcPr>
            <w:tcW w:type="dxa" w:w="1814"/>
            <w:vAlign w:val="center"/>
            <w:tcMar>
              <w:top w:w="65" w:type="dxa"/>
              <w:left w:w="65" w:type="dxa"/>
              <w:bottom w:w="65" w:type="dxa"/>
              <w:right w:w="65" w:type="dxa"/>
            </w:tcMar>
          </w:tcPr>
          <w:p>
            <w:pPr>
              <w:pStyle w:val="TableText"/>
              <w:keepNext/>
              <w:widowControl/>
              <w:jc w:val="left"/>
            </w:pPr>
            <w:r>
              <w:rPr>
                <w:b w:val="0"/>
                <w:sz w:val="18"/>
              </w:rPr>
              <w:t>C4R−C4</w:t>
            </w:r>
          </w:p>
        </w:tc>
        <w:tc>
          <w:tcPr>
            <w:tcW w:type="dxa" w:w="1417"/>
            <w:vAlign w:val="center"/>
            <w:tcMar>
              <w:top w:w="65" w:type="dxa"/>
              <w:left w:w="65" w:type="dxa"/>
              <w:bottom w:w="65" w:type="dxa"/>
              <w:right w:w="65" w:type="dxa"/>
            </w:tcMar>
          </w:tcPr>
          <w:p>
            <w:pPr>
              <w:pStyle w:val="TableText"/>
              <w:keepNext/>
              <w:widowControl/>
              <w:jc w:val="left"/>
            </w:pPr>
            <w:r>
              <w:rPr>
                <w:b w:val="0"/>
                <w:sz w:val="18"/>
              </w:rPr>
              <w:t>+0.0015</w:t>
            </w:r>
          </w:p>
        </w:tc>
        <w:tc>
          <w:tcPr>
            <w:tcW w:type="dxa" w:w="2665"/>
            <w:vAlign w:val="center"/>
            <w:tcMar>
              <w:top w:w="65" w:type="dxa"/>
              <w:left w:w="65" w:type="dxa"/>
              <w:bottom w:w="65" w:type="dxa"/>
              <w:right w:w="65" w:type="dxa"/>
            </w:tcMar>
          </w:tcPr>
          <w:p>
            <w:pPr>
              <w:pStyle w:val="TableText"/>
              <w:keepNext/>
              <w:widowControl/>
              <w:jc w:val="left"/>
            </w:pPr>
            <w:r>
              <w:rPr>
                <w:b w:val="0"/>
                <w:sz w:val="18"/>
              </w:rPr>
              <w:t>[-0.0029, +0.0077]</w:t>
            </w:r>
          </w:p>
        </w:tc>
        <w:tc>
          <w:tcPr>
            <w:tcW w:type="dxa" w:w="1361"/>
            <w:vAlign w:val="center"/>
            <w:tcMar>
              <w:top w:w="65" w:type="dxa"/>
              <w:left w:w="65" w:type="dxa"/>
              <w:bottom w:w="65" w:type="dxa"/>
              <w:right w:w="65" w:type="dxa"/>
            </w:tcMar>
          </w:tcPr>
          <w:p>
            <w:pPr>
              <w:pStyle w:val="TableText"/>
              <w:keepNext/>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+0.0037</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[-0.0203, +0.0293]</w:t>
            </w:r>
          </w:p>
        </w:tc>
        <w:tc>
          <w:tcPr>
            <w:tcW w:type="dxa" w:w="1361"/>
            <w:vAlign w:val="center"/>
            <w:tcMar>
              <w:top w:w="65" w:type="dxa"/>
              <w:left w:w="65" w:type="dxa"/>
              <w:bottom w:w="65" w:type="dxa"/>
              <w:right w:w="65" w:type="dxa"/>
            </w:tcMar>
          </w:tcPr>
          <w:p>
            <w:pPr>
              <w:pStyle w:val="TableText"/>
              <w:keepNext w:val="0"/>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+0.0264</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[+0.0047, +0.0481]</w:t>
            </w:r>
          </w:p>
        </w:tc>
        <w:tc>
          <w:tcPr>
            <w:tcW w:type="dxa" w:w="1361"/>
            <w:vAlign w:val="center"/>
            <w:tcMar>
              <w:top w:w="65" w:type="dxa"/>
              <w:left w:w="65" w:type="dxa"/>
              <w:bottom w:w="65" w:type="dxa"/>
              <w:right w:w="65" w:type="dxa"/>
            </w:tcMar>
          </w:tcPr>
          <w:p>
            <w:pPr>
              <w:pStyle w:val="TableText"/>
              <w:keepNext w:val="0"/>
              <w:widowControl/>
              <w:jc w:val="left"/>
            </w:pPr>
            <w:r>
              <w:rPr>
                <w:b w:val="0"/>
                <w:sz w:val="18"/>
              </w:rPr>
              <w:t>0.1000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B1</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+0.0262</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[+0.0037, +0.0512]</w:t>
            </w:r>
          </w:p>
        </w:tc>
        <w:tc>
          <w:tcPr>
            <w:tcW w:type="dxa" w:w="1361"/>
            <w:vAlign w:val="center"/>
            <w:tcMar>
              <w:top w:w="65" w:type="dxa"/>
              <w:left w:w="65" w:type="dxa"/>
              <w:bottom w:w="65" w:type="dxa"/>
              <w:right w:w="65" w:type="dxa"/>
            </w:tcMar>
          </w:tcPr>
          <w:p>
            <w:pPr>
              <w:pStyle w:val="TableText"/>
              <w:keepNext w:val="0"/>
              <w:widowControl/>
              <w:jc w:val="left"/>
            </w:pPr>
            <w:r>
              <w:rPr>
                <w:b w:val="0"/>
                <w:sz w:val="18"/>
              </w:rPr>
              <w:t>0.1000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C4R−C4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+0.0143</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[+0.0051, +0.0254]</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0.0042</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C5−C4</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-0.0098</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[-0.0396, +0.0193]</w:t>
            </w:r>
          </w:p>
        </w:tc>
        <w:tc>
          <w:tcPr>
            <w:tcW w:type="dxa" w:w="1361"/>
            <w:vAlign w:val="center"/>
            <w:tcMar>
              <w:top w:w="65" w:type="dxa"/>
              <w:left w:w="65" w:type="dxa"/>
              <w:bottom w:w="65" w:type="dxa"/>
              <w:right w:w="65" w:type="dxa"/>
            </w:tcMar>
          </w:tcPr>
          <w:p>
            <w:pPr>
              <w:pStyle w:val="TableText"/>
              <w:keepNext w:val="0"/>
              <w:widowControl/>
              <w:jc w:val="left"/>
            </w:pPr>
            <w:r>
              <w:rPr>
                <w:b w:val="0"/>
                <w:sz w:val="18"/>
              </w:rPr>
              <w:t>1.0000</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C6-E−C4R</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+0.0715</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[+0.0401, +0.1054]</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0.0016</w:t>
            </w:r>
          </w:p>
        </w:tc>
      </w:tr>
      <w:tr>
        <w:trPr>
          <w:cantSplit/>
        </w:trPr>
        <w:tc>
          <w:tcPr>
            <w:tcW w:type="dxa" w:w="680"/>
            <w:vAlign w:val="center"/>
            <w:tcMar>
              <w:top w:w="65" w:type="dxa"/>
              <w:left w:w="65" w:type="dxa"/>
              <w:bottom w:w="65" w:type="dxa"/>
              <w:right w:w="65" w:type="dxa"/>
            </w:tcMar>
          </w:tcPr>
          <w:p>
            <w:pPr>
              <w:pStyle w:val="TableText"/>
              <w:keepNext w:val="0"/>
              <w:widowControl/>
              <w:jc w:val="left"/>
            </w:pPr>
            <w:r>
              <w:rPr>
                <w:b w:val="0"/>
                <w:sz w:val="18"/>
              </w:rPr>
              <w:t>BINF</w:t>
            </w:r>
          </w:p>
        </w:tc>
        <w:tc>
          <w:tcPr>
            <w:tcW w:type="dxa" w:w="1814"/>
            <w:vAlign w:val="center"/>
            <w:tcMar>
              <w:top w:w="65" w:type="dxa"/>
              <w:left w:w="65" w:type="dxa"/>
              <w:bottom w:w="65" w:type="dxa"/>
              <w:right w:w="65" w:type="dxa"/>
            </w:tcMar>
          </w:tcPr>
          <w:p>
            <w:pPr>
              <w:pStyle w:val="TableText"/>
              <w:keepNext w:val="0"/>
              <w:widowControl/>
              <w:jc w:val="left"/>
            </w:pPr>
            <w:r>
              <w:rPr>
                <w:b w:val="0"/>
                <w:sz w:val="18"/>
              </w:rPr>
              <w:t>C6-E−C6-EX</w:t>
            </w:r>
          </w:p>
        </w:tc>
        <w:tc>
          <w:tcPr>
            <w:tcW w:type="dxa" w:w="1417"/>
            <w:vAlign w:val="center"/>
            <w:tcMar>
              <w:top w:w="65" w:type="dxa"/>
              <w:left w:w="65" w:type="dxa"/>
              <w:bottom w:w="65" w:type="dxa"/>
              <w:right w:w="65" w:type="dxa"/>
            </w:tcMar>
          </w:tcPr>
          <w:p>
            <w:pPr>
              <w:pStyle w:val="TableText"/>
              <w:keepNext w:val="0"/>
              <w:widowControl/>
              <w:jc w:val="left"/>
            </w:pPr>
            <w:r>
              <w:rPr>
                <w:b w:val="0"/>
                <w:sz w:val="18"/>
              </w:rPr>
              <w:t>+0.0418</w:t>
            </w:r>
          </w:p>
        </w:tc>
        <w:tc>
          <w:tcPr>
            <w:tcW w:type="dxa" w:w="2665"/>
            <w:vAlign w:val="center"/>
            <w:tcMar>
              <w:top w:w="65" w:type="dxa"/>
              <w:left w:w="65" w:type="dxa"/>
              <w:bottom w:w="65" w:type="dxa"/>
              <w:right w:w="65" w:type="dxa"/>
            </w:tcMar>
          </w:tcPr>
          <w:p>
            <w:pPr>
              <w:pStyle w:val="TableText"/>
              <w:keepNext w:val="0"/>
              <w:widowControl/>
              <w:jc w:val="left"/>
            </w:pPr>
            <w:r>
              <w:rPr>
                <w:b w:val="0"/>
                <w:sz w:val="18"/>
              </w:rPr>
              <w:t>[+0.0088, +0.0744]</w:t>
            </w:r>
          </w:p>
        </w:tc>
        <w:tc>
          <w:tcPr>
            <w:tcW w:type="dxa" w:w="1361"/>
            <w:vAlign w:val="center"/>
            <w:tcMar>
              <w:top w:w="65" w:type="dxa"/>
              <w:left w:w="65" w:type="dxa"/>
              <w:bottom w:w="65" w:type="dxa"/>
              <w:right w:w="65" w:type="dxa"/>
            </w:tcMar>
          </w:tcPr>
          <w:p>
            <w:pPr>
              <w:pStyle w:val="TableText"/>
              <w:keepNext w:val="0"/>
              <w:widowControl/>
              <w:jc w:val="left"/>
            </w:pPr>
            <w:r>
              <w:rPr>
                <w:b w:val="0"/>
                <w:sz w:val="18"/>
              </w:rPr>
              <w:t>0.0636</w:t>
            </w:r>
          </w:p>
        </w:tc>
      </w:tr>
    </w:tbl>
    <w:p>
      <w:pPr>
        <w:pStyle w:val="SourceNote"/>
        <w:widowControl/>
      </w:pPr>
      <w:r>
        <w:t>자료: 기업별 Stage9와 production bootstrap 순서 재현. 표의 반올림 전 값과 family는 동봉 분석 CSV에서 추적한다.</w:t>
      </w:r>
    </w:p>
    <w:p>
      <w:bookmarkStart w:id="270" w:name="head_179"/>
      <w:pPr>
        <w:pStyle w:val="1"/>
        <w:widowControl/>
      </w:pPr>
      <w:r>
        <w:t>부록 F. PP·반복성·비용과 증거 연결</w:t>
      </w:r>
      <w:bookmarkEnd w:id="270"/>
    </w:p>
    <w:p>
      <w:bookmarkStart w:id="271" w:name="head_180"/>
      <w:pPr>
        <w:pStyle w:val="2"/>
        <w:widowControl/>
      </w:pPr>
      <w:r>
        <w:t>F.1 주요 PP 표본의 구성</w:t>
      </w:r>
      <w:bookmarkEnd w:id="271"/>
    </w:p>
    <w:p>
      <w:pPr>
        <w:widowControl/>
      </w:pPr>
      <w:r>
        <w:t>아래 표는 각 대비가 사용하는 strict 수용 교집합 N을 보여준다. Repaired에서도 같은 strict 마스크를 적용하며 repaired usable 집합으로 분모를 넓히지 않는다. 같은 기업의 두 조건에서 평가하므로, 조건별 절대평점을 서로 다른 집합에서 빼는 표가 아니다.</w:t>
      </w:r>
    </w:p>
    <w:p>
      <w:bookmarkStart w:id="272" w:name="cap_92"/>
      <w:pPr>
        <w:pStyle w:val="af"/>
        <w:widowControl/>
      </w:pPr>
      <w:r>
        <w:t>표 F-1. 대비별 strict PP 교집합 N</w:t>
      </w:r>
      <w:bookmarkEnd w:id="272"/>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1984"/>
        <w:gridCol w:w="624"/>
        <w:gridCol w:w="1191"/>
        <w:gridCol w:w="1191"/>
        <w:gridCol w:w="1474"/>
        <w:gridCol w:w="1474"/>
      </w:tblGrid>
      <w:tr>
        <w:trPr>
          <w:cantSplit/>
          <w:tblHeader/>
        </w:trPr>
        <w:tc>
          <w:tcPr>
            <w:tcW w:type="dxa" w:w="1984"/>
            <w:vAlign w:val="center"/>
            <w:shd w:fill="F1F1F1"/>
            <w:tcMar>
              <w:top w:w="65" w:type="dxa"/>
              <w:left w:w="65" w:type="dxa"/>
              <w:bottom w:w="65" w:type="dxa"/>
              <w:right w:w="65" w:type="dxa"/>
            </w:tcMar>
          </w:tcPr>
          <w:p>
            <w:pPr>
              <w:pStyle w:val="TableText"/>
              <w:keepNext/>
              <w:widowControl/>
              <w:jc w:val="center"/>
            </w:pPr>
            <w:r>
              <w:rPr>
                <w:b/>
                <w:sz w:val="17"/>
              </w:rPr>
              <w:t>Regime·모델</w:t>
            </w:r>
          </w:p>
        </w:tc>
        <w:tc>
          <w:tcPr>
            <w:tcW w:type="dxa" w:w="624"/>
            <w:vAlign w:val="center"/>
            <w:shd w:fill="F1F1F1"/>
            <w:tcMar>
              <w:top w:w="65" w:type="dxa"/>
              <w:left w:w="65" w:type="dxa"/>
              <w:bottom w:w="65" w:type="dxa"/>
              <w:right w:w="65" w:type="dxa"/>
            </w:tcMar>
          </w:tcPr>
          <w:p>
            <w:pPr>
              <w:pStyle w:val="TableText"/>
              <w:keepNext/>
              <w:widowControl/>
              <w:jc w:val="center"/>
            </w:pPr>
            <w:r>
              <w:rPr>
                <w:b/>
                <w:sz w:val="17"/>
              </w:rPr>
              <w:t>예산</w:t>
            </w:r>
          </w:p>
        </w:tc>
        <w:tc>
          <w:tcPr>
            <w:tcW w:type="dxa" w:w="1191"/>
            <w:vAlign w:val="center"/>
            <w:shd w:fill="F1F1F1"/>
            <w:tcMar>
              <w:top w:w="65" w:type="dxa"/>
              <w:left w:w="65" w:type="dxa"/>
              <w:bottom w:w="65" w:type="dxa"/>
              <w:right w:w="65" w:type="dxa"/>
            </w:tcMar>
          </w:tcPr>
          <w:p>
            <w:pPr>
              <w:pStyle w:val="TableText"/>
              <w:keepNext/>
              <w:widowControl/>
              <w:jc w:val="center"/>
            </w:pPr>
            <w:r>
              <w:rPr>
                <w:b/>
                <w:sz w:val="17"/>
              </w:rPr>
              <w:t>C4R−C4</w:t>
            </w:r>
          </w:p>
        </w:tc>
        <w:tc>
          <w:tcPr>
            <w:tcW w:type="dxa" w:w="1191"/>
            <w:vAlign w:val="center"/>
            <w:shd w:fill="F1F1F1"/>
            <w:tcMar>
              <w:top w:w="65" w:type="dxa"/>
              <w:left w:w="65" w:type="dxa"/>
              <w:bottom w:w="65" w:type="dxa"/>
              <w:right w:w="65" w:type="dxa"/>
            </w:tcMar>
          </w:tcPr>
          <w:p>
            <w:pPr>
              <w:pStyle w:val="TableText"/>
              <w:keepNext/>
              <w:widowControl/>
              <w:jc w:val="center"/>
            </w:pPr>
            <w:r>
              <w:rPr>
                <w:b/>
                <w:sz w:val="17"/>
              </w:rPr>
              <w:t>C5−C4</w:t>
            </w:r>
          </w:p>
        </w:tc>
        <w:tc>
          <w:tcPr>
            <w:tcW w:type="dxa" w:w="1474"/>
            <w:vAlign w:val="center"/>
            <w:shd w:fill="F1F1F1"/>
            <w:tcMar>
              <w:top w:w="65" w:type="dxa"/>
              <w:left w:w="65" w:type="dxa"/>
              <w:bottom w:w="65" w:type="dxa"/>
              <w:right w:w="65" w:type="dxa"/>
            </w:tcMar>
          </w:tcPr>
          <w:p>
            <w:pPr>
              <w:pStyle w:val="TableText"/>
              <w:keepNext/>
              <w:widowControl/>
              <w:jc w:val="center"/>
            </w:pPr>
            <w:r>
              <w:rPr>
                <w:b/>
                <w:sz w:val="17"/>
              </w:rPr>
              <w:t>C6-E−C4R</w:t>
            </w:r>
          </w:p>
        </w:tc>
        <w:tc>
          <w:tcPr>
            <w:tcW w:type="dxa" w:w="1474"/>
            <w:vAlign w:val="center"/>
            <w:shd w:fill="F1F1F1"/>
            <w:tcMar>
              <w:top w:w="65" w:type="dxa"/>
              <w:left w:w="65" w:type="dxa"/>
              <w:bottom w:w="65" w:type="dxa"/>
              <w:right w:w="65" w:type="dxa"/>
            </w:tcMar>
          </w:tcPr>
          <w:p>
            <w:pPr>
              <w:pStyle w:val="TableText"/>
              <w:keepNext/>
              <w:widowControl/>
              <w:jc w:val="center"/>
            </w:pPr>
            <w:r>
              <w:rPr>
                <w:b/>
                <w:sz w:val="17"/>
              </w:rPr>
              <w:t>C6-E−C6-EX</w:t>
            </w:r>
          </w:p>
        </w:tc>
      </w:tr>
      <w:tr>
        <w:trPr>
          <w:cantSplit/>
        </w:trPr>
        <w:tc>
          <w:tcPr>
            <w:tcW w:type="dxa" w:w="1984"/>
            <w:vAlign w:val="center"/>
            <w:tcMar>
              <w:top w:w="65" w:type="dxa"/>
              <w:left w:w="65" w:type="dxa"/>
              <w:bottom w:w="65" w:type="dxa"/>
              <w:right w:w="65" w:type="dxa"/>
            </w:tcMar>
          </w:tcPr>
          <w:p>
            <w:pPr>
              <w:pStyle w:val="TableText"/>
              <w:keepNext/>
              <w:widowControl/>
              <w:jc w:val="left"/>
            </w:pPr>
            <w:r>
              <w:rPr>
                <w:b w:val="0"/>
                <w:sz w:val="17"/>
              </w:rPr>
              <w:t>Baseline Gemini</w:t>
            </w:r>
          </w:p>
        </w:tc>
        <w:tc>
          <w:tcPr>
            <w:tcW w:type="dxa" w:w="624"/>
            <w:vAlign w:val="center"/>
            <w:tcMar>
              <w:top w:w="65" w:type="dxa"/>
              <w:left w:w="65" w:type="dxa"/>
              <w:bottom w:w="65" w:type="dxa"/>
              <w:right w:w="65" w:type="dxa"/>
            </w:tcMar>
          </w:tcPr>
          <w:p>
            <w:pPr>
              <w:pStyle w:val="TableText"/>
              <w:keepNext/>
              <w:widowControl/>
              <w:jc w:val="left"/>
            </w:pPr>
            <w:r>
              <w:rPr>
                <w:b w:val="0"/>
                <w:sz w:val="17"/>
              </w:rPr>
              <w:t>B1</w:t>
            </w:r>
          </w:p>
        </w:tc>
        <w:tc>
          <w:tcPr>
            <w:tcW w:type="dxa" w:w="1191"/>
            <w:vAlign w:val="center"/>
            <w:tcMar>
              <w:top w:w="65" w:type="dxa"/>
              <w:left w:w="65" w:type="dxa"/>
              <w:bottom w:w="65" w:type="dxa"/>
              <w:right w:w="65" w:type="dxa"/>
            </w:tcMar>
          </w:tcPr>
          <w:p>
            <w:pPr>
              <w:pStyle w:val="TableText"/>
              <w:keepNext/>
              <w:widowControl/>
              <w:jc w:val="left"/>
            </w:pPr>
            <w:r>
              <w:rPr>
                <w:b w:val="0"/>
                <w:sz w:val="17"/>
              </w:rPr>
              <w:t>45</w:t>
            </w:r>
          </w:p>
        </w:tc>
        <w:tc>
          <w:tcPr>
            <w:tcW w:type="dxa" w:w="1191"/>
            <w:vAlign w:val="center"/>
            <w:tcMar>
              <w:top w:w="65" w:type="dxa"/>
              <w:left w:w="65" w:type="dxa"/>
              <w:bottom w:w="65" w:type="dxa"/>
              <w:right w:w="65" w:type="dxa"/>
            </w:tcMar>
          </w:tcPr>
          <w:p>
            <w:pPr>
              <w:pStyle w:val="TableText"/>
              <w:keepNext/>
              <w:widowControl/>
              <w:jc w:val="left"/>
            </w:pPr>
            <w:r>
              <w:rPr>
                <w:b w:val="0"/>
                <w:sz w:val="17"/>
              </w:rPr>
              <w:t>51</w:t>
            </w:r>
          </w:p>
        </w:tc>
        <w:tc>
          <w:tcPr>
            <w:tcW w:type="dxa" w:w="1474"/>
            <w:vAlign w:val="center"/>
            <w:tcMar>
              <w:top w:w="65" w:type="dxa"/>
              <w:left w:w="65" w:type="dxa"/>
              <w:bottom w:w="65" w:type="dxa"/>
              <w:right w:w="65" w:type="dxa"/>
            </w:tcMar>
          </w:tcPr>
          <w:p>
            <w:pPr>
              <w:pStyle w:val="TableText"/>
              <w:keepNext/>
              <w:widowControl/>
              <w:jc w:val="left"/>
            </w:pPr>
            <w:r>
              <w:rPr>
                <w:b w:val="0"/>
                <w:sz w:val="17"/>
              </w:rPr>
              <w:t>44</w:t>
            </w:r>
          </w:p>
        </w:tc>
        <w:tc>
          <w:tcPr>
            <w:tcW w:type="dxa" w:w="1474"/>
            <w:vAlign w:val="center"/>
            <w:tcMar>
              <w:top w:w="65" w:type="dxa"/>
              <w:left w:w="65" w:type="dxa"/>
              <w:bottom w:w="65" w:type="dxa"/>
              <w:right w:w="65" w:type="dxa"/>
            </w:tcMar>
          </w:tcPr>
          <w:p>
            <w:pPr>
              <w:pStyle w:val="TableText"/>
              <w:keepNext/>
              <w:widowControl/>
              <w:jc w:val="left"/>
            </w:pPr>
            <w:r>
              <w:rPr>
                <w:b w:val="0"/>
                <w:sz w:val="17"/>
              </w:rPr>
              <w:t>39</w:t>
            </w:r>
          </w:p>
        </w:tc>
      </w:tr>
      <w:tr>
        <w:trPr>
          <w:cantSplit/>
        </w:trPr>
        <w:tc>
          <w:tcPr>
            <w:tcW w:type="dxa" w:w="1984"/>
            <w:vAlign w:val="center"/>
            <w:tcMar>
              <w:top w:w="65" w:type="dxa"/>
              <w:left w:w="65" w:type="dxa"/>
              <w:bottom w:w="65" w:type="dxa"/>
              <w:right w:w="65" w:type="dxa"/>
            </w:tcMar>
          </w:tcPr>
          <w:p>
            <w:pPr>
              <w:pStyle w:val="TableText"/>
              <w:keepNext w:val="0"/>
              <w:widowControl/>
              <w:jc w:val="left"/>
            </w:pPr>
            <w:r>
              <w:rPr>
                <w:b w:val="0"/>
                <w:sz w:val="17"/>
              </w:rPr>
              <w:t>Baseline Gemini</w:t>
            </w:r>
          </w:p>
        </w:tc>
        <w:tc>
          <w:tcPr>
            <w:tcW w:type="dxa" w:w="624"/>
            <w:vAlign w:val="center"/>
            <w:tcMar>
              <w:top w:w="65" w:type="dxa"/>
              <w:left w:w="65" w:type="dxa"/>
              <w:bottom w:w="65" w:type="dxa"/>
              <w:right w:w="65" w:type="dxa"/>
            </w:tcMar>
          </w:tcPr>
          <w:p>
            <w:pPr>
              <w:pStyle w:val="TableText"/>
              <w:keepNext w:val="0"/>
              <w:widowControl/>
              <w:jc w:val="left"/>
            </w:pPr>
            <w:r>
              <w:rPr>
                <w:b w:val="0"/>
                <w:sz w:val="17"/>
              </w:rPr>
              <w:t>BINF</w:t>
            </w:r>
          </w:p>
        </w:tc>
        <w:tc>
          <w:tcPr>
            <w:tcW w:type="dxa" w:w="1191"/>
            <w:vAlign w:val="center"/>
            <w:tcMar>
              <w:top w:w="65" w:type="dxa"/>
              <w:left w:w="65" w:type="dxa"/>
              <w:bottom w:w="65" w:type="dxa"/>
              <w:right w:w="65" w:type="dxa"/>
            </w:tcMar>
          </w:tcPr>
          <w:p>
            <w:pPr>
              <w:pStyle w:val="TableText"/>
              <w:keepNext w:val="0"/>
              <w:widowControl/>
              <w:jc w:val="left"/>
            </w:pPr>
            <w:r>
              <w:rPr>
                <w:b w:val="0"/>
                <w:sz w:val="17"/>
              </w:rPr>
              <w:t>575</w:t>
            </w:r>
          </w:p>
        </w:tc>
        <w:tc>
          <w:tcPr>
            <w:tcW w:type="dxa" w:w="1191"/>
            <w:vAlign w:val="center"/>
            <w:tcMar>
              <w:top w:w="65" w:type="dxa"/>
              <w:left w:w="65" w:type="dxa"/>
              <w:bottom w:w="65" w:type="dxa"/>
              <w:right w:w="65" w:type="dxa"/>
            </w:tcMar>
          </w:tcPr>
          <w:p>
            <w:pPr>
              <w:pStyle w:val="TableText"/>
              <w:keepNext w:val="0"/>
              <w:widowControl/>
              <w:jc w:val="left"/>
            </w:pPr>
            <w:r>
              <w:rPr>
                <w:b w:val="0"/>
                <w:sz w:val="17"/>
              </w:rPr>
              <w:t>575</w:t>
            </w:r>
          </w:p>
        </w:tc>
        <w:tc>
          <w:tcPr>
            <w:tcW w:type="dxa" w:w="1474"/>
            <w:vAlign w:val="center"/>
            <w:tcMar>
              <w:top w:w="65" w:type="dxa"/>
              <w:left w:w="65" w:type="dxa"/>
              <w:bottom w:w="65" w:type="dxa"/>
              <w:right w:w="65" w:type="dxa"/>
            </w:tcMar>
          </w:tcPr>
          <w:p>
            <w:pPr>
              <w:pStyle w:val="TableText"/>
              <w:keepNext w:val="0"/>
              <w:widowControl/>
              <w:jc w:val="left"/>
            </w:pPr>
            <w:r>
              <w:rPr>
                <w:b w:val="0"/>
                <w:sz w:val="17"/>
              </w:rPr>
              <w:t>575</w:t>
            </w:r>
          </w:p>
        </w:tc>
        <w:tc>
          <w:tcPr>
            <w:tcW w:type="dxa" w:w="1474"/>
            <w:vAlign w:val="center"/>
            <w:tcMar>
              <w:top w:w="65" w:type="dxa"/>
              <w:left w:w="65" w:type="dxa"/>
              <w:bottom w:w="65" w:type="dxa"/>
              <w:right w:w="65" w:type="dxa"/>
            </w:tcMar>
          </w:tcPr>
          <w:p>
            <w:pPr>
              <w:pStyle w:val="TableText"/>
              <w:keepNext w:val="0"/>
              <w:widowControl/>
              <w:jc w:val="left"/>
            </w:pPr>
            <w:r>
              <w:rPr>
                <w:b w:val="0"/>
                <w:sz w:val="17"/>
              </w:rPr>
              <w:t>574</w:t>
            </w:r>
          </w:p>
        </w:tc>
      </w:tr>
      <w:tr>
        <w:trPr>
          <w:cantSplit/>
        </w:trPr>
        <w:tc>
          <w:tcPr>
            <w:tcW w:type="dxa" w:w="1984"/>
            <w:vAlign w:val="center"/>
            <w:tcMar>
              <w:top w:w="65" w:type="dxa"/>
              <w:left w:w="65" w:type="dxa"/>
              <w:bottom w:w="65" w:type="dxa"/>
              <w:right w:w="65" w:type="dxa"/>
            </w:tcMar>
          </w:tcPr>
          <w:p>
            <w:pPr>
              <w:pStyle w:val="TableText"/>
              <w:keepNext w:val="0"/>
              <w:widowControl/>
              <w:jc w:val="left"/>
            </w:pPr>
            <w:r>
              <w:rPr>
                <w:b w:val="0"/>
                <w:sz w:val="17"/>
              </w:rPr>
              <w:t>Baseline GPT</w:t>
            </w:r>
          </w:p>
        </w:tc>
        <w:tc>
          <w:tcPr>
            <w:tcW w:type="dxa" w:w="624"/>
            <w:vAlign w:val="center"/>
            <w:tcMar>
              <w:top w:w="65" w:type="dxa"/>
              <w:left w:w="65" w:type="dxa"/>
              <w:bottom w:w="65" w:type="dxa"/>
              <w:right w:w="65" w:type="dxa"/>
            </w:tcMar>
          </w:tcPr>
          <w:p>
            <w:pPr>
              <w:pStyle w:val="TableText"/>
              <w:keepNext w:val="0"/>
              <w:widowControl/>
              <w:jc w:val="left"/>
            </w:pPr>
            <w:r>
              <w:rPr>
                <w:b w:val="0"/>
                <w:sz w:val="17"/>
              </w:rPr>
              <w:t>B1</w:t>
            </w:r>
          </w:p>
        </w:tc>
        <w:tc>
          <w:tcPr>
            <w:tcW w:type="dxa" w:w="1191"/>
            <w:vAlign w:val="center"/>
            <w:tcMar>
              <w:top w:w="65" w:type="dxa"/>
              <w:left w:w="65" w:type="dxa"/>
              <w:bottom w:w="65" w:type="dxa"/>
              <w:right w:w="65" w:type="dxa"/>
            </w:tcMar>
          </w:tcPr>
          <w:p>
            <w:pPr>
              <w:pStyle w:val="TableText"/>
              <w:keepNext w:val="0"/>
              <w:widowControl/>
              <w:jc w:val="left"/>
            </w:pPr>
            <w:r>
              <w:rPr>
                <w:b w:val="0"/>
                <w:sz w:val="17"/>
              </w:rPr>
              <w:t>246</w:t>
            </w:r>
          </w:p>
        </w:tc>
        <w:tc>
          <w:tcPr>
            <w:tcW w:type="dxa" w:w="1191"/>
            <w:vAlign w:val="center"/>
            <w:tcMar>
              <w:top w:w="65" w:type="dxa"/>
              <w:left w:w="65" w:type="dxa"/>
              <w:bottom w:w="65" w:type="dxa"/>
              <w:right w:w="65" w:type="dxa"/>
            </w:tcMar>
          </w:tcPr>
          <w:p>
            <w:pPr>
              <w:pStyle w:val="TableText"/>
              <w:keepNext w:val="0"/>
              <w:widowControl/>
              <w:jc w:val="left"/>
            </w:pPr>
            <w:r>
              <w:rPr>
                <w:b w:val="0"/>
                <w:sz w:val="17"/>
              </w:rPr>
              <w:t>175</w:t>
            </w:r>
          </w:p>
        </w:tc>
        <w:tc>
          <w:tcPr>
            <w:tcW w:type="dxa" w:w="1474"/>
            <w:vAlign w:val="center"/>
            <w:tcMar>
              <w:top w:w="65" w:type="dxa"/>
              <w:left w:w="65" w:type="dxa"/>
              <w:bottom w:w="65" w:type="dxa"/>
              <w:right w:w="65" w:type="dxa"/>
            </w:tcMar>
          </w:tcPr>
          <w:p>
            <w:pPr>
              <w:pStyle w:val="TableText"/>
              <w:keepNext w:val="0"/>
              <w:widowControl/>
              <w:jc w:val="left"/>
            </w:pPr>
            <w:r>
              <w:rPr>
                <w:b w:val="0"/>
                <w:sz w:val="17"/>
              </w:rPr>
              <w:t>235</w:t>
            </w:r>
          </w:p>
        </w:tc>
        <w:tc>
          <w:tcPr>
            <w:tcW w:type="dxa" w:w="1474"/>
            <w:vAlign w:val="center"/>
            <w:tcMar>
              <w:top w:w="65" w:type="dxa"/>
              <w:left w:w="65" w:type="dxa"/>
              <w:bottom w:w="65" w:type="dxa"/>
              <w:right w:w="65" w:type="dxa"/>
            </w:tcMar>
          </w:tcPr>
          <w:p>
            <w:pPr>
              <w:pStyle w:val="TableText"/>
              <w:keepNext w:val="0"/>
              <w:widowControl/>
              <w:jc w:val="left"/>
            </w:pPr>
            <w:r>
              <w:rPr>
                <w:b w:val="0"/>
                <w:sz w:val="17"/>
              </w:rPr>
              <w:t>193</w:t>
            </w:r>
          </w:p>
        </w:tc>
      </w:tr>
      <w:tr>
        <w:trPr>
          <w:cantSplit/>
        </w:trPr>
        <w:tc>
          <w:tcPr>
            <w:tcW w:type="dxa" w:w="1984"/>
            <w:vAlign w:val="center"/>
            <w:tcMar>
              <w:top w:w="65" w:type="dxa"/>
              <w:left w:w="65" w:type="dxa"/>
              <w:bottom w:w="65" w:type="dxa"/>
              <w:right w:w="65" w:type="dxa"/>
            </w:tcMar>
          </w:tcPr>
          <w:p>
            <w:pPr>
              <w:pStyle w:val="TableText"/>
              <w:keepNext w:val="0"/>
              <w:widowControl/>
              <w:jc w:val="left"/>
            </w:pPr>
            <w:r>
              <w:rPr>
                <w:b w:val="0"/>
                <w:sz w:val="17"/>
              </w:rPr>
              <w:t>Baseline GPT</w:t>
            </w:r>
          </w:p>
        </w:tc>
        <w:tc>
          <w:tcPr>
            <w:tcW w:type="dxa" w:w="624"/>
            <w:vAlign w:val="center"/>
            <w:tcMar>
              <w:top w:w="65" w:type="dxa"/>
              <w:left w:w="65" w:type="dxa"/>
              <w:bottom w:w="65" w:type="dxa"/>
              <w:right w:w="65" w:type="dxa"/>
            </w:tcMar>
          </w:tcPr>
          <w:p>
            <w:pPr>
              <w:pStyle w:val="TableText"/>
              <w:keepNext w:val="0"/>
              <w:widowControl/>
              <w:jc w:val="left"/>
            </w:pPr>
            <w:r>
              <w:rPr>
                <w:b w:val="0"/>
                <w:sz w:val="17"/>
              </w:rPr>
              <w:t>BINF</w:t>
            </w:r>
          </w:p>
        </w:tc>
        <w:tc>
          <w:tcPr>
            <w:tcW w:type="dxa" w:w="1191"/>
            <w:vAlign w:val="center"/>
            <w:tcMar>
              <w:top w:w="65" w:type="dxa"/>
              <w:left w:w="65" w:type="dxa"/>
              <w:bottom w:w="65" w:type="dxa"/>
              <w:right w:w="65" w:type="dxa"/>
            </w:tcMar>
          </w:tcPr>
          <w:p>
            <w:pPr>
              <w:pStyle w:val="TableText"/>
              <w:keepNext w:val="0"/>
              <w:widowControl/>
              <w:jc w:val="left"/>
            </w:pPr>
            <w:r>
              <w:rPr>
                <w:b w:val="0"/>
                <w:sz w:val="17"/>
              </w:rPr>
              <w:t>409</w:t>
            </w:r>
          </w:p>
        </w:tc>
        <w:tc>
          <w:tcPr>
            <w:tcW w:type="dxa" w:w="1191"/>
            <w:vAlign w:val="center"/>
            <w:tcMar>
              <w:top w:w="65" w:type="dxa"/>
              <w:left w:w="65" w:type="dxa"/>
              <w:bottom w:w="65" w:type="dxa"/>
              <w:right w:w="65" w:type="dxa"/>
            </w:tcMar>
          </w:tcPr>
          <w:p>
            <w:pPr>
              <w:pStyle w:val="TableText"/>
              <w:keepNext w:val="0"/>
              <w:widowControl/>
              <w:jc w:val="left"/>
            </w:pPr>
            <w:r>
              <w:rPr>
                <w:b w:val="0"/>
                <w:sz w:val="17"/>
              </w:rPr>
              <w:t>370</w:t>
            </w:r>
          </w:p>
        </w:tc>
        <w:tc>
          <w:tcPr>
            <w:tcW w:type="dxa" w:w="1474"/>
            <w:vAlign w:val="center"/>
            <w:tcMar>
              <w:top w:w="65" w:type="dxa"/>
              <w:left w:w="65" w:type="dxa"/>
              <w:bottom w:w="65" w:type="dxa"/>
              <w:right w:w="65" w:type="dxa"/>
            </w:tcMar>
          </w:tcPr>
          <w:p>
            <w:pPr>
              <w:pStyle w:val="TableText"/>
              <w:keepNext w:val="0"/>
              <w:widowControl/>
              <w:jc w:val="left"/>
            </w:pPr>
            <w:r>
              <w:rPr>
                <w:b w:val="0"/>
                <w:sz w:val="17"/>
              </w:rPr>
              <w:t>483</w:t>
            </w:r>
          </w:p>
        </w:tc>
        <w:tc>
          <w:tcPr>
            <w:tcW w:type="dxa" w:w="1474"/>
            <w:vAlign w:val="center"/>
            <w:tcMar>
              <w:top w:w="65" w:type="dxa"/>
              <w:left w:w="65" w:type="dxa"/>
              <w:bottom w:w="65" w:type="dxa"/>
              <w:right w:w="65" w:type="dxa"/>
            </w:tcMar>
          </w:tcPr>
          <w:p>
            <w:pPr>
              <w:pStyle w:val="TableText"/>
              <w:keepNext w:val="0"/>
              <w:widowControl/>
              <w:jc w:val="left"/>
            </w:pPr>
            <w:r>
              <w:rPr>
                <w:b w:val="0"/>
                <w:sz w:val="17"/>
              </w:rPr>
              <w:t>458</w:t>
            </w:r>
          </w:p>
        </w:tc>
      </w:tr>
      <w:tr>
        <w:trPr>
          <w:cantSplit/>
        </w:trPr>
        <w:tc>
          <w:tcPr>
            <w:tcW w:type="dxa" w:w="1984"/>
            <w:vAlign w:val="center"/>
            <w:tcMar>
              <w:top w:w="65" w:type="dxa"/>
              <w:left w:w="65" w:type="dxa"/>
              <w:bottom w:w="65" w:type="dxa"/>
              <w:right w:w="65" w:type="dxa"/>
            </w:tcMar>
          </w:tcPr>
          <w:p>
            <w:pPr>
              <w:pStyle w:val="TableText"/>
              <w:keepNext w:val="0"/>
              <w:widowControl/>
              <w:jc w:val="left"/>
            </w:pPr>
            <w:r>
              <w:rPr>
                <w:b w:val="0"/>
                <w:sz w:val="17"/>
              </w:rPr>
              <w:t>High Gemini</w:t>
            </w:r>
          </w:p>
        </w:tc>
        <w:tc>
          <w:tcPr>
            <w:tcW w:type="dxa" w:w="624"/>
            <w:vAlign w:val="center"/>
            <w:tcMar>
              <w:top w:w="65" w:type="dxa"/>
              <w:left w:w="65" w:type="dxa"/>
              <w:bottom w:w="65" w:type="dxa"/>
              <w:right w:w="65" w:type="dxa"/>
            </w:tcMar>
          </w:tcPr>
          <w:p>
            <w:pPr>
              <w:pStyle w:val="TableText"/>
              <w:keepNext w:val="0"/>
              <w:widowControl/>
              <w:jc w:val="left"/>
            </w:pPr>
            <w:r>
              <w:rPr>
                <w:b w:val="0"/>
                <w:sz w:val="17"/>
              </w:rPr>
              <w:t>B1</w:t>
            </w:r>
          </w:p>
        </w:tc>
        <w:tc>
          <w:tcPr>
            <w:tcW w:type="dxa" w:w="1191"/>
            <w:vAlign w:val="center"/>
            <w:tcMar>
              <w:top w:w="65" w:type="dxa"/>
              <w:left w:w="65" w:type="dxa"/>
              <w:bottom w:w="65" w:type="dxa"/>
              <w:right w:w="65" w:type="dxa"/>
            </w:tcMar>
          </w:tcPr>
          <w:p>
            <w:pPr>
              <w:pStyle w:val="TableText"/>
              <w:keepNext w:val="0"/>
              <w:widowControl/>
              <w:jc w:val="left"/>
            </w:pPr>
            <w:r>
              <w:rPr>
                <w:b w:val="0"/>
                <w:sz w:val="17"/>
              </w:rPr>
              <w:t>567</w:t>
            </w:r>
          </w:p>
        </w:tc>
        <w:tc>
          <w:tcPr>
            <w:tcW w:type="dxa" w:w="1191"/>
            <w:vAlign w:val="center"/>
            <w:tcMar>
              <w:top w:w="65" w:type="dxa"/>
              <w:left w:w="65" w:type="dxa"/>
              <w:bottom w:w="65" w:type="dxa"/>
              <w:right w:w="65" w:type="dxa"/>
            </w:tcMar>
          </w:tcPr>
          <w:p>
            <w:pPr>
              <w:pStyle w:val="TableText"/>
              <w:keepNext w:val="0"/>
              <w:widowControl/>
              <w:jc w:val="left"/>
            </w:pPr>
            <w:r>
              <w:rPr>
                <w:b w:val="0"/>
                <w:sz w:val="17"/>
              </w:rPr>
              <w:t>562</w:t>
            </w:r>
          </w:p>
        </w:tc>
        <w:tc>
          <w:tcPr>
            <w:tcW w:type="dxa" w:w="1474"/>
            <w:vAlign w:val="center"/>
            <w:tcMar>
              <w:top w:w="65" w:type="dxa"/>
              <w:left w:w="65" w:type="dxa"/>
              <w:bottom w:w="65" w:type="dxa"/>
              <w:right w:w="65" w:type="dxa"/>
            </w:tcMar>
          </w:tcPr>
          <w:p>
            <w:pPr>
              <w:pStyle w:val="TableText"/>
              <w:keepNext w:val="0"/>
              <w:widowControl/>
              <w:jc w:val="left"/>
            </w:pPr>
            <w:r>
              <w:rPr>
                <w:b w:val="0"/>
                <w:sz w:val="17"/>
              </w:rPr>
              <w:t>561</w:t>
            </w:r>
          </w:p>
        </w:tc>
        <w:tc>
          <w:tcPr>
            <w:tcW w:type="dxa" w:w="1474"/>
            <w:vAlign w:val="center"/>
            <w:tcMar>
              <w:top w:w="65" w:type="dxa"/>
              <w:left w:w="65" w:type="dxa"/>
              <w:bottom w:w="65" w:type="dxa"/>
              <w:right w:w="65" w:type="dxa"/>
            </w:tcMar>
          </w:tcPr>
          <w:p>
            <w:pPr>
              <w:pStyle w:val="TableText"/>
              <w:keepNext w:val="0"/>
              <w:widowControl/>
              <w:jc w:val="left"/>
            </w:pPr>
            <w:r>
              <w:rPr>
                <w:b w:val="0"/>
                <w:sz w:val="17"/>
              </w:rPr>
              <w:t>559</w:t>
            </w:r>
          </w:p>
        </w:tc>
      </w:tr>
      <w:tr>
        <w:trPr>
          <w:cantSplit/>
        </w:trPr>
        <w:tc>
          <w:tcPr>
            <w:tcW w:type="dxa" w:w="1984"/>
            <w:vAlign w:val="center"/>
            <w:tcMar>
              <w:top w:w="65" w:type="dxa"/>
              <w:left w:w="65" w:type="dxa"/>
              <w:bottom w:w="65" w:type="dxa"/>
              <w:right w:w="65" w:type="dxa"/>
            </w:tcMar>
          </w:tcPr>
          <w:p>
            <w:pPr>
              <w:pStyle w:val="TableText"/>
              <w:keepNext w:val="0"/>
              <w:widowControl/>
              <w:jc w:val="left"/>
            </w:pPr>
            <w:r>
              <w:rPr>
                <w:b w:val="0"/>
                <w:sz w:val="17"/>
              </w:rPr>
              <w:t>High Gemini</w:t>
            </w:r>
          </w:p>
        </w:tc>
        <w:tc>
          <w:tcPr>
            <w:tcW w:type="dxa" w:w="624"/>
            <w:vAlign w:val="center"/>
            <w:tcMar>
              <w:top w:w="65" w:type="dxa"/>
              <w:left w:w="65" w:type="dxa"/>
              <w:bottom w:w="65" w:type="dxa"/>
              <w:right w:w="65" w:type="dxa"/>
            </w:tcMar>
          </w:tcPr>
          <w:p>
            <w:pPr>
              <w:pStyle w:val="TableText"/>
              <w:keepNext w:val="0"/>
              <w:widowControl/>
              <w:jc w:val="left"/>
            </w:pPr>
            <w:r>
              <w:rPr>
                <w:b w:val="0"/>
                <w:sz w:val="17"/>
              </w:rPr>
              <w:t>BINF</w:t>
            </w:r>
          </w:p>
        </w:tc>
        <w:tc>
          <w:tcPr>
            <w:tcW w:type="dxa" w:w="1191"/>
            <w:vAlign w:val="center"/>
            <w:tcMar>
              <w:top w:w="65" w:type="dxa"/>
              <w:left w:w="65" w:type="dxa"/>
              <w:bottom w:w="65" w:type="dxa"/>
              <w:right w:w="65" w:type="dxa"/>
            </w:tcMar>
          </w:tcPr>
          <w:p>
            <w:pPr>
              <w:pStyle w:val="TableText"/>
              <w:keepNext w:val="0"/>
              <w:widowControl/>
              <w:jc w:val="left"/>
            </w:pPr>
            <w:r>
              <w:rPr>
                <w:b w:val="0"/>
                <w:sz w:val="17"/>
              </w:rPr>
              <w:t>575</w:t>
            </w:r>
          </w:p>
        </w:tc>
        <w:tc>
          <w:tcPr>
            <w:tcW w:type="dxa" w:w="1191"/>
            <w:vAlign w:val="center"/>
            <w:tcMar>
              <w:top w:w="65" w:type="dxa"/>
              <w:left w:w="65" w:type="dxa"/>
              <w:bottom w:w="65" w:type="dxa"/>
              <w:right w:w="65" w:type="dxa"/>
            </w:tcMar>
          </w:tcPr>
          <w:p>
            <w:pPr>
              <w:pStyle w:val="TableText"/>
              <w:keepNext w:val="0"/>
              <w:widowControl/>
              <w:jc w:val="left"/>
            </w:pPr>
            <w:r>
              <w:rPr>
                <w:b w:val="0"/>
                <w:sz w:val="17"/>
              </w:rPr>
              <w:t>575</w:t>
            </w:r>
          </w:p>
        </w:tc>
        <w:tc>
          <w:tcPr>
            <w:tcW w:type="dxa" w:w="1474"/>
            <w:vAlign w:val="center"/>
            <w:tcMar>
              <w:top w:w="65" w:type="dxa"/>
              <w:left w:w="65" w:type="dxa"/>
              <w:bottom w:w="65" w:type="dxa"/>
              <w:right w:w="65" w:type="dxa"/>
            </w:tcMar>
          </w:tcPr>
          <w:p>
            <w:pPr>
              <w:pStyle w:val="TableText"/>
              <w:keepNext w:val="0"/>
              <w:widowControl/>
              <w:jc w:val="left"/>
            </w:pPr>
            <w:r>
              <w:rPr>
                <w:b w:val="0"/>
                <w:sz w:val="17"/>
              </w:rPr>
              <w:t>575</w:t>
            </w:r>
          </w:p>
        </w:tc>
        <w:tc>
          <w:tcPr>
            <w:tcW w:type="dxa" w:w="1474"/>
            <w:vAlign w:val="center"/>
            <w:tcMar>
              <w:top w:w="65" w:type="dxa"/>
              <w:left w:w="65" w:type="dxa"/>
              <w:bottom w:w="65" w:type="dxa"/>
              <w:right w:w="65" w:type="dxa"/>
            </w:tcMar>
          </w:tcPr>
          <w:p>
            <w:pPr>
              <w:pStyle w:val="TableText"/>
              <w:keepNext w:val="0"/>
              <w:widowControl/>
              <w:jc w:val="left"/>
            </w:pPr>
            <w:r>
              <w:rPr>
                <w:b w:val="0"/>
                <w:sz w:val="17"/>
              </w:rPr>
              <w:t>575</w:t>
            </w:r>
          </w:p>
        </w:tc>
      </w:tr>
      <w:tr>
        <w:trPr>
          <w:cantSplit/>
        </w:trPr>
        <w:tc>
          <w:tcPr>
            <w:tcW w:type="dxa" w:w="1984"/>
            <w:vAlign w:val="center"/>
            <w:tcMar>
              <w:top w:w="65" w:type="dxa"/>
              <w:left w:w="65" w:type="dxa"/>
              <w:bottom w:w="65" w:type="dxa"/>
              <w:right w:w="65" w:type="dxa"/>
            </w:tcMar>
          </w:tcPr>
          <w:p>
            <w:pPr>
              <w:pStyle w:val="TableText"/>
              <w:keepNext w:val="0"/>
              <w:widowControl/>
              <w:jc w:val="left"/>
            </w:pPr>
            <w:r>
              <w:rPr>
                <w:b w:val="0"/>
                <w:sz w:val="17"/>
              </w:rPr>
              <w:t>High GPT</w:t>
            </w:r>
          </w:p>
        </w:tc>
        <w:tc>
          <w:tcPr>
            <w:tcW w:type="dxa" w:w="624"/>
            <w:vAlign w:val="center"/>
            <w:tcMar>
              <w:top w:w="65" w:type="dxa"/>
              <w:left w:w="65" w:type="dxa"/>
              <w:bottom w:w="65" w:type="dxa"/>
              <w:right w:w="65" w:type="dxa"/>
            </w:tcMar>
          </w:tcPr>
          <w:p>
            <w:pPr>
              <w:pStyle w:val="TableText"/>
              <w:keepNext w:val="0"/>
              <w:widowControl/>
              <w:jc w:val="left"/>
            </w:pPr>
            <w:r>
              <w:rPr>
                <w:b w:val="0"/>
                <w:sz w:val="17"/>
              </w:rPr>
              <w:t>B1</w:t>
            </w:r>
          </w:p>
        </w:tc>
        <w:tc>
          <w:tcPr>
            <w:tcW w:type="dxa" w:w="1191"/>
            <w:vAlign w:val="center"/>
            <w:tcMar>
              <w:top w:w="65" w:type="dxa"/>
              <w:left w:w="65" w:type="dxa"/>
              <w:bottom w:w="65" w:type="dxa"/>
              <w:right w:w="65" w:type="dxa"/>
            </w:tcMar>
          </w:tcPr>
          <w:p>
            <w:pPr>
              <w:pStyle w:val="TableText"/>
              <w:keepNext w:val="0"/>
              <w:widowControl/>
              <w:jc w:val="left"/>
            </w:pPr>
            <w:r>
              <w:rPr>
                <w:b w:val="0"/>
                <w:sz w:val="17"/>
              </w:rPr>
              <w:t>552</w:t>
            </w:r>
          </w:p>
        </w:tc>
        <w:tc>
          <w:tcPr>
            <w:tcW w:type="dxa" w:w="1191"/>
            <w:vAlign w:val="center"/>
            <w:tcMar>
              <w:top w:w="65" w:type="dxa"/>
              <w:left w:w="65" w:type="dxa"/>
              <w:bottom w:w="65" w:type="dxa"/>
              <w:right w:w="65" w:type="dxa"/>
            </w:tcMar>
          </w:tcPr>
          <w:p>
            <w:pPr>
              <w:pStyle w:val="TableText"/>
              <w:keepNext w:val="0"/>
              <w:widowControl/>
              <w:jc w:val="left"/>
            </w:pPr>
            <w:r>
              <w:rPr>
                <w:b w:val="0"/>
                <w:sz w:val="17"/>
              </w:rPr>
              <w:t>557</w:t>
            </w:r>
          </w:p>
        </w:tc>
        <w:tc>
          <w:tcPr>
            <w:tcW w:type="dxa" w:w="1474"/>
            <w:vAlign w:val="center"/>
            <w:tcMar>
              <w:top w:w="65" w:type="dxa"/>
              <w:left w:w="65" w:type="dxa"/>
              <w:bottom w:w="65" w:type="dxa"/>
              <w:right w:w="65" w:type="dxa"/>
            </w:tcMar>
          </w:tcPr>
          <w:p>
            <w:pPr>
              <w:pStyle w:val="TableText"/>
              <w:keepNext w:val="0"/>
              <w:widowControl/>
              <w:jc w:val="left"/>
            </w:pPr>
            <w:r>
              <w:rPr>
                <w:b w:val="0"/>
                <w:sz w:val="17"/>
              </w:rPr>
              <w:t>558</w:t>
            </w:r>
          </w:p>
        </w:tc>
        <w:tc>
          <w:tcPr>
            <w:tcW w:type="dxa" w:w="1474"/>
            <w:vAlign w:val="center"/>
            <w:tcMar>
              <w:top w:w="65" w:type="dxa"/>
              <w:left w:w="65" w:type="dxa"/>
              <w:bottom w:w="65" w:type="dxa"/>
              <w:right w:w="65" w:type="dxa"/>
            </w:tcMar>
          </w:tcPr>
          <w:p>
            <w:pPr>
              <w:pStyle w:val="TableText"/>
              <w:keepNext w:val="0"/>
              <w:widowControl/>
              <w:jc w:val="left"/>
            </w:pPr>
            <w:r>
              <w:rPr>
                <w:b w:val="0"/>
                <w:sz w:val="17"/>
              </w:rPr>
              <w:t>557</w:t>
            </w:r>
          </w:p>
        </w:tc>
      </w:tr>
      <w:tr>
        <w:trPr>
          <w:cantSplit/>
        </w:trPr>
        <w:tc>
          <w:tcPr>
            <w:tcW w:type="dxa" w:w="1984"/>
            <w:vAlign w:val="center"/>
            <w:tcMar>
              <w:top w:w="65" w:type="dxa"/>
              <w:left w:w="65" w:type="dxa"/>
              <w:bottom w:w="65" w:type="dxa"/>
              <w:right w:w="65" w:type="dxa"/>
            </w:tcMar>
          </w:tcPr>
          <w:p>
            <w:pPr>
              <w:pStyle w:val="TableText"/>
              <w:keepNext w:val="0"/>
              <w:widowControl/>
              <w:jc w:val="left"/>
            </w:pPr>
            <w:r>
              <w:rPr>
                <w:b w:val="0"/>
                <w:sz w:val="17"/>
              </w:rPr>
              <w:t>High GPT</w:t>
            </w:r>
          </w:p>
        </w:tc>
        <w:tc>
          <w:tcPr>
            <w:tcW w:type="dxa" w:w="624"/>
            <w:vAlign w:val="center"/>
            <w:tcMar>
              <w:top w:w="65" w:type="dxa"/>
              <w:left w:w="65" w:type="dxa"/>
              <w:bottom w:w="65" w:type="dxa"/>
              <w:right w:w="65" w:type="dxa"/>
            </w:tcMar>
          </w:tcPr>
          <w:p>
            <w:pPr>
              <w:pStyle w:val="TableText"/>
              <w:keepNext w:val="0"/>
              <w:widowControl/>
              <w:jc w:val="left"/>
            </w:pPr>
            <w:r>
              <w:rPr>
                <w:b w:val="0"/>
                <w:sz w:val="17"/>
              </w:rPr>
              <w:t>BINF</w:t>
            </w:r>
          </w:p>
        </w:tc>
        <w:tc>
          <w:tcPr>
            <w:tcW w:type="dxa" w:w="1191"/>
            <w:vAlign w:val="center"/>
            <w:tcMar>
              <w:top w:w="65" w:type="dxa"/>
              <w:left w:w="65" w:type="dxa"/>
              <w:bottom w:w="65" w:type="dxa"/>
              <w:right w:w="65" w:type="dxa"/>
            </w:tcMar>
          </w:tcPr>
          <w:p>
            <w:pPr>
              <w:pStyle w:val="TableText"/>
              <w:keepNext w:val="0"/>
              <w:widowControl/>
              <w:jc w:val="left"/>
            </w:pPr>
            <w:r>
              <w:rPr>
                <w:b w:val="0"/>
                <w:sz w:val="17"/>
              </w:rPr>
              <w:t>567</w:t>
            </w:r>
          </w:p>
        </w:tc>
        <w:tc>
          <w:tcPr>
            <w:tcW w:type="dxa" w:w="1191"/>
            <w:vAlign w:val="center"/>
            <w:tcMar>
              <w:top w:w="65" w:type="dxa"/>
              <w:left w:w="65" w:type="dxa"/>
              <w:bottom w:w="65" w:type="dxa"/>
              <w:right w:w="65" w:type="dxa"/>
            </w:tcMar>
          </w:tcPr>
          <w:p>
            <w:pPr>
              <w:pStyle w:val="TableText"/>
              <w:keepNext w:val="0"/>
              <w:widowControl/>
              <w:jc w:val="left"/>
            </w:pPr>
            <w:r>
              <w:rPr>
                <w:b w:val="0"/>
                <w:sz w:val="17"/>
              </w:rPr>
              <w:t>566</w:t>
            </w:r>
          </w:p>
        </w:tc>
        <w:tc>
          <w:tcPr>
            <w:tcW w:type="dxa" w:w="1474"/>
            <w:vAlign w:val="center"/>
            <w:tcMar>
              <w:top w:w="65" w:type="dxa"/>
              <w:left w:w="65" w:type="dxa"/>
              <w:bottom w:w="65" w:type="dxa"/>
              <w:right w:w="65" w:type="dxa"/>
            </w:tcMar>
          </w:tcPr>
          <w:p>
            <w:pPr>
              <w:pStyle w:val="TableText"/>
              <w:keepNext w:val="0"/>
              <w:widowControl/>
              <w:jc w:val="left"/>
            </w:pPr>
            <w:r>
              <w:rPr>
                <w:b w:val="0"/>
                <w:sz w:val="17"/>
              </w:rPr>
              <w:t>567</w:t>
            </w:r>
          </w:p>
        </w:tc>
        <w:tc>
          <w:tcPr>
            <w:tcW w:type="dxa" w:w="1474"/>
            <w:vAlign w:val="center"/>
            <w:tcMar>
              <w:top w:w="65" w:type="dxa"/>
              <w:left w:w="65" w:type="dxa"/>
              <w:bottom w:w="65" w:type="dxa"/>
              <w:right w:w="65" w:type="dxa"/>
            </w:tcMar>
          </w:tcPr>
          <w:p>
            <w:pPr>
              <w:pStyle w:val="TableText"/>
              <w:keepNext w:val="0"/>
              <w:widowControl/>
              <w:jc w:val="left"/>
            </w:pPr>
            <w:r>
              <w:rPr>
                <w:b w:val="0"/>
                <w:sz w:val="17"/>
              </w:rPr>
              <w:t>565</w:t>
            </w:r>
          </w:p>
        </w:tc>
      </w:tr>
    </w:tbl>
    <w:p>
      <w:pPr>
        <w:pStyle w:val="SourceNote"/>
        <w:widowControl/>
      </w:pPr>
      <w:r>
        <w:t>자료: canonical strict mask 재구성. 완전한 PP 효과·구간은 strict_intersection_pp_contrasts.csv에 보존한다.</w:t>
      </w:r>
    </w:p>
    <w:p>
      <w:bookmarkStart w:id="273" w:name="head_181"/>
      <w:pPr>
        <w:pStyle w:val="2"/>
        <w:widowControl/>
      </w:pPr>
      <w:r>
        <w:t>F.2 비용 계산식과 귀속 범위</w:t>
      </w:r>
      <w:bookmarkEnd w:id="273"/>
    </w:p>
    <w:p>
      <w:pPr>
        <w:widowControl/>
      </w:pPr>
      <w:r>
        <w:t>요청단가=C_assumed/N_requests, 수용행동단가=C_assumed/N_usable로 계산하였다. 수용행동 수는 각 공급자·regime의 전체 12,075개 요청에서 strict mask를 합산한 수이다. Repaired 단가를 계산할 때에도 총 API 지출은 같은 값을 사용하고, 추가 수용행동만 분모에 반영한다. 이렇게 계산한 값은 동일 원응답의 후처리 비용효율이지 추가 호출의 청구단가가 아니다.</w:t>
      </w:r>
    </w:p>
    <w:p>
      <w:pPr>
        <w:widowControl/>
      </w:pPr>
      <w:r>
        <w:t>OpenAI의 Baseline/High 귀속은 $19.57/$109.28, Gemini는 약 ₩12,900/₩41,830이다. High를 추가 수행한 총지출과 동일한 수를 Baseline 대신 High로 생성했을 때의 비용 프리미엄은 구분한다. 후자의 금액차이는 GPT $89.71, Gemini 약 ₩28,930이며, 통화 사이 합산이나 금전적 ROI는 계산하지 않았다.</w:t>
      </w:r>
    </w:p>
    <w:p>
      <w:bookmarkStart w:id="274" w:name="head_182"/>
      <w:pPr>
        <w:pStyle w:val="2"/>
        <w:widowControl/>
      </w:pPr>
      <w:r>
        <w:t>F.3 재집계 산출물과 자료 출처</w:t>
      </w:r>
      <w:bookmarkEnd w:id="274"/>
    </w:p>
    <w:p>
      <w:bookmarkStart w:id="275" w:name="cap_93"/>
      <w:pPr>
        <w:pStyle w:val="af"/>
        <w:widowControl/>
      </w:pPr>
      <w:r>
        <w:t>표 F-2. 본문 표와 파생파일의 대응</w:t>
      </w:r>
      <w:bookmarkEnd w:id="275"/>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2608"/>
        <w:gridCol w:w="5329"/>
      </w:tblGrid>
      <w:tr>
        <w:trPr>
          <w:cantSplit/>
          <w:tblHeader/>
        </w:trPr>
        <w:tc>
          <w:tcPr>
            <w:tcW w:type="dxa" w:w="2608"/>
            <w:vAlign w:val="center"/>
            <w:shd w:fill="F1F1F1"/>
            <w:tcMar>
              <w:top w:w="65" w:type="dxa"/>
              <w:left w:w="65" w:type="dxa"/>
              <w:bottom w:w="65" w:type="dxa"/>
              <w:right w:w="65" w:type="dxa"/>
            </w:tcMar>
          </w:tcPr>
          <w:p>
            <w:pPr>
              <w:pStyle w:val="TableText"/>
              <w:keepNext/>
              <w:widowControl/>
              <w:jc w:val="center"/>
            </w:pPr>
            <w:r>
              <w:rPr>
                <w:b/>
                <w:sz w:val="18"/>
              </w:rPr>
              <w:t>내용</w:t>
            </w:r>
          </w:p>
        </w:tc>
        <w:tc>
          <w:tcPr>
            <w:tcW w:type="dxa" w:w="5329"/>
            <w:vAlign w:val="center"/>
            <w:shd w:fill="F1F1F1"/>
            <w:tcMar>
              <w:top w:w="65" w:type="dxa"/>
              <w:left w:w="65" w:type="dxa"/>
              <w:bottom w:w="65" w:type="dxa"/>
              <w:right w:w="65" w:type="dxa"/>
            </w:tcMar>
          </w:tcPr>
          <w:p>
            <w:pPr>
              <w:pStyle w:val="TableText"/>
              <w:keepNext/>
              <w:widowControl/>
              <w:jc w:val="center"/>
            </w:pPr>
            <w:r>
              <w:rPr>
                <w:b/>
                <w:sz w:val="18"/>
              </w:rPr>
              <w:t>재집계 파일</w:t>
            </w:r>
          </w:p>
        </w:tc>
      </w:tr>
      <w:tr>
        <w:trPr>
          <w:cantSplit/>
        </w:trPr>
        <w:tc>
          <w:tcPr>
            <w:tcW w:type="dxa" w:w="2608"/>
            <w:vAlign w:val="center"/>
            <w:tcMar>
              <w:top w:w="65" w:type="dxa"/>
              <w:left w:w="65" w:type="dxa"/>
              <w:bottom w:w="65" w:type="dxa"/>
              <w:right w:w="65" w:type="dxa"/>
            </w:tcMar>
          </w:tcPr>
          <w:p>
            <w:pPr>
              <w:pStyle w:val="TableText"/>
              <w:keepNext/>
              <w:widowControl/>
              <w:jc w:val="left"/>
            </w:pPr>
            <w:r>
              <w:rPr>
                <w:b w:val="0"/>
                <w:sz w:val="18"/>
              </w:rPr>
              <w:t>Run1 정책가치</w:t>
            </w:r>
          </w:p>
        </w:tc>
        <w:tc>
          <w:tcPr>
            <w:tcW w:type="dxa" w:w="5329"/>
            <w:vAlign w:val="center"/>
            <w:tcMar>
              <w:top w:w="65" w:type="dxa"/>
              <w:left w:w="65" w:type="dxa"/>
              <w:bottom w:w="65" w:type="dxa"/>
              <w:right w:w="65" w:type="dxa"/>
            </w:tcMar>
          </w:tcPr>
          <w:p>
            <w:pPr>
              <w:pStyle w:val="TableText"/>
              <w:keepNext/>
              <w:widowControl/>
              <w:jc w:val="left"/>
            </w:pPr>
            <w:r>
              <w:rPr>
                <w:b w:val="0"/>
                <w:sz w:val="18"/>
              </w:rPr>
              <w:t>cell_summary_run1.csv</w:t>
            </w:r>
          </w:p>
        </w:tc>
      </w:tr>
      <w:tr>
        <w:trPr>
          <w:cantSplit/>
        </w:trPr>
        <w:tc>
          <w:tcPr>
            <w:tcW w:type="dxa" w:w="2608"/>
            <w:vAlign w:val="center"/>
            <w:tcMar>
              <w:top w:w="65" w:type="dxa"/>
              <w:left w:w="65" w:type="dxa"/>
              <w:bottom w:w="65" w:type="dxa"/>
              <w:right w:w="65" w:type="dxa"/>
            </w:tcMar>
          </w:tcPr>
          <w:p>
            <w:pPr>
              <w:pStyle w:val="TableText"/>
              <w:keepNext w:val="0"/>
              <w:widowControl/>
              <w:jc w:val="left"/>
            </w:pPr>
            <w:r>
              <w:rPr>
                <w:b w:val="0"/>
                <w:sz w:val="18"/>
              </w:rPr>
              <w:t>Run1/Run2 분리 점검</w:t>
            </w:r>
          </w:p>
        </w:tc>
        <w:tc>
          <w:tcPr>
            <w:tcW w:type="dxa" w:w="5329"/>
            <w:vAlign w:val="center"/>
            <w:tcMar>
              <w:top w:w="65" w:type="dxa"/>
              <w:left w:w="65" w:type="dxa"/>
              <w:bottom w:w="65" w:type="dxa"/>
              <w:right w:w="65" w:type="dxa"/>
            </w:tcMar>
          </w:tcPr>
          <w:p>
            <w:pPr>
              <w:pStyle w:val="TableText"/>
              <w:keepNext w:val="0"/>
              <w:widowControl/>
              <w:jc w:val="left"/>
            </w:pPr>
            <w:r>
              <w:rPr>
                <w:b w:val="0"/>
                <w:sz w:val="18"/>
              </w:rPr>
              <w:t>cell_summary_all_runs.csv</w:t>
            </w:r>
          </w:p>
        </w:tc>
      </w:tr>
      <w:tr>
        <w:trPr>
          <w:cantSplit/>
        </w:trPr>
        <w:tc>
          <w:tcPr>
            <w:tcW w:type="dxa" w:w="2608"/>
            <w:vAlign w:val="center"/>
            <w:tcMar>
              <w:top w:w="65" w:type="dxa"/>
              <w:left w:w="65" w:type="dxa"/>
              <w:bottom w:w="65" w:type="dxa"/>
              <w:right w:w="65" w:type="dxa"/>
            </w:tcMar>
          </w:tcPr>
          <w:p>
            <w:pPr>
              <w:pStyle w:val="TableText"/>
              <w:keepNext w:val="0"/>
              <w:widowControl/>
              <w:jc w:val="left"/>
            </w:pPr>
            <w:r>
              <w:rPr>
                <w:b w:val="0"/>
                <w:sz w:val="18"/>
              </w:rPr>
              <w:t>네 중심 대비·Holm</w:t>
            </w:r>
          </w:p>
        </w:tc>
        <w:tc>
          <w:tcPr>
            <w:tcW w:type="dxa" w:w="5329"/>
            <w:vAlign w:val="center"/>
            <w:tcMar>
              <w:top w:w="65" w:type="dxa"/>
              <w:left w:w="65" w:type="dxa"/>
              <w:bottom w:w="65" w:type="dxa"/>
              <w:right w:w="65" w:type="dxa"/>
            </w:tcMar>
          </w:tcPr>
          <w:p>
            <w:pPr>
              <w:pStyle w:val="TableText"/>
              <w:keepNext w:val="0"/>
              <w:widowControl/>
              <w:jc w:val="left"/>
            </w:pPr>
            <w:r>
              <w:rPr>
                <w:b w:val="0"/>
                <w:sz w:val="18"/>
              </w:rPr>
              <w:t>&lt;ARM&gt;_primary_run1.csv</w:t>
            </w:r>
          </w:p>
        </w:tc>
      </w:tr>
      <w:tr>
        <w:trPr>
          <w:cantSplit/>
        </w:trPr>
        <w:tc>
          <w:tcPr>
            <w:tcW w:type="dxa" w:w="2608"/>
            <w:vAlign w:val="center"/>
            <w:tcMar>
              <w:top w:w="65" w:type="dxa"/>
              <w:left w:w="65" w:type="dxa"/>
              <w:bottom w:w="65" w:type="dxa"/>
              <w:right w:w="65" w:type="dxa"/>
            </w:tcMar>
          </w:tcPr>
          <w:p>
            <w:pPr>
              <w:pStyle w:val="TableText"/>
              <w:keepNext w:val="0"/>
              <w:widowControl/>
              <w:jc w:val="left"/>
            </w:pPr>
            <w:r>
              <w:rPr>
                <w:b w:val="0"/>
                <w:sz w:val="18"/>
              </w:rPr>
              <w:t>행동예산 상호작용</w:t>
            </w:r>
          </w:p>
        </w:tc>
        <w:tc>
          <w:tcPr>
            <w:tcW w:type="dxa" w:w="5329"/>
            <w:vAlign w:val="center"/>
            <w:tcMar>
              <w:top w:w="65" w:type="dxa"/>
              <w:left w:w="65" w:type="dxa"/>
              <w:bottom w:w="65" w:type="dxa"/>
              <w:right w:w="65" w:type="dxa"/>
            </w:tcMar>
          </w:tcPr>
          <w:p>
            <w:pPr>
              <w:pStyle w:val="TableText"/>
              <w:keepNext w:val="0"/>
              <w:widowControl/>
              <w:jc w:val="left"/>
            </w:pPr>
            <w:r>
              <w:rPr>
                <w:b w:val="0"/>
                <w:sz w:val="18"/>
              </w:rPr>
              <w:t>&lt;ARM&gt;_interaction_run1.csv</w:t>
            </w:r>
          </w:p>
        </w:tc>
      </w:tr>
      <w:tr>
        <w:trPr>
          <w:cantSplit/>
        </w:trPr>
        <w:tc>
          <w:tcPr>
            <w:tcW w:type="dxa" w:w="2608"/>
            <w:vAlign w:val="center"/>
            <w:tcMar>
              <w:top w:w="65" w:type="dxa"/>
              <w:left w:w="65" w:type="dxa"/>
              <w:bottom w:w="65" w:type="dxa"/>
              <w:right w:w="65" w:type="dxa"/>
            </w:tcMar>
          </w:tcPr>
          <w:p>
            <w:pPr>
              <w:pStyle w:val="TableText"/>
              <w:keepNext w:val="0"/>
              <w:widowControl/>
              <w:jc w:val="left"/>
            </w:pPr>
            <w:r>
              <w:rPr>
                <w:b w:val="0"/>
                <w:sz w:val="18"/>
              </w:rPr>
              <w:t>Strict 교집합 PP</w:t>
            </w:r>
          </w:p>
        </w:tc>
        <w:tc>
          <w:tcPr>
            <w:tcW w:type="dxa" w:w="5329"/>
            <w:vAlign w:val="center"/>
            <w:tcMar>
              <w:top w:w="65" w:type="dxa"/>
              <w:left w:w="65" w:type="dxa"/>
              <w:bottom w:w="65" w:type="dxa"/>
              <w:right w:w="65" w:type="dxa"/>
            </w:tcMar>
          </w:tcPr>
          <w:p>
            <w:pPr>
              <w:pStyle w:val="TableText"/>
              <w:keepNext w:val="0"/>
              <w:widowControl/>
              <w:jc w:val="left"/>
            </w:pPr>
            <w:r>
              <w:rPr>
                <w:b w:val="0"/>
                <w:sz w:val="18"/>
              </w:rPr>
              <w:t>strict_intersection_pp_contrasts.csv</w:t>
            </w:r>
          </w:p>
        </w:tc>
      </w:tr>
      <w:tr>
        <w:trPr>
          <w:cantSplit/>
        </w:trPr>
        <w:tc>
          <w:tcPr>
            <w:tcW w:type="dxa" w:w="2608"/>
            <w:vAlign w:val="center"/>
            <w:tcMar>
              <w:top w:w="65" w:type="dxa"/>
              <w:left w:w="65" w:type="dxa"/>
              <w:bottom w:w="65" w:type="dxa"/>
              <w:right w:w="65" w:type="dxa"/>
            </w:tcMar>
          </w:tcPr>
          <w:p>
            <w:pPr>
              <w:pStyle w:val="TableText"/>
              <w:keepNext w:val="0"/>
              <w:widowControl/>
              <w:jc w:val="left"/>
            </w:pPr>
            <w:r>
              <w:rPr>
                <w:b w:val="0"/>
                <w:sz w:val="18"/>
              </w:rPr>
              <w:t>추론 regime / 기제 대비</w:t>
            </w:r>
          </w:p>
        </w:tc>
        <w:tc>
          <w:tcPr>
            <w:tcW w:type="dxa" w:w="5329"/>
            <w:vAlign w:val="center"/>
            <w:tcMar>
              <w:top w:w="65" w:type="dxa"/>
              <w:left w:w="65" w:type="dxa"/>
              <w:bottom w:w="65" w:type="dxa"/>
              <w:right w:w="65" w:type="dxa"/>
            </w:tcMar>
          </w:tcPr>
          <w:p>
            <w:pPr>
              <w:pStyle w:val="TableText"/>
              <w:keepNext w:val="0"/>
              <w:widowControl/>
              <w:jc w:val="left"/>
            </w:pPr>
            <w:r>
              <w:rPr>
                <w:b w:val="0"/>
                <w:sz w:val="18"/>
              </w:rPr>
              <w:t>reasoning_regime_run1.csv / reasoning_mechanism_run1.csv</w:t>
            </w:r>
          </w:p>
        </w:tc>
      </w:tr>
      <w:tr>
        <w:trPr>
          <w:cantSplit/>
        </w:trPr>
        <w:tc>
          <w:tcPr>
            <w:tcW w:type="dxa" w:w="2608"/>
            <w:vAlign w:val="center"/>
            <w:tcMar>
              <w:top w:w="65" w:type="dxa"/>
              <w:left w:w="65" w:type="dxa"/>
              <w:bottom w:w="65" w:type="dxa"/>
              <w:right w:w="65" w:type="dxa"/>
            </w:tcMar>
          </w:tcPr>
          <w:p>
            <w:pPr>
              <w:pStyle w:val="TableText"/>
              <w:keepNext w:val="0"/>
              <w:widowControl/>
              <w:jc w:val="left"/>
            </w:pPr>
            <w:r>
              <w:rPr>
                <w:b w:val="0"/>
                <w:sz w:val="18"/>
              </w:rPr>
              <w:t>행동공간·정보조건</w:t>
            </w:r>
          </w:p>
        </w:tc>
        <w:tc>
          <w:tcPr>
            <w:tcW w:type="dxa" w:w="5329"/>
            <w:vAlign w:val="center"/>
            <w:tcMar>
              <w:top w:w="65" w:type="dxa"/>
              <w:left w:w="65" w:type="dxa"/>
              <w:bottom w:w="65" w:type="dxa"/>
              <w:right w:w="65" w:type="dxa"/>
            </w:tcMar>
          </w:tcPr>
          <w:p>
            <w:pPr>
              <w:pStyle w:val="TableText"/>
              <w:keepNext w:val="0"/>
              <w:widowControl/>
              <w:jc w:val="left"/>
            </w:pPr>
            <w:r>
              <w:rPr>
                <w:b w:val="0"/>
                <w:sz w:val="18"/>
              </w:rPr>
              <w:t>action_space_information_run1.csv</w:t>
            </w:r>
          </w:p>
        </w:tc>
      </w:tr>
      <w:tr>
        <w:trPr>
          <w:cantSplit/>
        </w:trPr>
        <w:tc>
          <w:tcPr>
            <w:tcW w:type="dxa" w:w="2608"/>
            <w:vAlign w:val="center"/>
            <w:tcMar>
              <w:top w:w="65" w:type="dxa"/>
              <w:left w:w="65" w:type="dxa"/>
              <w:bottom w:w="65" w:type="dxa"/>
              <w:right w:w="65" w:type="dxa"/>
            </w:tcMar>
          </w:tcPr>
          <w:p>
            <w:pPr>
              <w:pStyle w:val="TableText"/>
              <w:keepNext w:val="0"/>
              <w:widowControl/>
              <w:jc w:val="left"/>
            </w:pPr>
            <w:r>
              <w:rPr>
                <w:b w:val="0"/>
                <w:sz w:val="18"/>
              </w:rPr>
              <w:t>평균·기업별 반복성</w:t>
            </w:r>
          </w:p>
        </w:tc>
        <w:tc>
          <w:tcPr>
            <w:tcW w:type="dxa" w:w="5329"/>
            <w:vAlign w:val="center"/>
            <w:tcMar>
              <w:top w:w="65" w:type="dxa"/>
              <w:left w:w="65" w:type="dxa"/>
              <w:bottom w:w="65" w:type="dxa"/>
              <w:right w:w="65" w:type="dxa"/>
            </w:tcMar>
          </w:tcPr>
          <w:p>
            <w:pPr>
              <w:pStyle w:val="TableText"/>
              <w:keepNext w:val="0"/>
              <w:widowControl/>
              <w:jc w:val="left"/>
            </w:pPr>
            <w:r>
              <w:rPr>
                <w:b w:val="0"/>
                <w:sz w:val="18"/>
              </w:rPr>
              <w:t>repeatability.csv / increment_repeatability.csv</w:t>
            </w:r>
          </w:p>
        </w:tc>
      </w:tr>
      <w:tr>
        <w:trPr>
          <w:cantSplit/>
        </w:trPr>
        <w:tc>
          <w:tcPr>
            <w:tcW w:type="dxa" w:w="2608"/>
            <w:vAlign w:val="center"/>
            <w:tcMar>
              <w:top w:w="65" w:type="dxa"/>
              <w:left w:w="65" w:type="dxa"/>
              <w:bottom w:w="65" w:type="dxa"/>
              <w:right w:w="65" w:type="dxa"/>
            </w:tcMar>
          </w:tcPr>
          <w:p>
            <w:pPr>
              <w:pStyle w:val="TableText"/>
              <w:keepNext w:val="0"/>
              <w:widowControl/>
              <w:jc w:val="left"/>
            </w:pPr>
            <w:r>
              <w:rPr>
                <w:b w:val="0"/>
                <w:sz w:val="18"/>
              </w:rPr>
              <w:t>실제 벡터 반복성</w:t>
            </w:r>
          </w:p>
        </w:tc>
        <w:tc>
          <w:tcPr>
            <w:tcW w:type="dxa" w:w="5329"/>
            <w:vAlign w:val="center"/>
            <w:tcMar>
              <w:top w:w="65" w:type="dxa"/>
              <w:left w:w="65" w:type="dxa"/>
              <w:bottom w:w="65" w:type="dxa"/>
              <w:right w:w="65" w:type="dxa"/>
            </w:tcMar>
          </w:tcPr>
          <w:p>
            <w:pPr>
              <w:pStyle w:val="TableText"/>
              <w:keepNext w:val="0"/>
              <w:widowControl/>
              <w:jc w:val="left"/>
            </w:pPr>
            <w:r>
              <w:rPr>
                <w:b w:val="0"/>
                <w:sz w:val="18"/>
              </w:rPr>
              <w:t>action_repeatability.csv</w:t>
            </w:r>
          </w:p>
        </w:tc>
      </w:tr>
      <w:tr>
        <w:trPr>
          <w:cantSplit/>
        </w:trPr>
        <w:tc>
          <w:tcPr>
            <w:tcW w:type="dxa" w:w="2608"/>
            <w:vAlign w:val="center"/>
            <w:tcMar>
              <w:top w:w="65" w:type="dxa"/>
              <w:left w:w="65" w:type="dxa"/>
              <w:bottom w:w="65" w:type="dxa"/>
              <w:right w:w="65" w:type="dxa"/>
            </w:tcMar>
          </w:tcPr>
          <w:p>
            <w:pPr>
              <w:pStyle w:val="TableText"/>
              <w:keepNext w:val="0"/>
              <w:widowControl/>
              <w:jc w:val="left"/>
            </w:pPr>
            <w:r>
              <w:rPr>
                <w:b w:val="0"/>
                <w:sz w:val="18"/>
              </w:rPr>
              <w:t>부모 게이트 / 계보</w:t>
            </w:r>
          </w:p>
        </w:tc>
        <w:tc>
          <w:tcPr>
            <w:tcW w:type="dxa" w:w="5329"/>
            <w:vAlign w:val="center"/>
            <w:tcMar>
              <w:top w:w="65" w:type="dxa"/>
              <w:left w:w="65" w:type="dxa"/>
              <w:bottom w:w="65" w:type="dxa"/>
              <w:right w:w="65" w:type="dxa"/>
            </w:tcMar>
          </w:tcPr>
          <w:p>
            <w:pPr>
              <w:pStyle w:val="TableText"/>
              <w:keepNext w:val="0"/>
              <w:widowControl/>
              <w:jc w:val="left"/>
            </w:pPr>
            <w:r>
              <w:rPr>
                <w:b w:val="0"/>
                <w:sz w:val="18"/>
              </w:rPr>
              <w:t>parent_gate_sensitivity.csv / parent_lineage_audit.csv</w:t>
            </w:r>
          </w:p>
        </w:tc>
      </w:tr>
      <w:tr>
        <w:trPr>
          <w:cantSplit/>
        </w:trPr>
        <w:tc>
          <w:tcPr>
            <w:tcW w:type="dxa" w:w="2608"/>
            <w:vAlign w:val="center"/>
            <w:tcMar>
              <w:top w:w="65" w:type="dxa"/>
              <w:left w:w="65" w:type="dxa"/>
              <w:bottom w:w="65" w:type="dxa"/>
              <w:right w:w="65" w:type="dxa"/>
            </w:tcMar>
          </w:tcPr>
          <w:p>
            <w:pPr>
              <w:pStyle w:val="TableText"/>
              <w:keepNext w:val="0"/>
              <w:widowControl/>
              <w:jc w:val="left"/>
            </w:pPr>
            <w:r>
              <w:rPr>
                <w:b w:val="0"/>
                <w:sz w:val="18"/>
              </w:rPr>
              <w:t>수리 불변성 / 비용</w:t>
            </w:r>
          </w:p>
        </w:tc>
        <w:tc>
          <w:tcPr>
            <w:tcW w:type="dxa" w:w="5329"/>
            <w:vAlign w:val="center"/>
            <w:tcMar>
              <w:top w:w="65" w:type="dxa"/>
              <w:left w:w="65" w:type="dxa"/>
              <w:bottom w:w="65" w:type="dxa"/>
              <w:right w:w="65" w:type="dxa"/>
            </w:tcMar>
          </w:tcPr>
          <w:p>
            <w:pPr>
              <w:pStyle w:val="TableText"/>
              <w:keepNext w:val="0"/>
              <w:widowControl/>
              <w:jc w:val="left"/>
            </w:pPr>
            <w:r>
              <w:rPr>
                <w:b w:val="0"/>
                <w:sz w:val="18"/>
              </w:rPr>
              <w:t>repair_invariance_audit.csv / dashboard_cost_analysis.csv</w:t>
            </w:r>
          </w:p>
        </w:tc>
      </w:tr>
      <w:tr>
        <w:trPr>
          <w:cantSplit/>
        </w:trPr>
        <w:tc>
          <w:tcPr>
            <w:tcW w:type="dxa" w:w="2608"/>
            <w:vAlign w:val="center"/>
            <w:tcMar>
              <w:top w:w="65" w:type="dxa"/>
              <w:left w:w="65" w:type="dxa"/>
              <w:bottom w:w="65" w:type="dxa"/>
              <w:right w:w="65" w:type="dxa"/>
            </w:tcMar>
          </w:tcPr>
          <w:p>
            <w:pPr>
              <w:pStyle w:val="TableText"/>
              <w:keepNext w:val="0"/>
              <w:widowControl/>
              <w:jc w:val="left"/>
            </w:pPr>
            <w:r>
              <w:rPr>
                <w:b w:val="0"/>
                <w:sz w:val="18"/>
              </w:rPr>
              <w:t>RL 비교정책·동률</w:t>
            </w:r>
          </w:p>
        </w:tc>
        <w:tc>
          <w:tcPr>
            <w:tcW w:type="dxa" w:w="5329"/>
            <w:vAlign w:val="center"/>
            <w:tcMar>
              <w:top w:w="65" w:type="dxa"/>
              <w:left w:w="65" w:type="dxa"/>
              <w:bottom w:w="65" w:type="dxa"/>
              <w:right w:w="65" w:type="dxa"/>
            </w:tcMar>
          </w:tcPr>
          <w:p>
            <w:pPr>
              <w:pStyle w:val="TableText"/>
              <w:keepNext w:val="0"/>
              <w:widowControl/>
              <w:jc w:val="left"/>
            </w:pPr>
            <w:r>
              <w:rPr>
                <w:b w:val="0"/>
                <w:sz w:val="18"/>
              </w:rPr>
              <w:t>reference_ladder.csv / reference_diagnostics.json</w:t>
            </w:r>
          </w:p>
        </w:tc>
      </w:tr>
    </w:tbl>
    <w:p>
      <w:pPr>
        <w:pStyle w:val="SourceNote"/>
        <w:widowControl/>
      </w:pPr>
      <w:r>
        <w:t>ARM은 BASELINE_STRICT_ITT, BASELINE_REPAIRED_ITT, HIGH_STRICT_ITT, HIGH_REPAIRED_ITT 가운데 하나이다. 일반 repeatability 파일의 free8 candidate_match_rate 열은 행동일치로 사용하지 않는다.</w:t>
      </w:r>
    </w:p>
    <w:p>
      <w:pPr>
        <w:widowControl/>
      </w:pPr>
      <w:r>
        <w:t>상기 분석은 LLM_FINAL_OFFLINE_EVALUATION_20260914 패키지의 Stage9 기업별 평가행, 완료된 Baseline 요청 outcome, High 원행동 기록, pre-live contracts와 C3-E 배포 산출물을 연결하였다. 원 단계별 결과와 재집계의 경계, 실행 전 분기규칙 증거 및 재현된 bootstrap 구간은 별도 JSON과 변경기록에 남긴다.</w:t>
      </w:r>
    </w:p>
    <w:p>
      <w:pPr>
        <w:widowControl/>
      </w:pPr>
      <w:r>
        <w:t>원 평가파일의 첫 usability 표에 실제로 점수 요약이 들어 있던 문제, Run1과 Run2를 혼합하던 평균표, repaired usability를 사용한 PP, 50:50 비용배분 및 긴 float를 그대로 삽입한 표는 이 개정의 본문 표에 사용하지 않았다. 다만 집계수정으로 실행 source hash drift나 개발 검증의 최신 재실행 증거가 자동으로 해결되는 것은 아니다.</w:t>
      </w:r>
    </w:p>
    <w:p>
      <w:bookmarkStart w:id="276" w:name="head_183"/>
      <w:pPr>
        <w:pStyle w:val="2"/>
        <w:widowControl/>
      </w:pPr>
      <w:r>
        <w:t>F.4 아직 남는 증거상 제한</w:t>
      </w:r>
      <w:bookmarkEnd w:id="276"/>
    </w:p>
    <w:p>
      <w:bookmarkStart w:id="277" w:name="cap_94"/>
      <w:pPr>
        <w:pStyle w:val="af"/>
        <w:widowControl/>
      </w:pPr>
      <w:r>
        <w:t>표 F-3. 편집과 재집계로 없앨 수 없는 제한</w:t>
      </w:r>
      <w:bookmarkEnd w:id="277"/>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1814"/>
        <w:gridCol w:w="3061"/>
        <w:gridCol w:w="3061"/>
      </w:tblGrid>
      <w:tr>
        <w:trPr>
          <w:cantSplit/>
          <w:tblHeader/>
        </w:trPr>
        <w:tc>
          <w:tcPr>
            <w:tcW w:type="dxa" w:w="1814"/>
            <w:vAlign w:val="center"/>
            <w:shd w:fill="F1F1F1"/>
            <w:tcMar>
              <w:top w:w="65" w:type="dxa"/>
              <w:left w:w="65" w:type="dxa"/>
              <w:bottom w:w="65" w:type="dxa"/>
              <w:right w:w="65" w:type="dxa"/>
            </w:tcMar>
          </w:tcPr>
          <w:p>
            <w:pPr>
              <w:pStyle w:val="TableText"/>
              <w:keepNext/>
              <w:widowControl/>
              <w:jc w:val="center"/>
            </w:pPr>
            <w:r>
              <w:rPr>
                <w:b/>
                <w:sz w:val="18"/>
              </w:rPr>
              <w:t>항목</w:t>
            </w:r>
          </w:p>
        </w:tc>
        <w:tc>
          <w:tcPr>
            <w:tcW w:type="dxa" w:w="3061"/>
            <w:vAlign w:val="center"/>
            <w:shd w:fill="F1F1F1"/>
            <w:tcMar>
              <w:top w:w="65" w:type="dxa"/>
              <w:left w:w="65" w:type="dxa"/>
              <w:bottom w:w="65" w:type="dxa"/>
              <w:right w:w="65" w:type="dxa"/>
            </w:tcMar>
          </w:tcPr>
          <w:p>
            <w:pPr>
              <w:pStyle w:val="TableText"/>
              <w:keepNext/>
              <w:widowControl/>
              <w:jc w:val="center"/>
            </w:pPr>
            <w:r>
              <w:rPr>
                <w:b/>
                <w:sz w:val="18"/>
              </w:rPr>
              <w:t>이번 개정에서 한 조치</w:t>
            </w:r>
          </w:p>
        </w:tc>
        <w:tc>
          <w:tcPr>
            <w:tcW w:type="dxa" w:w="3061"/>
            <w:vAlign w:val="center"/>
            <w:shd w:fill="F1F1F1"/>
            <w:tcMar>
              <w:top w:w="65" w:type="dxa"/>
              <w:left w:w="65" w:type="dxa"/>
              <w:bottom w:w="65" w:type="dxa"/>
              <w:right w:w="65" w:type="dxa"/>
            </w:tcMar>
          </w:tcPr>
          <w:p>
            <w:pPr>
              <w:pStyle w:val="TableText"/>
              <w:keepNext/>
              <w:widowControl/>
              <w:jc w:val="center"/>
            </w:pPr>
            <w:r>
              <w:rPr>
                <w:b/>
                <w:sz w:val="18"/>
              </w:rPr>
              <w:t>남는 확인사항</w:t>
            </w:r>
          </w:p>
        </w:tc>
      </w:tr>
      <w:tr>
        <w:trPr>
          <w:cantSplit/>
        </w:trPr>
        <w:tc>
          <w:tcPr>
            <w:tcW w:type="dxa" w:w="1814"/>
            <w:vAlign w:val="center"/>
            <w:tcMar>
              <w:top w:w="65" w:type="dxa"/>
              <w:left w:w="65" w:type="dxa"/>
              <w:bottom w:w="65" w:type="dxa"/>
              <w:right w:w="65" w:type="dxa"/>
            </w:tcMar>
          </w:tcPr>
          <w:p>
            <w:pPr>
              <w:pStyle w:val="TableText"/>
              <w:keepNext/>
              <w:widowControl/>
              <w:jc w:val="left"/>
            </w:pPr>
            <w:r>
              <w:rPr>
                <w:b w:val="0"/>
                <w:sz w:val="18"/>
              </w:rPr>
              <w:t>생성코드 hash drift</w:t>
            </w:r>
          </w:p>
        </w:tc>
        <w:tc>
          <w:tcPr>
            <w:tcW w:type="dxa" w:w="3061"/>
            <w:vAlign w:val="center"/>
            <w:tcMar>
              <w:top w:w="65" w:type="dxa"/>
              <w:left w:w="65" w:type="dxa"/>
              <w:bottom w:w="65" w:type="dxa"/>
              <w:right w:w="65" w:type="dxa"/>
            </w:tcMar>
          </w:tcPr>
          <w:p>
            <w:pPr>
              <w:pStyle w:val="TableText"/>
              <w:keepNext/>
              <w:widowControl/>
              <w:jc w:val="left"/>
            </w:pPr>
            <w:r>
              <w:rPr>
                <w:b w:val="0"/>
                <w:sz w:val="18"/>
              </w:rPr>
              <w:t>현재 집계코드와 입력해시 별도 보존</w:t>
            </w:r>
          </w:p>
        </w:tc>
        <w:tc>
          <w:tcPr>
            <w:tcW w:type="dxa" w:w="3061"/>
            <w:vAlign w:val="center"/>
            <w:tcMar>
              <w:top w:w="65" w:type="dxa"/>
              <w:left w:w="65" w:type="dxa"/>
              <w:bottom w:w="65" w:type="dxa"/>
              <w:right w:w="65" w:type="dxa"/>
            </w:tcMar>
          </w:tcPr>
          <w:p>
            <w:pPr>
              <w:pStyle w:val="TableText"/>
              <w:keepNext/>
              <w:widowControl/>
              <w:jc w:val="left"/>
            </w:pPr>
            <w:r>
              <w:rPr>
                <w:b w:val="0"/>
                <w:sz w:val="18"/>
              </w:rPr>
              <w:t>Stage8/9를 실제 생성한 source snapshot과 변경이력</w:t>
            </w:r>
          </w:p>
        </w:tc>
      </w:tr>
      <w:tr>
        <w:trPr>
          <w:cantSplit/>
        </w:trPr>
        <w:tc>
          <w:tcPr>
            <w:tcW w:type="dxa" w:w="1814"/>
            <w:vAlign w:val="center"/>
            <w:tcMar>
              <w:top w:w="65" w:type="dxa"/>
              <w:left w:w="65" w:type="dxa"/>
              <w:bottom w:w="65" w:type="dxa"/>
              <w:right w:w="65" w:type="dxa"/>
            </w:tcMar>
          </w:tcPr>
          <w:p>
            <w:pPr>
              <w:pStyle w:val="TableText"/>
              <w:keepNext w:val="0"/>
              <w:widowControl/>
              <w:jc w:val="left"/>
            </w:pPr>
            <w:r>
              <w:rPr>
                <w:b w:val="0"/>
                <w:sz w:val="18"/>
              </w:rPr>
              <w:t>Simulator 실증 재검증</w:t>
            </w:r>
          </w:p>
        </w:tc>
        <w:tc>
          <w:tcPr>
            <w:tcW w:type="dxa" w:w="3061"/>
            <w:vAlign w:val="center"/>
            <w:tcMar>
              <w:top w:w="65" w:type="dxa"/>
              <w:left w:w="65" w:type="dxa"/>
              <w:bottom w:w="65" w:type="dxa"/>
              <w:right w:w="65" w:type="dxa"/>
            </w:tcMar>
          </w:tcPr>
          <w:p>
            <w:pPr>
              <w:pStyle w:val="TableText"/>
              <w:keepNext w:val="0"/>
              <w:widowControl/>
              <w:jc w:val="left"/>
            </w:pPr>
            <w:r>
              <w:rPr>
                <w:b w:val="0"/>
                <w:sz w:val="18"/>
              </w:rPr>
              <w:t>개발 검증과 최신 fixture를 분리</w:t>
            </w:r>
          </w:p>
        </w:tc>
        <w:tc>
          <w:tcPr>
            <w:tcW w:type="dxa" w:w="3061"/>
            <w:vAlign w:val="center"/>
            <w:tcMar>
              <w:top w:w="65" w:type="dxa"/>
              <w:left w:w="65" w:type="dxa"/>
              <w:bottom w:w="65" w:type="dxa"/>
              <w:right w:w="65" w:type="dxa"/>
            </w:tcMar>
          </w:tcPr>
          <w:p>
            <w:pPr>
              <w:pStyle w:val="TableText"/>
              <w:keepNext w:val="0"/>
              <w:widowControl/>
              <w:jc w:val="left"/>
            </w:pPr>
            <w:r>
              <w:rPr>
                <w:b w:val="0"/>
                <w:sz w:val="18"/>
              </w:rPr>
              <w:t>변경된 V4.3 의미론으로 과거 재현·조달제약 검증</w:t>
            </w:r>
          </w:p>
        </w:tc>
      </w:tr>
      <w:tr>
        <w:trPr>
          <w:cantSplit/>
        </w:trPr>
        <w:tc>
          <w:tcPr>
            <w:tcW w:type="dxa" w:w="1814"/>
            <w:vAlign w:val="center"/>
            <w:tcMar>
              <w:top w:w="65" w:type="dxa"/>
              <w:left w:w="65" w:type="dxa"/>
              <w:bottom w:w="65" w:type="dxa"/>
              <w:right w:w="65" w:type="dxa"/>
            </w:tcMar>
          </w:tcPr>
          <w:p>
            <w:pPr>
              <w:pStyle w:val="TableText"/>
              <w:keepNext w:val="0"/>
              <w:widowControl/>
              <w:jc w:val="left"/>
            </w:pPr>
            <w:r>
              <w:rPr>
                <w:b w:val="0"/>
                <w:sz w:val="18"/>
              </w:rPr>
              <w:t>부모 게이트 문서 차이</w:t>
            </w:r>
          </w:p>
        </w:tc>
        <w:tc>
          <w:tcPr>
            <w:tcW w:type="dxa" w:w="3061"/>
            <w:vAlign w:val="center"/>
            <w:tcMar>
              <w:top w:w="65" w:type="dxa"/>
              <w:left w:w="65" w:type="dxa"/>
              <w:bottom w:w="65" w:type="dxa"/>
              <w:right w:w="65" w:type="dxa"/>
            </w:tcMar>
          </w:tcPr>
          <w:p>
            <w:pPr>
              <w:pStyle w:val="TableText"/>
              <w:keepNext w:val="0"/>
              <w:widowControl/>
              <w:jc w:val="left"/>
            </w:pPr>
            <w:r>
              <w:rPr>
                <w:b w:val="0"/>
                <w:sz w:val="18"/>
              </w:rPr>
              <w:t>pre-live raw 규칙의 선행 증거와 대체게이트 민감도 공개</w:t>
            </w:r>
          </w:p>
        </w:tc>
        <w:tc>
          <w:tcPr>
            <w:tcW w:type="dxa" w:w="3061"/>
            <w:vAlign w:val="center"/>
            <w:tcMar>
              <w:top w:w="65" w:type="dxa"/>
              <w:left w:w="65" w:type="dxa"/>
              <w:bottom w:w="65" w:type="dxa"/>
              <w:right w:w="65" w:type="dxa"/>
            </w:tcMar>
          </w:tcPr>
          <w:p>
            <w:pPr>
              <w:pStyle w:val="TableText"/>
              <w:keepNext w:val="0"/>
              <w:widowControl/>
              <w:jc w:val="left"/>
            </w:pPr>
            <w:r>
              <w:rPr>
                <w:b w:val="0"/>
                <w:sz w:val="18"/>
              </w:rPr>
              <w:t>계획서 개정 및 실행명세 우선순위의 정식 기록</w:t>
            </w:r>
          </w:p>
        </w:tc>
      </w:tr>
      <w:tr>
        <w:trPr>
          <w:cantSplit/>
        </w:trPr>
        <w:tc>
          <w:tcPr>
            <w:tcW w:type="dxa" w:w="1814"/>
            <w:vAlign w:val="center"/>
            <w:tcMar>
              <w:top w:w="65" w:type="dxa"/>
              <w:left w:w="65" w:type="dxa"/>
              <w:bottom w:w="65" w:type="dxa"/>
              <w:right w:w="65" w:type="dxa"/>
            </w:tcMar>
          </w:tcPr>
          <w:p>
            <w:pPr>
              <w:pStyle w:val="TableText"/>
              <w:keepNext w:val="0"/>
              <w:widowControl/>
              <w:jc w:val="left"/>
            </w:pPr>
            <w:r>
              <w:rPr>
                <w:b w:val="0"/>
                <w:sz w:val="18"/>
              </w:rPr>
              <w:t>비용·토큰 회계</w:t>
            </w:r>
          </w:p>
        </w:tc>
        <w:tc>
          <w:tcPr>
            <w:tcW w:type="dxa" w:w="3061"/>
            <w:vAlign w:val="center"/>
            <w:tcMar>
              <w:top w:w="65" w:type="dxa"/>
              <w:left w:w="65" w:type="dxa"/>
              <w:bottom w:w="65" w:type="dxa"/>
              <w:right w:w="65" w:type="dxa"/>
            </w:tcMar>
          </w:tcPr>
          <w:p>
            <w:pPr>
              <w:pStyle w:val="TableText"/>
              <w:keepNext w:val="0"/>
              <w:widowControl/>
              <w:jc w:val="left"/>
            </w:pPr>
            <w:r>
              <w:rPr>
                <w:b w:val="0"/>
                <w:sz w:val="18"/>
              </w:rPr>
              <w:t>사용자 가정을 명시하고 동일 기준으로 산출</w:t>
            </w:r>
          </w:p>
        </w:tc>
        <w:tc>
          <w:tcPr>
            <w:tcW w:type="dxa" w:w="3061"/>
            <w:vAlign w:val="center"/>
            <w:tcMar>
              <w:top w:w="65" w:type="dxa"/>
              <w:left w:w="65" w:type="dxa"/>
              <w:bottom w:w="65" w:type="dxa"/>
              <w:right w:w="65" w:type="dxa"/>
            </w:tcMar>
          </w:tcPr>
          <w:p>
            <w:pPr>
              <w:pStyle w:val="TableText"/>
              <w:keepNext w:val="0"/>
              <w:widowControl/>
              <w:jc w:val="left"/>
            </w:pPr>
            <w:r>
              <w:rPr>
                <w:b w:val="0"/>
                <w:sz w:val="18"/>
              </w:rPr>
              <w:t>완전한 공급자별 usage·청구명세 대사</w:t>
            </w:r>
          </w:p>
        </w:tc>
      </w:tr>
    </w:tbl>
    <w:p>
      <w:pPr>
        <w:pStyle w:val="SourceNote"/>
        <w:widowControl/>
      </w:pPr>
      <w:r>
        <w:t>자료의 공백은 실제 결과를 삭제하거나 임의의 값으로 채우는 방식으로 해결하지 않는다.</w:t>
      </w:r>
    </w:p>
    <w:p>
      <w:bookmarkStart w:id="278" w:name="head_184"/>
      <w:pPr>
        <w:pStyle w:val="1"/>
        <w:widowControl/>
      </w:pPr>
      <w:r>
        <w:t>부록 G. 구형 실험의 개발 이력과 분리 원칙</w:t>
      </w:r>
      <w:bookmarkEnd w:id="278"/>
    </w:p>
    <w:p>
      <w:pPr>
        <w:widowControl/>
      </w:pPr>
      <w:r>
        <w:t>개발 단계 분석기록의 10차원 자유행동·11후보, raw L1 0.75·1.27·2.00, 단일 seed 2 C3, C7·C8, 구형 C6X 및 기업명 인식 프로브는 최종 V4.3의 현재 결과와 다른 계약에 속한다. 이 내용은 연구가 어떤 문제를 발견하고 설계를 변경했는지 이해하는 개발 이력으로 남기되, 최신 본실험의 가설을 입증하는 수치로 사용하지 않는다.</w:t>
      </w:r>
    </w:p>
    <w:p>
      <w:pPr>
        <w:widowControl/>
      </w:pPr>
      <w:r>
        <w:t>특히 구형 원고의 자유작성 우위, 추론 유도의 음의 효과, mean/shuffle/nearest에 따른 가치분해 및 Shapley 결과는 그 당시의 행동공간과 실행규칙 아래의 결과이다. 최종 8차원 계약에서 재평가한 자료 없이 이 수치를 새 결론에 옮기면 연구대상이 바뀐 것을 숨기게 된다. 최신 본문은 동일한 문제의식을 살리되 실제 계산된 V4.3 결과로 교체하였다.</w:t>
      </w:r>
    </w:p>
    <w:p>
      <w:pPr>
        <w:widowControl/>
      </w:pPr>
      <w:r>
        <w:t>기존 원문 파일은 변경 없이 보존한다. 따라서 과거 실험의 세부 표나 프롬프트를 역사적 비교로 확인할 수 있지만, 이를 현재 runtime 또는 현재 하이퍼파라미터로 해석하지 않는다. 모든 연구 이력을 현재 논문 본문에 반복 삽입하는 대신 아래 전환표로 핵심 차이를 명시한다.</w:t>
      </w:r>
    </w:p>
    <w:p>
      <w:bookmarkStart w:id="279" w:name="cap_95"/>
      <w:pPr>
        <w:pStyle w:val="af"/>
        <w:widowControl/>
      </w:pPr>
      <w:r>
        <w:t>표 G-1. 개발계약에서 최종계약으로의 주요 전환</w:t>
      </w:r>
      <w:bookmarkEnd w:id="279"/>
    </w:p>
    <w:tbl>
      <w:tblPr>
        <w:tblW w:type="auto" w:w="0"/>
        <w:jc w:val="center"/>
        <w:tblLayout w:type="fixed"/>
        <w:tblLook w:firstColumn="1" w:firstRow="1" w:lastColumn="0" w:lastRow="0" w:noHBand="0" w:noVBand="1" w:val="04A0"/>
        <w:tblBorders>
          <w:top w:val="single" w:sz="4" w:color="AAAAAA"/>
          <w:bottom w:val="single" w:sz="4" w:color="AAAAAA"/>
          <w:insideH w:val="single" w:sz="4" w:color="AAAAAA"/>
        </w:tblBorders>
      </w:tblPr>
      <w:tblGrid>
        <w:gridCol w:w="2268"/>
        <w:gridCol w:w="2835"/>
        <w:gridCol w:w="2835"/>
      </w:tblGrid>
      <w:tr>
        <w:trPr>
          <w:cantSplit/>
          <w:tblHeader/>
        </w:trPr>
        <w:tc>
          <w:tcPr>
            <w:tcW w:type="dxa" w:w="2268"/>
            <w:vAlign w:val="center"/>
            <w:shd w:fill="F1F1F1"/>
            <w:tcMar>
              <w:top w:w="65" w:type="dxa"/>
              <w:left w:w="65" w:type="dxa"/>
              <w:bottom w:w="65" w:type="dxa"/>
              <w:right w:w="65" w:type="dxa"/>
            </w:tcMar>
          </w:tcPr>
          <w:p>
            <w:pPr>
              <w:pStyle w:val="TableText"/>
              <w:keepNext/>
              <w:widowControl/>
              <w:jc w:val="center"/>
            </w:pPr>
            <w:r>
              <w:rPr>
                <w:b/>
                <w:sz w:val="18"/>
              </w:rPr>
              <w:t>과거 정의</w:t>
            </w:r>
          </w:p>
        </w:tc>
        <w:tc>
          <w:tcPr>
            <w:tcW w:type="dxa" w:w="2835"/>
            <w:vAlign w:val="center"/>
            <w:shd w:fill="F1F1F1"/>
            <w:tcMar>
              <w:top w:w="65" w:type="dxa"/>
              <w:left w:w="65" w:type="dxa"/>
              <w:bottom w:w="65" w:type="dxa"/>
              <w:right w:w="65" w:type="dxa"/>
            </w:tcMar>
          </w:tcPr>
          <w:p>
            <w:pPr>
              <w:pStyle w:val="TableText"/>
              <w:keepNext/>
              <w:widowControl/>
              <w:jc w:val="center"/>
            </w:pPr>
            <w:r>
              <w:rPr>
                <w:b/>
                <w:sz w:val="18"/>
              </w:rPr>
              <w:t>최종 V4.3 정의</w:t>
            </w:r>
          </w:p>
        </w:tc>
        <w:tc>
          <w:tcPr>
            <w:tcW w:type="dxa" w:w="2835"/>
            <w:vAlign w:val="center"/>
            <w:shd w:fill="F1F1F1"/>
            <w:tcMar>
              <w:top w:w="65" w:type="dxa"/>
              <w:left w:w="65" w:type="dxa"/>
              <w:bottom w:w="65" w:type="dxa"/>
              <w:right w:w="65" w:type="dxa"/>
            </w:tcMar>
          </w:tcPr>
          <w:p>
            <w:pPr>
              <w:pStyle w:val="TableText"/>
              <w:keepNext/>
              <w:widowControl/>
              <w:jc w:val="center"/>
            </w:pPr>
            <w:r>
              <w:rPr>
                <w:b/>
                <w:sz w:val="18"/>
              </w:rPr>
              <w:t>변경의 의미</w:t>
            </w:r>
          </w:p>
        </w:tc>
      </w:tr>
      <w:tr>
        <w:trPr>
          <w:cantSplit/>
        </w:trPr>
        <w:tc>
          <w:tcPr>
            <w:tcW w:type="dxa" w:w="2268"/>
            <w:vAlign w:val="center"/>
            <w:tcMar>
              <w:top w:w="65" w:type="dxa"/>
              <w:left w:w="65" w:type="dxa"/>
              <w:bottom w:w="65" w:type="dxa"/>
              <w:right w:w="65" w:type="dxa"/>
            </w:tcMar>
          </w:tcPr>
          <w:p>
            <w:pPr>
              <w:pStyle w:val="TableText"/>
              <w:keepNext/>
              <w:widowControl/>
              <w:jc w:val="left"/>
            </w:pPr>
            <w:r>
              <w:rPr>
                <w:b w:val="0"/>
                <w:sz w:val="18"/>
              </w:rPr>
              <w:t>10차원 재무변화</w:t>
            </w:r>
          </w:p>
        </w:tc>
        <w:tc>
          <w:tcPr>
            <w:tcW w:type="dxa" w:w="2835"/>
            <w:vAlign w:val="center"/>
            <w:tcMar>
              <w:top w:w="65" w:type="dxa"/>
              <w:left w:w="65" w:type="dxa"/>
              <w:bottom w:w="65" w:type="dxa"/>
              <w:right w:w="65" w:type="dxa"/>
            </w:tcMar>
          </w:tcPr>
          <w:p>
            <w:pPr>
              <w:pStyle w:val="TableText"/>
              <w:keepNext/>
              <w:widowControl/>
              <w:jc w:val="left"/>
            </w:pPr>
            <w:r>
              <w:rPr>
                <w:b w:val="0"/>
                <w:sz w:val="18"/>
              </w:rPr>
              <w:t>8차원 관리행동</w:t>
            </w:r>
          </w:p>
        </w:tc>
        <w:tc>
          <w:tcPr>
            <w:tcW w:type="dxa" w:w="2835"/>
            <w:vAlign w:val="center"/>
            <w:tcMar>
              <w:top w:w="65" w:type="dxa"/>
              <w:left w:w="65" w:type="dxa"/>
              <w:bottom w:w="65" w:type="dxa"/>
              <w:right w:w="65" w:type="dxa"/>
            </w:tcMar>
          </w:tcPr>
          <w:p>
            <w:pPr>
              <w:pStyle w:val="TableText"/>
              <w:keepNext/>
              <w:widowControl/>
              <w:jc w:val="left"/>
            </w:pPr>
            <w:r>
              <w:rPr>
                <w:b w:val="0"/>
                <w:sz w:val="18"/>
              </w:rPr>
              <w:t>상환·차환·성장 CAPEX 의미론 재정의</w:t>
            </w:r>
          </w:p>
        </w:tc>
      </w:tr>
      <w:tr>
        <w:trPr>
          <w:cantSplit/>
        </w:trPr>
        <w:tc>
          <w:tcPr>
            <w:tcW w:type="dxa" w:w="2268"/>
            <w:vAlign w:val="center"/>
            <w:tcMar>
              <w:top w:w="65" w:type="dxa"/>
              <w:left w:w="65" w:type="dxa"/>
              <w:bottom w:w="65" w:type="dxa"/>
              <w:right w:w="65" w:type="dxa"/>
            </w:tcMar>
          </w:tcPr>
          <w:p>
            <w:pPr>
              <w:pStyle w:val="TableText"/>
              <w:keepNext w:val="0"/>
              <w:widowControl/>
              <w:jc w:val="left"/>
            </w:pPr>
            <w:r>
              <w:rPr>
                <w:b w:val="0"/>
                <w:sz w:val="18"/>
              </w:rPr>
              <w:t>11개 후보</w:t>
            </w:r>
          </w:p>
        </w:tc>
        <w:tc>
          <w:tcPr>
            <w:tcW w:type="dxa" w:w="2835"/>
            <w:vAlign w:val="center"/>
            <w:tcMar>
              <w:top w:w="65" w:type="dxa"/>
              <w:left w:w="65" w:type="dxa"/>
              <w:bottom w:w="65" w:type="dxa"/>
              <w:right w:w="65" w:type="dxa"/>
            </w:tcMar>
          </w:tcPr>
          <w:p>
            <w:pPr>
              <w:pStyle w:val="TableText"/>
              <w:keepNext w:val="0"/>
              <w:widowControl/>
              <w:jc w:val="left"/>
            </w:pPr>
            <w:r>
              <w:rPr>
                <w:b w:val="0"/>
                <w:sz w:val="18"/>
              </w:rPr>
              <w:t>9개 canonical 후보</w:t>
            </w:r>
          </w:p>
        </w:tc>
        <w:tc>
          <w:tcPr>
            <w:tcW w:type="dxa" w:w="2835"/>
            <w:vAlign w:val="center"/>
            <w:tcMar>
              <w:top w:w="65" w:type="dxa"/>
              <w:left w:w="65" w:type="dxa"/>
              <w:bottom w:w="65" w:type="dxa"/>
              <w:right w:w="65" w:type="dxa"/>
            </w:tcMar>
          </w:tcPr>
          <w:p>
            <w:pPr>
              <w:pStyle w:val="TableText"/>
              <w:keepNext w:val="0"/>
              <w:widowControl/>
              <w:jc w:val="left"/>
            </w:pPr>
            <w:r>
              <w:rPr>
                <w:b w:val="0"/>
                <w:sz w:val="18"/>
              </w:rPr>
              <w:t>비-A0 총 강도 1로 통일</w:t>
            </w:r>
          </w:p>
        </w:tc>
      </w:tr>
      <w:tr>
        <w:trPr>
          <w:cantSplit/>
        </w:trPr>
        <w:tc>
          <w:tcPr>
            <w:tcW w:type="dxa" w:w="2268"/>
            <w:vAlign w:val="center"/>
            <w:tcMar>
              <w:top w:w="65" w:type="dxa"/>
              <w:left w:w="65" w:type="dxa"/>
              <w:bottom w:w="65" w:type="dxa"/>
              <w:right w:w="65" w:type="dxa"/>
            </w:tcMar>
          </w:tcPr>
          <w:p>
            <w:pPr>
              <w:pStyle w:val="TableText"/>
              <w:keepNext w:val="0"/>
              <w:widowControl/>
              <w:jc w:val="left"/>
            </w:pPr>
            <w:r>
              <w:rPr>
                <w:b w:val="0"/>
                <w:sz w:val="18"/>
              </w:rPr>
              <w:t>원값의 raw L1</w:t>
            </w:r>
          </w:p>
        </w:tc>
        <w:tc>
          <w:tcPr>
            <w:tcW w:type="dxa" w:w="2835"/>
            <w:vAlign w:val="center"/>
            <w:tcMar>
              <w:top w:w="65" w:type="dxa"/>
              <w:left w:w="65" w:type="dxa"/>
              <w:bottom w:w="65" w:type="dxa"/>
              <w:right w:w="65" w:type="dxa"/>
            </w:tcMar>
          </w:tcPr>
          <w:p>
            <w:pPr>
              <w:pStyle w:val="TableText"/>
              <w:keepNext w:val="0"/>
              <w:widowControl/>
              <w:jc w:val="left"/>
            </w:pPr>
            <w:r>
              <w:rPr>
                <w:b w:val="0"/>
                <w:sz w:val="18"/>
              </w:rPr>
              <w:t>P50 정규화 B1/BINF</w:t>
            </w:r>
          </w:p>
        </w:tc>
        <w:tc>
          <w:tcPr>
            <w:tcW w:type="dxa" w:w="2835"/>
            <w:vAlign w:val="center"/>
            <w:tcMar>
              <w:top w:w="65" w:type="dxa"/>
              <w:left w:w="65" w:type="dxa"/>
              <w:bottom w:w="65" w:type="dxa"/>
              <w:right w:w="65" w:type="dxa"/>
            </w:tcMar>
          </w:tcPr>
          <w:p>
            <w:pPr>
              <w:pStyle w:val="TableText"/>
              <w:keepNext w:val="0"/>
              <w:widowControl/>
              <w:jc w:val="left"/>
            </w:pPr>
            <w:r>
              <w:rPr>
                <w:b w:val="0"/>
                <w:sz w:val="18"/>
              </w:rPr>
              <w:t>과거 준수율과 최신 준수율 직접 비교 금지</w:t>
            </w:r>
          </w:p>
        </w:tc>
      </w:tr>
      <w:tr>
        <w:trPr>
          <w:cantSplit/>
        </w:trPr>
        <w:tc>
          <w:tcPr>
            <w:tcW w:type="dxa" w:w="2268"/>
            <w:vAlign w:val="center"/>
            <w:tcMar>
              <w:top w:w="65" w:type="dxa"/>
              <w:left w:w="65" w:type="dxa"/>
              <w:bottom w:w="65" w:type="dxa"/>
              <w:right w:w="65" w:type="dxa"/>
            </w:tcMar>
          </w:tcPr>
          <w:p>
            <w:pPr>
              <w:pStyle w:val="TableText"/>
              <w:keepNext w:val="0"/>
              <w:widowControl/>
              <w:jc w:val="left"/>
            </w:pPr>
            <w:r>
              <w:rPr>
                <w:b w:val="0"/>
                <w:sz w:val="18"/>
              </w:rPr>
              <w:t>단일 seed 2</w:t>
            </w:r>
          </w:p>
        </w:tc>
        <w:tc>
          <w:tcPr>
            <w:tcW w:type="dxa" w:w="2835"/>
            <w:vAlign w:val="center"/>
            <w:tcMar>
              <w:top w:w="65" w:type="dxa"/>
              <w:left w:w="65" w:type="dxa"/>
              <w:bottom w:w="65" w:type="dxa"/>
              <w:right w:w="65" w:type="dxa"/>
            </w:tcMar>
          </w:tcPr>
          <w:p>
            <w:pPr>
              <w:pStyle w:val="TableText"/>
              <w:keepNext w:val="0"/>
              <w:widowControl/>
              <w:jc w:val="left"/>
            </w:pPr>
            <w:r>
              <w:rPr>
                <w:b w:val="0"/>
                <w:sz w:val="18"/>
              </w:rPr>
              <w:t>4 configuration×7 matched seed</w:t>
            </w:r>
          </w:p>
        </w:tc>
        <w:tc>
          <w:tcPr>
            <w:tcW w:type="dxa" w:w="2835"/>
            <w:vAlign w:val="center"/>
            <w:tcMar>
              <w:top w:w="65" w:type="dxa"/>
              <w:left w:w="65" w:type="dxa"/>
              <w:bottom w:w="65" w:type="dxa"/>
              <w:right w:w="65" w:type="dxa"/>
            </w:tcMar>
          </w:tcPr>
          <w:p>
            <w:pPr>
              <w:pStyle w:val="TableText"/>
              <w:keepNext w:val="0"/>
              <w:widowControl/>
              <w:jc w:val="left"/>
            </w:pPr>
            <w:r>
              <w:rPr>
                <w:b w:val="0"/>
                <w:sz w:val="18"/>
              </w:rPr>
              <w:t>계층적 확률평균 및 선택과정 공개</w:t>
            </w:r>
          </w:p>
        </w:tc>
      </w:tr>
      <w:tr>
        <w:trPr>
          <w:cantSplit/>
        </w:trPr>
        <w:tc>
          <w:tcPr>
            <w:tcW w:type="dxa" w:w="2268"/>
            <w:vAlign w:val="center"/>
            <w:tcMar>
              <w:top w:w="65" w:type="dxa"/>
              <w:left w:w="65" w:type="dxa"/>
              <w:bottom w:w="65" w:type="dxa"/>
              <w:right w:w="65" w:type="dxa"/>
            </w:tcMar>
          </w:tcPr>
          <w:p>
            <w:pPr>
              <w:pStyle w:val="TableText"/>
              <w:keepNext w:val="0"/>
              <w:widowControl/>
              <w:jc w:val="left"/>
            </w:pPr>
            <w:r>
              <w:rPr>
                <w:b w:val="0"/>
                <w:sz w:val="18"/>
              </w:rPr>
              <w:t>균등 무작위 C6X</w:t>
            </w:r>
          </w:p>
        </w:tc>
        <w:tc>
          <w:tcPr>
            <w:tcW w:type="dxa" w:w="2835"/>
            <w:vAlign w:val="center"/>
            <w:tcMar>
              <w:top w:w="65" w:type="dxa"/>
              <w:left w:w="65" w:type="dxa"/>
              <w:bottom w:w="65" w:type="dxa"/>
              <w:right w:w="65" w:type="dxa"/>
            </w:tcMar>
          </w:tcPr>
          <w:p>
            <w:pPr>
              <w:pStyle w:val="TableText"/>
              <w:keepNext w:val="0"/>
              <w:widowControl/>
              <w:jc w:val="left"/>
            </w:pPr>
            <w:r>
              <w:rPr>
                <w:b w:val="0"/>
                <w:sz w:val="18"/>
              </w:rPr>
              <w:t>고정 derangement C6-EX</w:t>
            </w:r>
          </w:p>
        </w:tc>
        <w:tc>
          <w:tcPr>
            <w:tcW w:type="dxa" w:w="2835"/>
            <w:vAlign w:val="center"/>
            <w:tcMar>
              <w:top w:w="65" w:type="dxa"/>
              <w:left w:w="65" w:type="dxa"/>
              <w:bottom w:w="65" w:type="dxa"/>
              <w:right w:w="65" w:type="dxa"/>
            </w:tcMar>
          </w:tcPr>
          <w:p>
            <w:pPr>
              <w:pStyle w:val="TableText"/>
              <w:keepNext w:val="0"/>
              <w:widowControl/>
              <w:jc w:val="left"/>
            </w:pPr>
            <w:r>
              <w:rPr>
                <w:b w:val="0"/>
                <w:sz w:val="18"/>
              </w:rPr>
              <w:t>주변분포 보존·기업연결 대비</w:t>
            </w:r>
          </w:p>
        </w:tc>
      </w:tr>
      <w:tr>
        <w:trPr>
          <w:cantSplit/>
        </w:trPr>
        <w:tc>
          <w:tcPr>
            <w:tcW w:type="dxa" w:w="2268"/>
            <w:vAlign w:val="center"/>
            <w:tcMar>
              <w:top w:w="65" w:type="dxa"/>
              <w:left w:w="65" w:type="dxa"/>
              <w:bottom w:w="65" w:type="dxa"/>
              <w:right w:w="65" w:type="dxa"/>
            </w:tcMar>
          </w:tcPr>
          <w:p>
            <w:pPr>
              <w:pStyle w:val="TableText"/>
              <w:keepNext w:val="0"/>
              <w:widowControl/>
              <w:jc w:val="left"/>
            </w:pPr>
            <w:r>
              <w:rPr>
                <w:b w:val="0"/>
                <w:sz w:val="18"/>
              </w:rPr>
              <w:t>C4~C8·여러 탐색</w:t>
            </w:r>
          </w:p>
        </w:tc>
        <w:tc>
          <w:tcPr>
            <w:tcW w:type="dxa" w:w="2835"/>
            <w:vAlign w:val="center"/>
            <w:tcMar>
              <w:top w:w="65" w:type="dxa"/>
              <w:left w:w="65" w:type="dxa"/>
              <w:bottom w:w="65" w:type="dxa"/>
              <w:right w:w="65" w:type="dxa"/>
            </w:tcMar>
          </w:tcPr>
          <w:p>
            <w:pPr>
              <w:pStyle w:val="TableText"/>
              <w:keepNext w:val="0"/>
              <w:widowControl/>
              <w:jc w:val="left"/>
            </w:pPr>
            <w:r>
              <w:rPr>
                <w:b w:val="0"/>
                <w:sz w:val="18"/>
              </w:rPr>
              <w:t>다섯 정책의 Main / Stability</w:t>
            </w:r>
          </w:p>
        </w:tc>
        <w:tc>
          <w:tcPr>
            <w:tcW w:type="dxa" w:w="2835"/>
            <w:vAlign w:val="center"/>
            <w:tcMar>
              <w:top w:w="65" w:type="dxa"/>
              <w:left w:w="65" w:type="dxa"/>
              <w:bottom w:w="65" w:type="dxa"/>
              <w:right w:w="65" w:type="dxa"/>
            </w:tcMar>
          </w:tcPr>
          <w:p>
            <w:pPr>
              <w:pStyle w:val="TableText"/>
              <w:keepNext w:val="0"/>
              <w:widowControl/>
              <w:jc w:val="left"/>
            </w:pPr>
            <w:r>
              <w:rPr>
                <w:b w:val="0"/>
                <w:sz w:val="18"/>
              </w:rPr>
              <w:t>실행한 셀만 보고; 미실행조건 결과 없음</w:t>
            </w:r>
          </w:p>
        </w:tc>
      </w:tr>
      <w:tr>
        <w:trPr>
          <w:cantSplit/>
        </w:trPr>
        <w:tc>
          <w:tcPr>
            <w:tcW w:type="dxa" w:w="2268"/>
            <w:vAlign w:val="center"/>
            <w:tcMar>
              <w:top w:w="65" w:type="dxa"/>
              <w:left w:w="65" w:type="dxa"/>
              <w:bottom w:w="65" w:type="dxa"/>
              <w:right w:w="65" w:type="dxa"/>
            </w:tcMar>
          </w:tcPr>
          <w:p>
            <w:pPr>
              <w:pStyle w:val="TableText"/>
              <w:keepNext w:val="0"/>
              <w:widowControl/>
              <w:jc w:val="left"/>
            </w:pPr>
            <w:r>
              <w:rPr>
                <w:b w:val="0"/>
                <w:sz w:val="18"/>
              </w:rPr>
              <w:t>허용범위 보정 후 비교</w:t>
            </w:r>
          </w:p>
        </w:tc>
        <w:tc>
          <w:tcPr>
            <w:tcW w:type="dxa" w:w="2835"/>
            <w:vAlign w:val="center"/>
            <w:tcMar>
              <w:top w:w="65" w:type="dxa"/>
              <w:left w:w="65" w:type="dxa"/>
              <w:bottom w:w="65" w:type="dxa"/>
              <w:right w:w="65" w:type="dxa"/>
            </w:tcMar>
          </w:tcPr>
          <w:p>
            <w:pPr>
              <w:pStyle w:val="TableText"/>
              <w:keepNext w:val="0"/>
              <w:widowControl/>
              <w:jc w:val="left"/>
            </w:pPr>
            <w:r>
              <w:rPr>
                <w:b w:val="0"/>
                <w:sz w:val="18"/>
              </w:rPr>
              <w:t>Strict와 Repaired 별도</w:t>
            </w:r>
          </w:p>
        </w:tc>
        <w:tc>
          <w:tcPr>
            <w:tcW w:type="dxa" w:w="2835"/>
            <w:vAlign w:val="center"/>
            <w:tcMar>
              <w:top w:w="65" w:type="dxa"/>
              <w:left w:w="65" w:type="dxa"/>
              <w:bottom w:w="65" w:type="dxa"/>
              <w:right w:w="65" w:type="dxa"/>
            </w:tcMar>
          </w:tcPr>
          <w:p>
            <w:pPr>
              <w:pStyle w:val="TableText"/>
              <w:keepNext w:val="0"/>
              <w:widowControl/>
              <w:jc w:val="left"/>
            </w:pPr>
            <w:r>
              <w:rPr>
                <w:b w:val="0"/>
                <w:sz w:val="18"/>
              </w:rPr>
              <w:t>운영정책과 수리 실행규칙의 구분</w:t>
            </w:r>
          </w:p>
        </w:tc>
      </w:tr>
      <w:tr>
        <w:trPr>
          <w:cantSplit/>
        </w:trPr>
        <w:tc>
          <w:tcPr>
            <w:tcW w:type="dxa" w:w="2268"/>
            <w:vAlign w:val="center"/>
            <w:tcMar>
              <w:top w:w="65" w:type="dxa"/>
              <w:left w:w="65" w:type="dxa"/>
              <w:bottom w:w="65" w:type="dxa"/>
              <w:right w:w="65" w:type="dxa"/>
            </w:tcMar>
          </w:tcPr>
          <w:p>
            <w:pPr>
              <w:pStyle w:val="TableText"/>
              <w:keepNext w:val="0"/>
              <w:widowControl/>
              <w:jc w:val="left"/>
            </w:pPr>
            <w:r>
              <w:rPr>
                <w:b w:val="0"/>
                <w:sz w:val="18"/>
              </w:rPr>
              <w:t>정상응답 위주의 비교</w:t>
            </w:r>
          </w:p>
        </w:tc>
        <w:tc>
          <w:tcPr>
            <w:tcW w:type="dxa" w:w="2835"/>
            <w:vAlign w:val="center"/>
            <w:tcMar>
              <w:top w:w="65" w:type="dxa"/>
              <w:left w:w="65" w:type="dxa"/>
              <w:bottom w:w="65" w:type="dxa"/>
              <w:right w:w="65" w:type="dxa"/>
            </w:tcMar>
          </w:tcPr>
          <w:p>
            <w:pPr>
              <w:pStyle w:val="TableText"/>
              <w:keepNext w:val="0"/>
              <w:widowControl/>
              <w:jc w:val="left"/>
            </w:pPr>
            <w:r>
              <w:rPr>
                <w:b w:val="0"/>
                <w:sz w:val="18"/>
              </w:rPr>
              <w:t>ITT 전체 N와 strict PP 교집합</w:t>
            </w:r>
          </w:p>
        </w:tc>
        <w:tc>
          <w:tcPr>
            <w:tcW w:type="dxa" w:w="2835"/>
            <w:vAlign w:val="center"/>
            <w:tcMar>
              <w:top w:w="65" w:type="dxa"/>
              <w:left w:w="65" w:type="dxa"/>
              <w:bottom w:w="65" w:type="dxa"/>
              <w:right w:w="65" w:type="dxa"/>
            </w:tcMar>
          </w:tcPr>
          <w:p>
            <w:pPr>
              <w:pStyle w:val="TableText"/>
              <w:keepNext w:val="0"/>
              <w:widowControl/>
              <w:jc w:val="left"/>
            </w:pPr>
            <w:r>
              <w:rPr>
                <w:b w:val="0"/>
                <w:sz w:val="18"/>
              </w:rPr>
              <w:t>실패와 선택표본을 명시적으로 분리</w:t>
            </w:r>
          </w:p>
        </w:tc>
      </w:tr>
    </w:tbl>
    <w:p>
      <w:pPr>
        <w:pStyle w:val="SourceNote"/>
        <w:widowControl/>
      </w:pPr>
      <w:r>
        <w:t>자료: 개발 단계 분석기록과 최종 frozen contracts의 정의 차이. 구형 수치의 단순 이름 치환이 아니라 분석대상의 변경이다.</w:t>
      </w:r>
    </w:p>
    <w:p>
      <w:pPr>
        <w:sectPr w:rsidR="004D0855" w:rsidRPr="005A5373" w:rsidSect="00A34AFA">
          <w:headerReference w:type="default" r:id="rId31"/>
          <w:footerReference w:type="default" r:id="rId32"/>
          <w:pgSz w:w="11906" w:h="16838"/>
          <w:pgMar w:top="3005" w:right="1984" w:bottom="3005" w:left="1984" w:header="850" w:footer="2041" w:gutter="0"/>
          <w:pgNumType w:start="1" w:fmt="decimal"/>
          <w:cols w:space="720"/>
          <w:formProt w:val="0"/>
          <w:docGrid w:linePitch="360" w:charSpace="8192"/>
        </w:sectPr>
      </w:pPr>
    </w:p>
    <w:p>
      <w:pPr>
        <w:pStyle w:val="1"/>
      </w:pPr>
      <w:r>
        <w:t>V1.3 재현성 통계 계약 및 보조분석 동결</w:t>
      </w:r>
    </w:p>
    <w:p>
      <w:r>
        <w:t>본 버전의 primary 분석은 frozen Stage8 firm-level observations에 대한 Strict ITT이며, terminal unusable 응답은 사전 실행계약에 따라 A0 fallback으로 처리한다. Primary production bootstrap stream은 변경하지 않았다.</w:t>
      </w:r>
    </w:p>
    <w:p>
      <w:r>
        <w:t>Supplemental 분석의 과거 SHA-256 substream 구현은 복구되지 않았으므로, V1.3에서는 canonical JSON(UTF-8, sort_keys=True, no whitespace) → SHA-256 첫 8바이트 unsigned big-endian → 독립 PCG64 → 10,000회 paired firm bootstrap → linear percentile CI → plus-one sign-tail → Holm을 명시적으로 동결했다. 과거 supplemental 수치는 역사적 비정본으로 보존하며, 현재의 inferential claim은 V1.3 결과를 따른다.</w:t>
      </w:r>
    </w:p>
    <w:p>
      <w:pPr>
        <w:jc w:val="left"/>
      </w:pPr>
      <w:r>
        <w:t>GPT Baseline B1 C4R−C4의 primary Strict ITT는 +0.1692620467(N=575)이며, frozen production fullstream과 row-level N·mean 교차검증으로 유지된다. +0.0105196562는 High·Repaired supplemental cell의 값으로서 Baseline·Strict primary 값을 대체하지 않는다.</w:t>
      </w:r>
    </w:p>
    <w:p>
      <w:pPr>
        <w:pStyle w:val="2"/>
      </w:pPr>
      <w:r>
        <w:t>V1.3 보조분석 대표 결과</w:t>
      </w:r>
    </w:p>
    <w:tbl>
      <w:tblPr>
        <w:tblW w:type="auto" w:w="0"/>
        <w:tblLayout w:type="fixed"/>
        <w:tblLook w:firstColumn="1" w:firstRow="1" w:lastColumn="0" w:lastRow="0" w:noHBand="0" w:noVBand="1" w:val="04A0"/>
        <w:jc w:val="center"/>
      </w:tblPr>
      <w:tblGrid>
        <w:gridCol w:w="1080"/>
        <w:gridCol w:w="1080"/>
        <w:gridCol w:w="792"/>
        <w:gridCol w:w="1008"/>
        <w:gridCol w:w="1368"/>
        <w:gridCol w:w="720"/>
        <w:gridCol w:w="1224"/>
        <w:gridCol w:w="1224"/>
        <w:gridCol w:w="1224"/>
        <w:gridCol w:w="1080"/>
      </w:tblGrid>
      <w:tr>
        <w:trPr>
          <w:tblHeader w:val="true"/>
          <w:cantSplit/>
        </w:trPr>
        <w:tc>
          <w:tcPr>
            <w:tcW w:type="dxa" w:w="1080"/>
            <w:vAlign w:val="center"/>
            <w:shd w:fill="E7E6E6"/>
          </w:tcPr>
          <w:p>
            <w:pPr>
              <w:spacing w:before="0" w:after="0" w:line="240" w:lineRule="auto"/>
              <w:jc w:val="center"/>
            </w:pPr>
            <w:r>
              <w:rPr>
                <w:b/>
                <w:sz w:val="16"/>
              </w:rPr>
              <w:t>Analysis</w:t>
            </w:r>
          </w:p>
        </w:tc>
        <w:tc>
          <w:tcPr>
            <w:tcW w:type="dxa" w:w="1080"/>
            <w:vAlign w:val="center"/>
            <w:shd w:fill="E7E6E6"/>
          </w:tcPr>
          <w:p>
            <w:pPr>
              <w:spacing w:before="0" w:after="0" w:line="240" w:lineRule="auto"/>
              <w:jc w:val="center"/>
            </w:pPr>
            <w:r>
              <w:rPr>
                <w:b/>
                <w:sz w:val="16"/>
              </w:rPr>
              <w:t>Model</w:t>
            </w:r>
          </w:p>
        </w:tc>
        <w:tc>
          <w:tcPr>
            <w:tcW w:type="dxa" w:w="792"/>
            <w:vAlign w:val="center"/>
            <w:shd w:fill="E7E6E6"/>
          </w:tcPr>
          <w:p>
            <w:pPr>
              <w:spacing w:before="0" w:after="0" w:line="240" w:lineRule="auto"/>
              <w:jc w:val="center"/>
            </w:pPr>
            <w:r>
              <w:rPr>
                <w:b/>
                <w:sz w:val="16"/>
              </w:rPr>
              <w:t>Oracle</w:t>
            </w:r>
          </w:p>
        </w:tc>
        <w:tc>
          <w:tcPr>
            <w:tcW w:type="dxa" w:w="1008"/>
            <w:vAlign w:val="center"/>
            <w:shd w:fill="E7E6E6"/>
          </w:tcPr>
          <w:p>
            <w:pPr>
              <w:spacing w:before="0" w:after="0" w:line="240" w:lineRule="auto"/>
              <w:jc w:val="center"/>
            </w:pPr>
            <w:r>
              <w:rPr>
                <w:b/>
                <w:sz w:val="16"/>
              </w:rPr>
              <w:t>LHS</w:t>
            </w:r>
          </w:p>
        </w:tc>
        <w:tc>
          <w:tcPr>
            <w:tcW w:type="dxa" w:w="1368"/>
            <w:vAlign w:val="center"/>
            <w:shd w:fill="E7E6E6"/>
          </w:tcPr>
          <w:p>
            <w:pPr>
              <w:spacing w:before="0" w:after="0" w:line="240" w:lineRule="auto"/>
              <w:jc w:val="center"/>
            </w:pPr>
            <w:r>
              <w:rPr>
                <w:b/>
                <w:sz w:val="16"/>
              </w:rPr>
              <w:t>RHS</w:t>
            </w:r>
          </w:p>
        </w:tc>
        <w:tc>
          <w:tcPr>
            <w:tcW w:type="dxa" w:w="720"/>
            <w:vAlign w:val="center"/>
            <w:shd w:fill="E7E6E6"/>
          </w:tcPr>
          <w:p>
            <w:pPr>
              <w:spacing w:before="0" w:after="0" w:line="240" w:lineRule="auto"/>
              <w:jc w:val="center"/>
            </w:pPr>
            <w:r>
              <w:rPr>
                <w:b/>
                <w:sz w:val="16"/>
              </w:rPr>
              <w:t>N</w:t>
            </w:r>
          </w:p>
        </w:tc>
        <w:tc>
          <w:tcPr>
            <w:tcW w:type="dxa" w:w="1224"/>
            <w:vAlign w:val="center"/>
            <w:shd w:fill="E7E6E6"/>
          </w:tcPr>
          <w:p>
            <w:pPr>
              <w:spacing w:before="0" w:after="0" w:line="240" w:lineRule="auto"/>
              <w:jc w:val="center"/>
            </w:pPr>
            <w:r>
              <w:rPr>
                <w:b/>
                <w:sz w:val="16"/>
              </w:rPr>
              <w:t>Estimate</w:t>
            </w:r>
          </w:p>
        </w:tc>
        <w:tc>
          <w:tcPr>
            <w:tcW w:type="dxa" w:w="1224"/>
            <w:vAlign w:val="center"/>
            <w:shd w:fill="E7E6E6"/>
          </w:tcPr>
          <w:p>
            <w:pPr>
              <w:spacing w:before="0" w:after="0" w:line="240" w:lineRule="auto"/>
              <w:jc w:val="center"/>
            </w:pPr>
            <w:r>
              <w:rPr>
                <w:b/>
                <w:sz w:val="16"/>
              </w:rPr>
              <w:t>CI Low</w:t>
            </w:r>
          </w:p>
        </w:tc>
        <w:tc>
          <w:tcPr>
            <w:tcW w:type="dxa" w:w="1224"/>
            <w:vAlign w:val="center"/>
            <w:shd w:fill="E7E6E6"/>
          </w:tcPr>
          <w:p>
            <w:pPr>
              <w:spacing w:before="0" w:after="0" w:line="240" w:lineRule="auto"/>
              <w:jc w:val="center"/>
            </w:pPr>
            <w:r>
              <w:rPr>
                <w:b/>
                <w:sz w:val="16"/>
              </w:rPr>
              <w:t>CI High</w:t>
            </w:r>
          </w:p>
        </w:tc>
        <w:tc>
          <w:tcPr>
            <w:tcW w:type="dxa" w:w="1080"/>
            <w:vAlign w:val="center"/>
            <w:shd w:fill="E7E6E6"/>
          </w:tcPr>
          <w:p>
            <w:pPr>
              <w:spacing w:before="0" w:after="0" w:line="240" w:lineRule="auto"/>
              <w:jc w:val="center"/>
            </w:pPr>
            <w:r>
              <w:rPr>
                <w:b/>
                <w:sz w:val="16"/>
              </w:rPr>
              <w:t>Holm p</w:t>
            </w:r>
          </w:p>
        </w:tc>
      </w:tr>
      <w:tr>
        <w:trPr>
          <w:cantSplit/>
        </w:trPr>
        <w:tc>
          <w:tcPr>
            <w:tcW w:type="dxa" w:w="1080"/>
            <w:vAlign w:val="center"/>
          </w:tcPr>
          <w:p>
            <w:pPr>
              <w:spacing w:before="0" w:after="0" w:line="240" w:lineRule="auto"/>
              <w:jc w:val="center"/>
            </w:pPr>
            <w:r>
              <w:rPr>
                <w:sz w:val="15"/>
              </w:rPr>
              <w:t>RQ4</w:t>
            </w:r>
          </w:p>
        </w:tc>
        <w:tc>
          <w:tcPr>
            <w:tcW w:type="dxa" w:w="1080"/>
            <w:vAlign w:val="center"/>
          </w:tcPr>
          <w:p>
            <w:pPr>
              <w:spacing w:before="0" w:after="0" w:line="240" w:lineRule="auto"/>
              <w:jc w:val="center"/>
            </w:pPr>
            <w:r>
              <w:rPr>
                <w:sz w:val="15"/>
              </w:rPr>
              <w:t>Gemini</w:t>
            </w:r>
          </w:p>
        </w:tc>
        <w:tc>
          <w:tcPr>
            <w:tcW w:type="dxa" w:w="792"/>
            <w:vAlign w:val="center"/>
          </w:tcPr>
          <w:p>
            <w:pPr>
              <w:spacing w:before="0" w:after="0" w:line="240" w:lineRule="auto"/>
              <w:jc w:val="center"/>
            </w:pPr>
            <w:r>
              <w:rPr>
                <w:sz w:val="15"/>
              </w:rPr>
              <w:t>α</w:t>
            </w:r>
          </w:p>
        </w:tc>
        <w:tc>
          <w:tcPr>
            <w:tcW w:type="dxa" w:w="1008"/>
            <w:vAlign w:val="center"/>
          </w:tcPr>
          <w:p>
            <w:pPr>
              <w:spacing w:before="0" w:after="0" w:line="240" w:lineRule="auto"/>
              <w:jc w:val="center"/>
            </w:pPr>
            <w:r>
              <w:rPr>
                <w:sz w:val="15"/>
              </w:rPr>
              <w:t>C4</w:t>
            </w:r>
          </w:p>
        </w:tc>
        <w:tc>
          <w:tcPr>
            <w:tcW w:type="dxa" w:w="1368"/>
            <w:vAlign w:val="center"/>
          </w:tcPr>
          <w:p>
            <w:pPr>
              <w:spacing w:before="0" w:after="0" w:line="240" w:lineRule="auto"/>
              <w:jc w:val="center"/>
            </w:pPr>
            <w:r>
              <w:rPr>
                <w:sz w:val="15"/>
              </w:rPr>
              <w:t>Candidate9</w:t>
            </w:r>
          </w:p>
        </w:tc>
        <w:tc>
          <w:tcPr>
            <w:tcW w:type="dxa" w:w="720"/>
            <w:vAlign w:val="center"/>
          </w:tcPr>
          <w:p>
            <w:pPr>
              <w:spacing w:before="0" w:after="0" w:line="240" w:lineRule="auto"/>
              <w:jc w:val="center"/>
            </w:pPr>
            <w:r>
              <w:rPr>
                <w:sz w:val="15"/>
              </w:rPr>
              <w:t>575</w:t>
            </w:r>
          </w:p>
        </w:tc>
        <w:tc>
          <w:tcPr>
            <w:tcW w:type="dxa" w:w="1224"/>
            <w:vAlign w:val="center"/>
          </w:tcPr>
          <w:p>
            <w:pPr>
              <w:spacing w:before="0" w:after="0" w:line="240" w:lineRule="auto"/>
              <w:jc w:val="center"/>
            </w:pPr>
            <w:r>
              <w:rPr>
                <w:sz w:val="15"/>
              </w:rPr>
              <w:t>-0.702799</w:t>
            </w:r>
          </w:p>
        </w:tc>
        <w:tc>
          <w:tcPr>
            <w:tcW w:type="dxa" w:w="1224"/>
            <w:vAlign w:val="center"/>
          </w:tcPr>
          <w:p>
            <w:pPr>
              <w:spacing w:before="0" w:after="0" w:line="240" w:lineRule="auto"/>
              <w:jc w:val="center"/>
            </w:pPr>
            <w:r>
              <w:rPr>
                <w:sz w:val="15"/>
              </w:rPr>
              <w:t>-0.812901</w:t>
            </w:r>
          </w:p>
        </w:tc>
        <w:tc>
          <w:tcPr>
            <w:tcW w:type="dxa" w:w="1224"/>
            <w:vAlign w:val="center"/>
          </w:tcPr>
          <w:p>
            <w:pPr>
              <w:spacing w:before="0" w:after="0" w:line="240" w:lineRule="auto"/>
              <w:jc w:val="center"/>
            </w:pPr>
            <w:r>
              <w:rPr>
                <w:sz w:val="15"/>
              </w:rPr>
              <w:t>-0.594852</w:t>
            </w:r>
          </w:p>
        </w:tc>
        <w:tc>
          <w:tcPr>
            <w:tcW w:type="dxa" w:w="1080"/>
            <w:vAlign w:val="center"/>
          </w:tcPr>
          <w:p>
            <w:pPr>
              <w:spacing w:before="0" w:after="0" w:line="240" w:lineRule="auto"/>
              <w:jc w:val="center"/>
            </w:pPr>
            <w:r>
              <w:rPr>
                <w:sz w:val="15"/>
              </w:rPr>
              <w:t>0.000600</w:t>
            </w:r>
          </w:p>
        </w:tc>
      </w:tr>
      <w:tr>
        <w:trPr>
          <w:cantSplit/>
        </w:trPr>
        <w:tc>
          <w:tcPr>
            <w:tcW w:type="dxa" w:w="1080"/>
            <w:vAlign w:val="center"/>
          </w:tcPr>
          <w:p>
            <w:pPr>
              <w:spacing w:before="0" w:after="0" w:line="240" w:lineRule="auto"/>
              <w:jc w:val="center"/>
            </w:pPr>
            <w:r>
              <w:rPr>
                <w:sz w:val="15"/>
              </w:rPr>
              <w:t>RQ4</w:t>
            </w:r>
          </w:p>
        </w:tc>
        <w:tc>
          <w:tcPr>
            <w:tcW w:type="dxa" w:w="1080"/>
            <w:vAlign w:val="center"/>
          </w:tcPr>
          <w:p>
            <w:pPr>
              <w:spacing w:before="0" w:after="0" w:line="240" w:lineRule="auto"/>
              <w:jc w:val="center"/>
            </w:pPr>
            <w:r>
              <w:rPr>
                <w:sz w:val="15"/>
              </w:rPr>
              <w:t>Gemini</w:t>
            </w:r>
          </w:p>
        </w:tc>
        <w:tc>
          <w:tcPr>
            <w:tcW w:type="dxa" w:w="792"/>
            <w:vAlign w:val="center"/>
          </w:tcPr>
          <w:p>
            <w:pPr>
              <w:spacing w:before="0" w:after="0" w:line="240" w:lineRule="auto"/>
              <w:jc w:val="center"/>
            </w:pPr>
            <w:r>
              <w:rPr>
                <w:sz w:val="15"/>
              </w:rPr>
              <w:t>α</w:t>
            </w:r>
          </w:p>
        </w:tc>
        <w:tc>
          <w:tcPr>
            <w:tcW w:type="dxa" w:w="1008"/>
            <w:vAlign w:val="center"/>
          </w:tcPr>
          <w:p>
            <w:pPr>
              <w:spacing w:before="0" w:after="0" w:line="240" w:lineRule="auto"/>
              <w:jc w:val="center"/>
            </w:pPr>
            <w:r>
              <w:rPr>
                <w:sz w:val="15"/>
              </w:rPr>
              <w:t>C4R</w:t>
            </w:r>
          </w:p>
        </w:tc>
        <w:tc>
          <w:tcPr>
            <w:tcW w:type="dxa" w:w="1368"/>
            <w:vAlign w:val="center"/>
          </w:tcPr>
          <w:p>
            <w:pPr>
              <w:spacing w:before="0" w:after="0" w:line="240" w:lineRule="auto"/>
              <w:jc w:val="center"/>
            </w:pPr>
            <w:r>
              <w:rPr>
                <w:sz w:val="15"/>
              </w:rPr>
              <w:t>Candidate9</w:t>
            </w:r>
          </w:p>
        </w:tc>
        <w:tc>
          <w:tcPr>
            <w:tcW w:type="dxa" w:w="720"/>
            <w:vAlign w:val="center"/>
          </w:tcPr>
          <w:p>
            <w:pPr>
              <w:spacing w:before="0" w:after="0" w:line="240" w:lineRule="auto"/>
              <w:jc w:val="center"/>
            </w:pPr>
            <w:r>
              <w:rPr>
                <w:sz w:val="15"/>
              </w:rPr>
              <w:t>575</w:t>
            </w:r>
          </w:p>
        </w:tc>
        <w:tc>
          <w:tcPr>
            <w:tcW w:type="dxa" w:w="1224"/>
            <w:vAlign w:val="center"/>
          </w:tcPr>
          <w:p>
            <w:pPr>
              <w:spacing w:before="0" w:after="0" w:line="240" w:lineRule="auto"/>
              <w:jc w:val="center"/>
            </w:pPr>
            <w:r>
              <w:rPr>
                <w:sz w:val="15"/>
              </w:rPr>
              <w:t>-0.666136</w:t>
            </w:r>
          </w:p>
        </w:tc>
        <w:tc>
          <w:tcPr>
            <w:tcW w:type="dxa" w:w="1224"/>
            <w:vAlign w:val="center"/>
          </w:tcPr>
          <w:p>
            <w:pPr>
              <w:spacing w:before="0" w:after="0" w:line="240" w:lineRule="auto"/>
              <w:jc w:val="center"/>
            </w:pPr>
            <w:r>
              <w:rPr>
                <w:sz w:val="15"/>
              </w:rPr>
              <w:t>-0.779248</w:t>
            </w:r>
          </w:p>
        </w:tc>
        <w:tc>
          <w:tcPr>
            <w:tcW w:type="dxa" w:w="1224"/>
            <w:vAlign w:val="center"/>
          </w:tcPr>
          <w:p>
            <w:pPr>
              <w:spacing w:before="0" w:after="0" w:line="240" w:lineRule="auto"/>
              <w:jc w:val="center"/>
            </w:pPr>
            <w:r>
              <w:rPr>
                <w:sz w:val="15"/>
              </w:rPr>
              <w:t>-0.555447</w:t>
            </w:r>
          </w:p>
        </w:tc>
        <w:tc>
          <w:tcPr>
            <w:tcW w:type="dxa" w:w="1080"/>
            <w:vAlign w:val="center"/>
          </w:tcPr>
          <w:p>
            <w:pPr>
              <w:spacing w:before="0" w:after="0" w:line="240" w:lineRule="auto"/>
              <w:jc w:val="center"/>
            </w:pPr>
            <w:r>
              <w:rPr>
                <w:sz w:val="15"/>
              </w:rPr>
              <w:t>0.000600</w:t>
            </w:r>
          </w:p>
        </w:tc>
      </w:tr>
      <w:tr>
        <w:trPr>
          <w:cantSplit/>
        </w:trPr>
        <w:tc>
          <w:tcPr>
            <w:tcW w:type="dxa" w:w="1080"/>
            <w:vAlign w:val="center"/>
          </w:tcPr>
          <w:p>
            <w:pPr>
              <w:spacing w:before="0" w:after="0" w:line="240" w:lineRule="auto"/>
              <w:jc w:val="center"/>
            </w:pPr>
            <w:r>
              <w:rPr>
                <w:sz w:val="15"/>
              </w:rPr>
              <w:t>RQ4</w:t>
            </w:r>
          </w:p>
        </w:tc>
        <w:tc>
          <w:tcPr>
            <w:tcW w:type="dxa" w:w="1080"/>
            <w:vAlign w:val="center"/>
          </w:tcPr>
          <w:p>
            <w:pPr>
              <w:spacing w:before="0" w:after="0" w:line="240" w:lineRule="auto"/>
              <w:jc w:val="center"/>
            </w:pPr>
            <w:r>
              <w:rPr>
                <w:sz w:val="15"/>
              </w:rPr>
              <w:t>Gemini</w:t>
            </w:r>
          </w:p>
        </w:tc>
        <w:tc>
          <w:tcPr>
            <w:tcW w:type="dxa" w:w="792"/>
            <w:vAlign w:val="center"/>
          </w:tcPr>
          <w:p>
            <w:pPr>
              <w:spacing w:before="0" w:after="0" w:line="240" w:lineRule="auto"/>
              <w:jc w:val="center"/>
            </w:pPr>
            <w:r>
              <w:rPr>
                <w:sz w:val="15"/>
              </w:rPr>
              <w:t>α</w:t>
            </w:r>
          </w:p>
        </w:tc>
        <w:tc>
          <w:tcPr>
            <w:tcW w:type="dxa" w:w="1008"/>
            <w:vAlign w:val="center"/>
          </w:tcPr>
          <w:p>
            <w:pPr>
              <w:spacing w:before="0" w:after="0" w:line="240" w:lineRule="auto"/>
              <w:jc w:val="center"/>
            </w:pPr>
            <w:r>
              <w:rPr>
                <w:sz w:val="15"/>
              </w:rPr>
              <w:t>C6-E</w:t>
            </w:r>
          </w:p>
        </w:tc>
        <w:tc>
          <w:tcPr>
            <w:tcW w:type="dxa" w:w="1368"/>
            <w:vAlign w:val="center"/>
          </w:tcPr>
          <w:p>
            <w:pPr>
              <w:spacing w:before="0" w:after="0" w:line="240" w:lineRule="auto"/>
              <w:jc w:val="center"/>
            </w:pPr>
            <w:r>
              <w:rPr>
                <w:sz w:val="15"/>
              </w:rPr>
              <w:t>Candidate9</w:t>
            </w:r>
          </w:p>
        </w:tc>
        <w:tc>
          <w:tcPr>
            <w:tcW w:type="dxa" w:w="720"/>
            <w:vAlign w:val="center"/>
          </w:tcPr>
          <w:p>
            <w:pPr>
              <w:spacing w:before="0" w:after="0" w:line="240" w:lineRule="auto"/>
              <w:jc w:val="center"/>
            </w:pPr>
            <w:r>
              <w:rPr>
                <w:sz w:val="15"/>
              </w:rPr>
              <w:t>575</w:t>
            </w:r>
          </w:p>
        </w:tc>
        <w:tc>
          <w:tcPr>
            <w:tcW w:type="dxa" w:w="1224"/>
            <w:vAlign w:val="center"/>
          </w:tcPr>
          <w:p>
            <w:pPr>
              <w:spacing w:before="0" w:after="0" w:line="240" w:lineRule="auto"/>
              <w:jc w:val="center"/>
            </w:pPr>
            <w:r>
              <w:rPr>
                <w:sz w:val="15"/>
              </w:rPr>
              <w:t>-0.688085</w:t>
            </w:r>
          </w:p>
        </w:tc>
        <w:tc>
          <w:tcPr>
            <w:tcW w:type="dxa" w:w="1224"/>
            <w:vAlign w:val="center"/>
          </w:tcPr>
          <w:p>
            <w:pPr>
              <w:spacing w:before="0" w:after="0" w:line="240" w:lineRule="auto"/>
              <w:jc w:val="center"/>
            </w:pPr>
            <w:r>
              <w:rPr>
                <w:sz w:val="15"/>
              </w:rPr>
              <w:t>-0.804121</w:t>
            </w:r>
          </w:p>
        </w:tc>
        <w:tc>
          <w:tcPr>
            <w:tcW w:type="dxa" w:w="1224"/>
            <w:vAlign w:val="center"/>
          </w:tcPr>
          <w:p>
            <w:pPr>
              <w:spacing w:before="0" w:after="0" w:line="240" w:lineRule="auto"/>
              <w:jc w:val="center"/>
            </w:pPr>
            <w:r>
              <w:rPr>
                <w:sz w:val="15"/>
              </w:rPr>
              <w:t>-0.577134</w:t>
            </w:r>
          </w:p>
        </w:tc>
        <w:tc>
          <w:tcPr>
            <w:tcW w:type="dxa" w:w="1080"/>
            <w:vAlign w:val="center"/>
          </w:tcPr>
          <w:p>
            <w:pPr>
              <w:spacing w:before="0" w:after="0" w:line="240" w:lineRule="auto"/>
              <w:jc w:val="center"/>
            </w:pPr>
            <w:r>
              <w:rPr>
                <w:sz w:val="15"/>
              </w:rPr>
              <w:t>0.000600</w:t>
            </w:r>
          </w:p>
        </w:tc>
      </w:tr>
      <w:tr>
        <w:trPr>
          <w:cantSplit/>
        </w:trPr>
        <w:tc>
          <w:tcPr>
            <w:tcW w:type="dxa" w:w="1080"/>
            <w:vAlign w:val="center"/>
          </w:tcPr>
          <w:p>
            <w:pPr>
              <w:spacing w:before="0" w:after="0" w:line="240" w:lineRule="auto"/>
              <w:jc w:val="center"/>
            </w:pPr>
            <w:r>
              <w:rPr>
                <w:sz w:val="15"/>
              </w:rPr>
              <w:t>RQ4</w:t>
            </w:r>
          </w:p>
        </w:tc>
        <w:tc>
          <w:tcPr>
            <w:tcW w:type="dxa" w:w="1080"/>
            <w:vAlign w:val="center"/>
          </w:tcPr>
          <w:p>
            <w:pPr>
              <w:spacing w:before="0" w:after="0" w:line="240" w:lineRule="auto"/>
              <w:jc w:val="center"/>
            </w:pPr>
            <w:r>
              <w:rPr>
                <w:sz w:val="15"/>
              </w:rPr>
              <w:t>Gemini</w:t>
            </w:r>
          </w:p>
        </w:tc>
        <w:tc>
          <w:tcPr>
            <w:tcW w:type="dxa" w:w="792"/>
            <w:vAlign w:val="center"/>
          </w:tcPr>
          <w:p>
            <w:pPr>
              <w:spacing w:before="0" w:after="0" w:line="240" w:lineRule="auto"/>
              <w:jc w:val="center"/>
            </w:pPr>
            <w:r>
              <w:rPr>
                <w:sz w:val="15"/>
              </w:rPr>
              <w:t>β</w:t>
            </w:r>
          </w:p>
        </w:tc>
        <w:tc>
          <w:tcPr>
            <w:tcW w:type="dxa" w:w="1008"/>
            <w:vAlign w:val="center"/>
          </w:tcPr>
          <w:p>
            <w:pPr>
              <w:spacing w:before="0" w:after="0" w:line="240" w:lineRule="auto"/>
              <w:jc w:val="center"/>
            </w:pPr>
            <w:r>
              <w:rPr>
                <w:sz w:val="15"/>
              </w:rPr>
              <w:t>C4</w:t>
            </w:r>
          </w:p>
        </w:tc>
        <w:tc>
          <w:tcPr>
            <w:tcW w:type="dxa" w:w="1368"/>
            <w:vAlign w:val="center"/>
          </w:tcPr>
          <w:p>
            <w:pPr>
              <w:spacing w:before="0" w:after="0" w:line="240" w:lineRule="auto"/>
              <w:jc w:val="center"/>
            </w:pPr>
            <w:r>
              <w:rPr>
                <w:sz w:val="15"/>
              </w:rPr>
              <w:t>Candidate9</w:t>
            </w:r>
          </w:p>
        </w:tc>
        <w:tc>
          <w:tcPr>
            <w:tcW w:type="dxa" w:w="720"/>
            <w:vAlign w:val="center"/>
          </w:tcPr>
          <w:p>
            <w:pPr>
              <w:spacing w:before="0" w:after="0" w:line="240" w:lineRule="auto"/>
              <w:jc w:val="center"/>
            </w:pPr>
            <w:r>
              <w:rPr>
                <w:sz w:val="15"/>
              </w:rPr>
              <w:t>575</w:t>
            </w:r>
          </w:p>
        </w:tc>
        <w:tc>
          <w:tcPr>
            <w:tcW w:type="dxa" w:w="1224"/>
            <w:vAlign w:val="center"/>
          </w:tcPr>
          <w:p>
            <w:pPr>
              <w:spacing w:before="0" w:after="0" w:line="240" w:lineRule="auto"/>
              <w:jc w:val="center"/>
            </w:pPr>
            <w:r>
              <w:rPr>
                <w:sz w:val="15"/>
              </w:rPr>
              <w:t>-0.179005</w:t>
            </w:r>
          </w:p>
        </w:tc>
        <w:tc>
          <w:tcPr>
            <w:tcW w:type="dxa" w:w="1224"/>
            <w:vAlign w:val="center"/>
          </w:tcPr>
          <w:p>
            <w:pPr>
              <w:spacing w:before="0" w:after="0" w:line="240" w:lineRule="auto"/>
              <w:jc w:val="center"/>
            </w:pPr>
            <w:r>
              <w:rPr>
                <w:sz w:val="15"/>
              </w:rPr>
              <w:t>-0.222048</w:t>
            </w:r>
          </w:p>
        </w:tc>
        <w:tc>
          <w:tcPr>
            <w:tcW w:type="dxa" w:w="1224"/>
            <w:vAlign w:val="center"/>
          </w:tcPr>
          <w:p>
            <w:pPr>
              <w:spacing w:before="0" w:after="0" w:line="240" w:lineRule="auto"/>
              <w:jc w:val="center"/>
            </w:pPr>
            <w:r>
              <w:rPr>
                <w:sz w:val="15"/>
              </w:rPr>
              <w:t>-0.139807</w:t>
            </w:r>
          </w:p>
        </w:tc>
        <w:tc>
          <w:tcPr>
            <w:tcW w:type="dxa" w:w="1080"/>
            <w:vAlign w:val="center"/>
          </w:tcPr>
          <w:p>
            <w:pPr>
              <w:spacing w:before="0" w:after="0" w:line="240" w:lineRule="auto"/>
              <w:jc w:val="center"/>
            </w:pPr>
            <w:r>
              <w:rPr>
                <w:sz w:val="15"/>
              </w:rPr>
              <w:t>0.000600</w:t>
            </w:r>
          </w:p>
        </w:tc>
      </w:tr>
      <w:tr>
        <w:trPr>
          <w:cantSplit/>
        </w:trPr>
        <w:tc>
          <w:tcPr>
            <w:tcW w:type="dxa" w:w="1080"/>
            <w:vAlign w:val="center"/>
          </w:tcPr>
          <w:p>
            <w:pPr>
              <w:spacing w:before="0" w:after="0" w:line="240" w:lineRule="auto"/>
              <w:jc w:val="center"/>
            </w:pPr>
            <w:r>
              <w:rPr>
                <w:sz w:val="15"/>
              </w:rPr>
              <w:t>RQ4</w:t>
            </w:r>
          </w:p>
        </w:tc>
        <w:tc>
          <w:tcPr>
            <w:tcW w:type="dxa" w:w="1080"/>
            <w:vAlign w:val="center"/>
          </w:tcPr>
          <w:p>
            <w:pPr>
              <w:spacing w:before="0" w:after="0" w:line="240" w:lineRule="auto"/>
              <w:jc w:val="center"/>
            </w:pPr>
            <w:r>
              <w:rPr>
                <w:sz w:val="15"/>
              </w:rPr>
              <w:t>Gemini</w:t>
            </w:r>
          </w:p>
        </w:tc>
        <w:tc>
          <w:tcPr>
            <w:tcW w:type="dxa" w:w="792"/>
            <w:vAlign w:val="center"/>
          </w:tcPr>
          <w:p>
            <w:pPr>
              <w:spacing w:before="0" w:after="0" w:line="240" w:lineRule="auto"/>
              <w:jc w:val="center"/>
            </w:pPr>
            <w:r>
              <w:rPr>
                <w:sz w:val="15"/>
              </w:rPr>
              <w:t>β</w:t>
            </w:r>
          </w:p>
        </w:tc>
        <w:tc>
          <w:tcPr>
            <w:tcW w:type="dxa" w:w="1008"/>
            <w:vAlign w:val="center"/>
          </w:tcPr>
          <w:p>
            <w:pPr>
              <w:spacing w:before="0" w:after="0" w:line="240" w:lineRule="auto"/>
              <w:jc w:val="center"/>
            </w:pPr>
            <w:r>
              <w:rPr>
                <w:sz w:val="15"/>
              </w:rPr>
              <w:t>C4R</w:t>
            </w:r>
          </w:p>
        </w:tc>
        <w:tc>
          <w:tcPr>
            <w:tcW w:type="dxa" w:w="1368"/>
            <w:vAlign w:val="center"/>
          </w:tcPr>
          <w:p>
            <w:pPr>
              <w:spacing w:before="0" w:after="0" w:line="240" w:lineRule="auto"/>
              <w:jc w:val="center"/>
            </w:pPr>
            <w:r>
              <w:rPr>
                <w:sz w:val="15"/>
              </w:rPr>
              <w:t>Candidate9</w:t>
            </w:r>
          </w:p>
        </w:tc>
        <w:tc>
          <w:tcPr>
            <w:tcW w:type="dxa" w:w="720"/>
            <w:vAlign w:val="center"/>
          </w:tcPr>
          <w:p>
            <w:pPr>
              <w:spacing w:before="0" w:after="0" w:line="240" w:lineRule="auto"/>
              <w:jc w:val="center"/>
            </w:pPr>
            <w:r>
              <w:rPr>
                <w:sz w:val="15"/>
              </w:rPr>
              <w:t>575</w:t>
            </w:r>
          </w:p>
        </w:tc>
        <w:tc>
          <w:tcPr>
            <w:tcW w:type="dxa" w:w="1224"/>
            <w:vAlign w:val="center"/>
          </w:tcPr>
          <w:p>
            <w:pPr>
              <w:spacing w:before="0" w:after="0" w:line="240" w:lineRule="auto"/>
              <w:jc w:val="center"/>
            </w:pPr>
            <w:r>
              <w:rPr>
                <w:sz w:val="15"/>
              </w:rPr>
              <w:t>-0.159313</w:t>
            </w:r>
          </w:p>
        </w:tc>
        <w:tc>
          <w:tcPr>
            <w:tcW w:type="dxa" w:w="1224"/>
            <w:vAlign w:val="center"/>
          </w:tcPr>
          <w:p>
            <w:pPr>
              <w:spacing w:before="0" w:after="0" w:line="240" w:lineRule="auto"/>
              <w:jc w:val="center"/>
            </w:pPr>
            <w:r>
              <w:rPr>
                <w:sz w:val="15"/>
              </w:rPr>
              <w:t>-0.201965</w:t>
            </w:r>
          </w:p>
        </w:tc>
        <w:tc>
          <w:tcPr>
            <w:tcW w:type="dxa" w:w="1224"/>
            <w:vAlign w:val="center"/>
          </w:tcPr>
          <w:p>
            <w:pPr>
              <w:spacing w:before="0" w:after="0" w:line="240" w:lineRule="auto"/>
              <w:jc w:val="center"/>
            </w:pPr>
            <w:r>
              <w:rPr>
                <w:sz w:val="15"/>
              </w:rPr>
              <w:t>-0.120535</w:t>
            </w:r>
          </w:p>
        </w:tc>
        <w:tc>
          <w:tcPr>
            <w:tcW w:type="dxa" w:w="1080"/>
            <w:vAlign w:val="center"/>
          </w:tcPr>
          <w:p>
            <w:pPr>
              <w:spacing w:before="0" w:after="0" w:line="240" w:lineRule="auto"/>
              <w:jc w:val="center"/>
            </w:pPr>
            <w:r>
              <w:rPr>
                <w:sz w:val="15"/>
              </w:rPr>
              <w:t>0.000600</w:t>
            </w:r>
          </w:p>
        </w:tc>
      </w:tr>
      <w:tr>
        <w:trPr>
          <w:cantSplit/>
        </w:trPr>
        <w:tc>
          <w:tcPr>
            <w:tcW w:type="dxa" w:w="1080"/>
            <w:vAlign w:val="center"/>
          </w:tcPr>
          <w:p>
            <w:pPr>
              <w:spacing w:before="0" w:after="0" w:line="240" w:lineRule="auto"/>
              <w:jc w:val="center"/>
            </w:pPr>
            <w:r>
              <w:rPr>
                <w:sz w:val="15"/>
              </w:rPr>
              <w:t>RQ4</w:t>
            </w:r>
          </w:p>
        </w:tc>
        <w:tc>
          <w:tcPr>
            <w:tcW w:type="dxa" w:w="1080"/>
            <w:vAlign w:val="center"/>
          </w:tcPr>
          <w:p>
            <w:pPr>
              <w:spacing w:before="0" w:after="0" w:line="240" w:lineRule="auto"/>
              <w:jc w:val="center"/>
            </w:pPr>
            <w:r>
              <w:rPr>
                <w:sz w:val="15"/>
              </w:rPr>
              <w:t>Gemini</w:t>
            </w:r>
          </w:p>
        </w:tc>
        <w:tc>
          <w:tcPr>
            <w:tcW w:type="dxa" w:w="792"/>
            <w:vAlign w:val="center"/>
          </w:tcPr>
          <w:p>
            <w:pPr>
              <w:spacing w:before="0" w:after="0" w:line="240" w:lineRule="auto"/>
              <w:jc w:val="center"/>
            </w:pPr>
            <w:r>
              <w:rPr>
                <w:sz w:val="15"/>
              </w:rPr>
              <w:t>β</w:t>
            </w:r>
          </w:p>
        </w:tc>
        <w:tc>
          <w:tcPr>
            <w:tcW w:type="dxa" w:w="1008"/>
            <w:vAlign w:val="center"/>
          </w:tcPr>
          <w:p>
            <w:pPr>
              <w:spacing w:before="0" w:after="0" w:line="240" w:lineRule="auto"/>
              <w:jc w:val="center"/>
            </w:pPr>
            <w:r>
              <w:rPr>
                <w:sz w:val="15"/>
              </w:rPr>
              <w:t>C6-E</w:t>
            </w:r>
          </w:p>
        </w:tc>
        <w:tc>
          <w:tcPr>
            <w:tcW w:type="dxa" w:w="1368"/>
            <w:vAlign w:val="center"/>
          </w:tcPr>
          <w:p>
            <w:pPr>
              <w:spacing w:before="0" w:after="0" w:line="240" w:lineRule="auto"/>
              <w:jc w:val="center"/>
            </w:pPr>
            <w:r>
              <w:rPr>
                <w:sz w:val="15"/>
              </w:rPr>
              <w:t>Candidate9</w:t>
            </w:r>
          </w:p>
        </w:tc>
        <w:tc>
          <w:tcPr>
            <w:tcW w:type="dxa" w:w="720"/>
            <w:vAlign w:val="center"/>
          </w:tcPr>
          <w:p>
            <w:pPr>
              <w:spacing w:before="0" w:after="0" w:line="240" w:lineRule="auto"/>
              <w:jc w:val="center"/>
            </w:pPr>
            <w:r>
              <w:rPr>
                <w:sz w:val="15"/>
              </w:rPr>
              <w:t>575</w:t>
            </w:r>
          </w:p>
        </w:tc>
        <w:tc>
          <w:tcPr>
            <w:tcW w:type="dxa" w:w="1224"/>
            <w:vAlign w:val="center"/>
          </w:tcPr>
          <w:p>
            <w:pPr>
              <w:spacing w:before="0" w:after="0" w:line="240" w:lineRule="auto"/>
              <w:jc w:val="center"/>
            </w:pPr>
            <w:r>
              <w:rPr>
                <w:sz w:val="15"/>
              </w:rPr>
              <w:t>-0.158351</w:t>
            </w:r>
          </w:p>
        </w:tc>
        <w:tc>
          <w:tcPr>
            <w:tcW w:type="dxa" w:w="1224"/>
            <w:vAlign w:val="center"/>
          </w:tcPr>
          <w:p>
            <w:pPr>
              <w:spacing w:before="0" w:after="0" w:line="240" w:lineRule="auto"/>
              <w:jc w:val="center"/>
            </w:pPr>
            <w:r>
              <w:rPr>
                <w:sz w:val="15"/>
              </w:rPr>
              <w:t>-0.198100</w:t>
            </w:r>
          </w:p>
        </w:tc>
        <w:tc>
          <w:tcPr>
            <w:tcW w:type="dxa" w:w="1224"/>
            <w:vAlign w:val="center"/>
          </w:tcPr>
          <w:p>
            <w:pPr>
              <w:spacing w:before="0" w:after="0" w:line="240" w:lineRule="auto"/>
              <w:jc w:val="center"/>
            </w:pPr>
            <w:r>
              <w:rPr>
                <w:sz w:val="15"/>
              </w:rPr>
              <w:t>-0.121575</w:t>
            </w:r>
          </w:p>
        </w:tc>
        <w:tc>
          <w:tcPr>
            <w:tcW w:type="dxa" w:w="1080"/>
            <w:vAlign w:val="center"/>
          </w:tcPr>
          <w:p>
            <w:pPr>
              <w:spacing w:before="0" w:after="0" w:line="240" w:lineRule="auto"/>
              <w:jc w:val="center"/>
            </w:pPr>
            <w:r>
              <w:rPr>
                <w:sz w:val="15"/>
              </w:rPr>
              <w:t>0.000600</w:t>
            </w:r>
          </w:p>
        </w:tc>
      </w:tr>
      <w:tr>
        <w:trPr>
          <w:cantSplit/>
        </w:trPr>
        <w:tc>
          <w:tcPr>
            <w:tcW w:type="dxa" w:w="1080"/>
            <w:vAlign w:val="center"/>
          </w:tcPr>
          <w:p>
            <w:pPr>
              <w:spacing w:before="0" w:after="0" w:line="240" w:lineRule="auto"/>
              <w:jc w:val="center"/>
            </w:pPr>
            <w:r>
              <w:rPr>
                <w:sz w:val="15"/>
              </w:rPr>
              <w:t>RQ4</w:t>
            </w:r>
          </w:p>
        </w:tc>
        <w:tc>
          <w:tcPr>
            <w:tcW w:type="dxa" w:w="1080"/>
            <w:vAlign w:val="center"/>
          </w:tcPr>
          <w:p>
            <w:pPr>
              <w:spacing w:before="0" w:after="0" w:line="240" w:lineRule="auto"/>
              <w:jc w:val="center"/>
            </w:pPr>
            <w:r>
              <w:rPr>
                <w:sz w:val="15"/>
              </w:rPr>
              <w:t>Gemini</w:t>
            </w:r>
          </w:p>
        </w:tc>
        <w:tc>
          <w:tcPr>
            <w:tcW w:type="dxa" w:w="792"/>
            <w:vAlign w:val="center"/>
          </w:tcPr>
          <w:p>
            <w:pPr>
              <w:spacing w:before="0" w:after="0" w:line="240" w:lineRule="auto"/>
              <w:jc w:val="center"/>
            </w:pPr>
            <w:r>
              <w:rPr>
                <w:sz w:val="15"/>
              </w:rPr>
              <w:t>γ</w:t>
            </w:r>
          </w:p>
        </w:tc>
        <w:tc>
          <w:tcPr>
            <w:tcW w:type="dxa" w:w="1008"/>
            <w:vAlign w:val="center"/>
          </w:tcPr>
          <w:p>
            <w:pPr>
              <w:spacing w:before="0" w:after="0" w:line="240" w:lineRule="auto"/>
              <w:jc w:val="center"/>
            </w:pPr>
            <w:r>
              <w:rPr>
                <w:sz w:val="15"/>
              </w:rPr>
              <w:t>C4</w:t>
            </w:r>
          </w:p>
        </w:tc>
        <w:tc>
          <w:tcPr>
            <w:tcW w:type="dxa" w:w="1368"/>
            <w:vAlign w:val="center"/>
          </w:tcPr>
          <w:p>
            <w:pPr>
              <w:spacing w:before="0" w:after="0" w:line="240" w:lineRule="auto"/>
              <w:jc w:val="center"/>
            </w:pPr>
            <w:r>
              <w:rPr>
                <w:sz w:val="15"/>
              </w:rPr>
              <w:t>Candidate9</w:t>
            </w:r>
          </w:p>
        </w:tc>
        <w:tc>
          <w:tcPr>
            <w:tcW w:type="dxa" w:w="720"/>
            <w:vAlign w:val="center"/>
          </w:tcPr>
          <w:p>
            <w:pPr>
              <w:spacing w:before="0" w:after="0" w:line="240" w:lineRule="auto"/>
              <w:jc w:val="center"/>
            </w:pPr>
            <w:r>
              <w:rPr>
                <w:sz w:val="15"/>
              </w:rPr>
              <w:t>575</w:t>
            </w:r>
          </w:p>
        </w:tc>
        <w:tc>
          <w:tcPr>
            <w:tcW w:type="dxa" w:w="1224"/>
            <w:vAlign w:val="center"/>
          </w:tcPr>
          <w:p>
            <w:pPr>
              <w:spacing w:before="0" w:after="0" w:line="240" w:lineRule="auto"/>
              <w:jc w:val="center"/>
            </w:pPr>
            <w:r>
              <w:rPr>
                <w:sz w:val="15"/>
              </w:rPr>
              <w:t>-0.170484</w:t>
            </w:r>
          </w:p>
        </w:tc>
        <w:tc>
          <w:tcPr>
            <w:tcW w:type="dxa" w:w="1224"/>
            <w:vAlign w:val="center"/>
          </w:tcPr>
          <w:p>
            <w:pPr>
              <w:spacing w:before="0" w:after="0" w:line="240" w:lineRule="auto"/>
              <w:jc w:val="center"/>
            </w:pPr>
            <w:r>
              <w:rPr>
                <w:sz w:val="15"/>
              </w:rPr>
              <w:t>-0.217059</w:t>
            </w:r>
          </w:p>
        </w:tc>
        <w:tc>
          <w:tcPr>
            <w:tcW w:type="dxa" w:w="1224"/>
            <w:vAlign w:val="center"/>
          </w:tcPr>
          <w:p>
            <w:pPr>
              <w:spacing w:before="0" w:after="0" w:line="240" w:lineRule="auto"/>
              <w:jc w:val="center"/>
            </w:pPr>
            <w:r>
              <w:rPr>
                <w:sz w:val="15"/>
              </w:rPr>
              <w:t>-0.125395</w:t>
            </w:r>
          </w:p>
        </w:tc>
        <w:tc>
          <w:tcPr>
            <w:tcW w:type="dxa" w:w="1080"/>
            <w:vAlign w:val="center"/>
          </w:tcPr>
          <w:p>
            <w:pPr>
              <w:spacing w:before="0" w:after="0" w:line="240" w:lineRule="auto"/>
              <w:jc w:val="center"/>
            </w:pPr>
            <w:r>
              <w:rPr>
                <w:sz w:val="15"/>
              </w:rPr>
              <w:t>0.000600</w:t>
            </w:r>
          </w:p>
        </w:tc>
      </w:tr>
      <w:tr>
        <w:trPr>
          <w:cantSplit/>
        </w:trPr>
        <w:tc>
          <w:tcPr>
            <w:tcW w:type="dxa" w:w="1080"/>
            <w:vAlign w:val="center"/>
          </w:tcPr>
          <w:p>
            <w:pPr>
              <w:spacing w:before="0" w:after="0" w:line="240" w:lineRule="auto"/>
              <w:jc w:val="center"/>
            </w:pPr>
            <w:r>
              <w:rPr>
                <w:sz w:val="15"/>
              </w:rPr>
              <w:t>RQ4</w:t>
            </w:r>
          </w:p>
        </w:tc>
        <w:tc>
          <w:tcPr>
            <w:tcW w:type="dxa" w:w="1080"/>
            <w:vAlign w:val="center"/>
          </w:tcPr>
          <w:p>
            <w:pPr>
              <w:spacing w:before="0" w:after="0" w:line="240" w:lineRule="auto"/>
              <w:jc w:val="center"/>
            </w:pPr>
            <w:r>
              <w:rPr>
                <w:sz w:val="15"/>
              </w:rPr>
              <w:t>Gemini</w:t>
            </w:r>
          </w:p>
        </w:tc>
        <w:tc>
          <w:tcPr>
            <w:tcW w:type="dxa" w:w="792"/>
            <w:vAlign w:val="center"/>
          </w:tcPr>
          <w:p>
            <w:pPr>
              <w:spacing w:before="0" w:after="0" w:line="240" w:lineRule="auto"/>
              <w:jc w:val="center"/>
            </w:pPr>
            <w:r>
              <w:rPr>
                <w:sz w:val="15"/>
              </w:rPr>
              <w:t>γ</w:t>
            </w:r>
          </w:p>
        </w:tc>
        <w:tc>
          <w:tcPr>
            <w:tcW w:type="dxa" w:w="1008"/>
            <w:vAlign w:val="center"/>
          </w:tcPr>
          <w:p>
            <w:pPr>
              <w:spacing w:before="0" w:after="0" w:line="240" w:lineRule="auto"/>
              <w:jc w:val="center"/>
            </w:pPr>
            <w:r>
              <w:rPr>
                <w:sz w:val="15"/>
              </w:rPr>
              <w:t>C4R</w:t>
            </w:r>
          </w:p>
        </w:tc>
        <w:tc>
          <w:tcPr>
            <w:tcW w:type="dxa" w:w="1368"/>
            <w:vAlign w:val="center"/>
          </w:tcPr>
          <w:p>
            <w:pPr>
              <w:spacing w:before="0" w:after="0" w:line="240" w:lineRule="auto"/>
              <w:jc w:val="center"/>
            </w:pPr>
            <w:r>
              <w:rPr>
                <w:sz w:val="15"/>
              </w:rPr>
              <w:t>Candidate9</w:t>
            </w:r>
          </w:p>
        </w:tc>
        <w:tc>
          <w:tcPr>
            <w:tcW w:type="dxa" w:w="720"/>
            <w:vAlign w:val="center"/>
          </w:tcPr>
          <w:p>
            <w:pPr>
              <w:spacing w:before="0" w:after="0" w:line="240" w:lineRule="auto"/>
              <w:jc w:val="center"/>
            </w:pPr>
            <w:r>
              <w:rPr>
                <w:sz w:val="15"/>
              </w:rPr>
              <w:t>575</w:t>
            </w:r>
          </w:p>
        </w:tc>
        <w:tc>
          <w:tcPr>
            <w:tcW w:type="dxa" w:w="1224"/>
            <w:vAlign w:val="center"/>
          </w:tcPr>
          <w:p>
            <w:pPr>
              <w:spacing w:before="0" w:after="0" w:line="240" w:lineRule="auto"/>
              <w:jc w:val="center"/>
            </w:pPr>
            <w:r>
              <w:rPr>
                <w:sz w:val="15"/>
              </w:rPr>
              <w:t>-0.164942</w:t>
            </w:r>
          </w:p>
        </w:tc>
        <w:tc>
          <w:tcPr>
            <w:tcW w:type="dxa" w:w="1224"/>
            <w:vAlign w:val="center"/>
          </w:tcPr>
          <w:p>
            <w:pPr>
              <w:spacing w:before="0" w:after="0" w:line="240" w:lineRule="auto"/>
              <w:jc w:val="center"/>
            </w:pPr>
            <w:r>
              <w:rPr>
                <w:sz w:val="15"/>
              </w:rPr>
              <w:t>-0.211959</w:t>
            </w:r>
          </w:p>
        </w:tc>
        <w:tc>
          <w:tcPr>
            <w:tcW w:type="dxa" w:w="1224"/>
            <w:vAlign w:val="center"/>
          </w:tcPr>
          <w:p>
            <w:pPr>
              <w:spacing w:before="0" w:after="0" w:line="240" w:lineRule="auto"/>
              <w:jc w:val="center"/>
            </w:pPr>
            <w:r>
              <w:rPr>
                <w:sz w:val="15"/>
              </w:rPr>
              <w:t>-0.119771</w:t>
            </w:r>
          </w:p>
        </w:tc>
        <w:tc>
          <w:tcPr>
            <w:tcW w:type="dxa" w:w="1080"/>
            <w:vAlign w:val="center"/>
          </w:tcPr>
          <w:p>
            <w:pPr>
              <w:spacing w:before="0" w:after="0" w:line="240" w:lineRule="auto"/>
              <w:jc w:val="center"/>
            </w:pPr>
            <w:r>
              <w:rPr>
                <w:sz w:val="15"/>
              </w:rPr>
              <w:t>0.000600</w:t>
            </w:r>
          </w:p>
        </w:tc>
      </w:tr>
      <w:tr>
        <w:trPr>
          <w:cantSplit/>
        </w:trPr>
        <w:tc>
          <w:tcPr>
            <w:tcW w:type="dxa" w:w="1080"/>
            <w:vAlign w:val="center"/>
          </w:tcPr>
          <w:p>
            <w:pPr>
              <w:spacing w:before="0" w:after="0" w:line="240" w:lineRule="auto"/>
              <w:jc w:val="center"/>
            </w:pPr>
            <w:r>
              <w:rPr>
                <w:sz w:val="15"/>
              </w:rPr>
              <w:t>RQ4</w:t>
            </w:r>
          </w:p>
        </w:tc>
        <w:tc>
          <w:tcPr>
            <w:tcW w:type="dxa" w:w="1080"/>
            <w:vAlign w:val="center"/>
          </w:tcPr>
          <w:p>
            <w:pPr>
              <w:spacing w:before="0" w:after="0" w:line="240" w:lineRule="auto"/>
              <w:jc w:val="center"/>
            </w:pPr>
            <w:r>
              <w:rPr>
                <w:sz w:val="15"/>
              </w:rPr>
              <w:t>Gemini</w:t>
            </w:r>
          </w:p>
        </w:tc>
        <w:tc>
          <w:tcPr>
            <w:tcW w:type="dxa" w:w="792"/>
            <w:vAlign w:val="center"/>
          </w:tcPr>
          <w:p>
            <w:pPr>
              <w:spacing w:before="0" w:after="0" w:line="240" w:lineRule="auto"/>
              <w:jc w:val="center"/>
            </w:pPr>
            <w:r>
              <w:rPr>
                <w:sz w:val="15"/>
              </w:rPr>
              <w:t>γ</w:t>
            </w:r>
          </w:p>
        </w:tc>
        <w:tc>
          <w:tcPr>
            <w:tcW w:type="dxa" w:w="1008"/>
            <w:vAlign w:val="center"/>
          </w:tcPr>
          <w:p>
            <w:pPr>
              <w:spacing w:before="0" w:after="0" w:line="240" w:lineRule="auto"/>
              <w:jc w:val="center"/>
            </w:pPr>
            <w:r>
              <w:rPr>
                <w:sz w:val="15"/>
              </w:rPr>
              <w:t>C6-E</w:t>
            </w:r>
          </w:p>
        </w:tc>
        <w:tc>
          <w:tcPr>
            <w:tcW w:type="dxa" w:w="1368"/>
            <w:vAlign w:val="center"/>
          </w:tcPr>
          <w:p>
            <w:pPr>
              <w:spacing w:before="0" w:after="0" w:line="240" w:lineRule="auto"/>
              <w:jc w:val="center"/>
            </w:pPr>
            <w:r>
              <w:rPr>
                <w:sz w:val="15"/>
              </w:rPr>
              <w:t>Candidate9</w:t>
            </w:r>
          </w:p>
        </w:tc>
        <w:tc>
          <w:tcPr>
            <w:tcW w:type="dxa" w:w="720"/>
            <w:vAlign w:val="center"/>
          </w:tcPr>
          <w:p>
            <w:pPr>
              <w:spacing w:before="0" w:after="0" w:line="240" w:lineRule="auto"/>
              <w:jc w:val="center"/>
            </w:pPr>
            <w:r>
              <w:rPr>
                <w:sz w:val="15"/>
              </w:rPr>
              <w:t>575</w:t>
            </w:r>
          </w:p>
        </w:tc>
        <w:tc>
          <w:tcPr>
            <w:tcW w:type="dxa" w:w="1224"/>
            <w:vAlign w:val="center"/>
          </w:tcPr>
          <w:p>
            <w:pPr>
              <w:spacing w:before="0" w:after="0" w:line="240" w:lineRule="auto"/>
              <w:jc w:val="center"/>
            </w:pPr>
            <w:r>
              <w:rPr>
                <w:sz w:val="15"/>
              </w:rPr>
              <w:t>-0.187014</w:t>
            </w:r>
          </w:p>
        </w:tc>
        <w:tc>
          <w:tcPr>
            <w:tcW w:type="dxa" w:w="1224"/>
            <w:vAlign w:val="center"/>
          </w:tcPr>
          <w:p>
            <w:pPr>
              <w:spacing w:before="0" w:after="0" w:line="240" w:lineRule="auto"/>
              <w:jc w:val="center"/>
            </w:pPr>
            <w:r>
              <w:rPr>
                <w:sz w:val="15"/>
              </w:rPr>
              <w:t>-0.234642</w:t>
            </w:r>
          </w:p>
        </w:tc>
        <w:tc>
          <w:tcPr>
            <w:tcW w:type="dxa" w:w="1224"/>
            <w:vAlign w:val="center"/>
          </w:tcPr>
          <w:p>
            <w:pPr>
              <w:spacing w:before="0" w:after="0" w:line="240" w:lineRule="auto"/>
              <w:jc w:val="center"/>
            </w:pPr>
            <w:r>
              <w:rPr>
                <w:sz w:val="15"/>
              </w:rPr>
              <w:t>-0.141486</w:t>
            </w:r>
          </w:p>
        </w:tc>
        <w:tc>
          <w:tcPr>
            <w:tcW w:type="dxa" w:w="1080"/>
            <w:vAlign w:val="center"/>
          </w:tcPr>
          <w:p>
            <w:pPr>
              <w:spacing w:before="0" w:after="0" w:line="240" w:lineRule="auto"/>
              <w:jc w:val="center"/>
            </w:pPr>
            <w:r>
              <w:rPr>
                <w:sz w:val="15"/>
              </w:rPr>
              <w:t>0.000600</w:t>
            </w:r>
          </w:p>
        </w:tc>
      </w:tr>
      <w:tr>
        <w:trPr>
          <w:cantSplit/>
        </w:trPr>
        <w:tc>
          <w:tcPr>
            <w:tcW w:type="dxa" w:w="1080"/>
            <w:vAlign w:val="center"/>
          </w:tcPr>
          <w:p>
            <w:pPr>
              <w:spacing w:before="0" w:after="0" w:line="240" w:lineRule="auto"/>
              <w:jc w:val="center"/>
            </w:pPr>
            <w:r>
              <w:rPr>
                <w:sz w:val="15"/>
              </w:rPr>
              <w:t>RQ4</w:t>
            </w:r>
          </w:p>
        </w:tc>
        <w:tc>
          <w:tcPr>
            <w:tcW w:type="dxa" w:w="1080"/>
            <w:vAlign w:val="center"/>
          </w:tcPr>
          <w:p>
            <w:pPr>
              <w:spacing w:before="0" w:after="0" w:line="240" w:lineRule="auto"/>
              <w:jc w:val="center"/>
            </w:pPr>
            <w:r>
              <w:rPr>
                <w:sz w:val="15"/>
              </w:rPr>
              <w:t>GPT</w:t>
            </w:r>
          </w:p>
        </w:tc>
        <w:tc>
          <w:tcPr>
            <w:tcW w:type="dxa" w:w="792"/>
            <w:vAlign w:val="center"/>
          </w:tcPr>
          <w:p>
            <w:pPr>
              <w:spacing w:before="0" w:after="0" w:line="240" w:lineRule="auto"/>
              <w:jc w:val="center"/>
            </w:pPr>
            <w:r>
              <w:rPr>
                <w:sz w:val="15"/>
              </w:rPr>
              <w:t>α</w:t>
            </w:r>
          </w:p>
        </w:tc>
        <w:tc>
          <w:tcPr>
            <w:tcW w:type="dxa" w:w="1008"/>
            <w:vAlign w:val="center"/>
          </w:tcPr>
          <w:p>
            <w:pPr>
              <w:spacing w:before="0" w:after="0" w:line="240" w:lineRule="auto"/>
              <w:jc w:val="center"/>
            </w:pPr>
            <w:r>
              <w:rPr>
                <w:sz w:val="15"/>
              </w:rPr>
              <w:t>C4</w:t>
            </w:r>
          </w:p>
        </w:tc>
        <w:tc>
          <w:tcPr>
            <w:tcW w:type="dxa" w:w="1368"/>
            <w:vAlign w:val="center"/>
          </w:tcPr>
          <w:p>
            <w:pPr>
              <w:spacing w:before="0" w:after="0" w:line="240" w:lineRule="auto"/>
              <w:jc w:val="center"/>
            </w:pPr>
            <w:r>
              <w:rPr>
                <w:sz w:val="15"/>
              </w:rPr>
              <w:t>Candidate9</w:t>
            </w:r>
          </w:p>
        </w:tc>
        <w:tc>
          <w:tcPr>
            <w:tcW w:type="dxa" w:w="720"/>
            <w:vAlign w:val="center"/>
          </w:tcPr>
          <w:p>
            <w:pPr>
              <w:spacing w:before="0" w:after="0" w:line="240" w:lineRule="auto"/>
              <w:jc w:val="center"/>
            </w:pPr>
            <w:r>
              <w:rPr>
                <w:sz w:val="15"/>
              </w:rPr>
              <w:t>575</w:t>
            </w:r>
          </w:p>
        </w:tc>
        <w:tc>
          <w:tcPr>
            <w:tcW w:type="dxa" w:w="1224"/>
            <w:vAlign w:val="center"/>
          </w:tcPr>
          <w:p>
            <w:pPr>
              <w:spacing w:before="0" w:after="0" w:line="240" w:lineRule="auto"/>
              <w:jc w:val="center"/>
            </w:pPr>
            <w:r>
              <w:rPr>
                <w:sz w:val="15"/>
              </w:rPr>
              <w:t>-0.337179</w:t>
            </w:r>
          </w:p>
        </w:tc>
        <w:tc>
          <w:tcPr>
            <w:tcW w:type="dxa" w:w="1224"/>
            <w:vAlign w:val="center"/>
          </w:tcPr>
          <w:p>
            <w:pPr>
              <w:spacing w:before="0" w:after="0" w:line="240" w:lineRule="auto"/>
              <w:jc w:val="center"/>
            </w:pPr>
            <w:r>
              <w:rPr>
                <w:sz w:val="15"/>
              </w:rPr>
              <w:t>-0.447931</w:t>
            </w:r>
          </w:p>
        </w:tc>
        <w:tc>
          <w:tcPr>
            <w:tcW w:type="dxa" w:w="1224"/>
            <w:vAlign w:val="center"/>
          </w:tcPr>
          <w:p>
            <w:pPr>
              <w:spacing w:before="0" w:after="0" w:line="240" w:lineRule="auto"/>
              <w:jc w:val="center"/>
            </w:pPr>
            <w:r>
              <w:rPr>
                <w:sz w:val="15"/>
              </w:rPr>
              <w:t>-0.229916</w:t>
            </w:r>
          </w:p>
        </w:tc>
        <w:tc>
          <w:tcPr>
            <w:tcW w:type="dxa" w:w="1080"/>
            <w:vAlign w:val="center"/>
          </w:tcPr>
          <w:p>
            <w:pPr>
              <w:spacing w:before="0" w:after="0" w:line="240" w:lineRule="auto"/>
              <w:jc w:val="center"/>
            </w:pPr>
            <w:r>
              <w:rPr>
                <w:sz w:val="15"/>
              </w:rPr>
              <w:t>0.000600</w:t>
            </w:r>
          </w:p>
        </w:tc>
      </w:tr>
      <w:tr>
        <w:trPr>
          <w:cantSplit/>
        </w:trPr>
        <w:tc>
          <w:tcPr>
            <w:tcW w:type="dxa" w:w="1080"/>
            <w:vAlign w:val="center"/>
          </w:tcPr>
          <w:p>
            <w:pPr>
              <w:spacing w:before="0" w:after="0" w:line="240" w:lineRule="auto"/>
              <w:jc w:val="center"/>
            </w:pPr>
            <w:r>
              <w:rPr>
                <w:sz w:val="15"/>
              </w:rPr>
              <w:t>RQ4</w:t>
            </w:r>
          </w:p>
        </w:tc>
        <w:tc>
          <w:tcPr>
            <w:tcW w:type="dxa" w:w="1080"/>
            <w:vAlign w:val="center"/>
          </w:tcPr>
          <w:p>
            <w:pPr>
              <w:spacing w:before="0" w:after="0" w:line="240" w:lineRule="auto"/>
              <w:jc w:val="center"/>
            </w:pPr>
            <w:r>
              <w:rPr>
                <w:sz w:val="15"/>
              </w:rPr>
              <w:t>GPT</w:t>
            </w:r>
          </w:p>
        </w:tc>
        <w:tc>
          <w:tcPr>
            <w:tcW w:type="dxa" w:w="792"/>
            <w:vAlign w:val="center"/>
          </w:tcPr>
          <w:p>
            <w:pPr>
              <w:spacing w:before="0" w:after="0" w:line="240" w:lineRule="auto"/>
              <w:jc w:val="center"/>
            </w:pPr>
            <w:r>
              <w:rPr>
                <w:sz w:val="15"/>
              </w:rPr>
              <w:t>α</w:t>
            </w:r>
          </w:p>
        </w:tc>
        <w:tc>
          <w:tcPr>
            <w:tcW w:type="dxa" w:w="1008"/>
            <w:vAlign w:val="center"/>
          </w:tcPr>
          <w:p>
            <w:pPr>
              <w:spacing w:before="0" w:after="0" w:line="240" w:lineRule="auto"/>
              <w:jc w:val="center"/>
            </w:pPr>
            <w:r>
              <w:rPr>
                <w:sz w:val="15"/>
              </w:rPr>
              <w:t>C4R</w:t>
            </w:r>
          </w:p>
        </w:tc>
        <w:tc>
          <w:tcPr>
            <w:tcW w:type="dxa" w:w="1368"/>
            <w:vAlign w:val="center"/>
          </w:tcPr>
          <w:p>
            <w:pPr>
              <w:spacing w:before="0" w:after="0" w:line="240" w:lineRule="auto"/>
              <w:jc w:val="center"/>
            </w:pPr>
            <w:r>
              <w:rPr>
                <w:sz w:val="15"/>
              </w:rPr>
              <w:t>Candidate9</w:t>
            </w:r>
          </w:p>
        </w:tc>
        <w:tc>
          <w:tcPr>
            <w:tcW w:type="dxa" w:w="720"/>
            <w:vAlign w:val="center"/>
          </w:tcPr>
          <w:p>
            <w:pPr>
              <w:spacing w:before="0" w:after="0" w:line="240" w:lineRule="auto"/>
              <w:jc w:val="center"/>
            </w:pPr>
            <w:r>
              <w:rPr>
                <w:sz w:val="15"/>
              </w:rPr>
              <w:t>575</w:t>
            </w:r>
          </w:p>
        </w:tc>
        <w:tc>
          <w:tcPr>
            <w:tcW w:type="dxa" w:w="1224"/>
            <w:vAlign w:val="center"/>
          </w:tcPr>
          <w:p>
            <w:pPr>
              <w:spacing w:before="0" w:after="0" w:line="240" w:lineRule="auto"/>
              <w:jc w:val="center"/>
            </w:pPr>
            <w:r>
              <w:rPr>
                <w:sz w:val="15"/>
              </w:rPr>
              <w:t>-0.192836</w:t>
            </w:r>
          </w:p>
        </w:tc>
        <w:tc>
          <w:tcPr>
            <w:tcW w:type="dxa" w:w="1224"/>
            <w:vAlign w:val="center"/>
          </w:tcPr>
          <w:p>
            <w:pPr>
              <w:spacing w:before="0" w:after="0" w:line="240" w:lineRule="auto"/>
              <w:jc w:val="center"/>
            </w:pPr>
            <w:r>
              <w:rPr>
                <w:sz w:val="15"/>
              </w:rPr>
              <w:t>-0.295607</w:t>
            </w:r>
          </w:p>
        </w:tc>
        <w:tc>
          <w:tcPr>
            <w:tcW w:type="dxa" w:w="1224"/>
            <w:vAlign w:val="center"/>
          </w:tcPr>
          <w:p>
            <w:pPr>
              <w:spacing w:before="0" w:after="0" w:line="240" w:lineRule="auto"/>
              <w:jc w:val="center"/>
            </w:pPr>
            <w:r>
              <w:rPr>
                <w:sz w:val="15"/>
              </w:rPr>
              <w:t>-0.094909</w:t>
            </w:r>
          </w:p>
        </w:tc>
        <w:tc>
          <w:tcPr>
            <w:tcW w:type="dxa" w:w="1080"/>
            <w:vAlign w:val="center"/>
          </w:tcPr>
          <w:p>
            <w:pPr>
              <w:spacing w:before="0" w:after="0" w:line="240" w:lineRule="auto"/>
              <w:jc w:val="center"/>
            </w:pPr>
            <w:r>
              <w:rPr>
                <w:sz w:val="15"/>
              </w:rPr>
              <w:t>0.000600</w:t>
            </w:r>
          </w:p>
        </w:tc>
      </w:tr>
      <w:tr>
        <w:trPr>
          <w:cantSplit/>
        </w:trPr>
        <w:tc>
          <w:tcPr>
            <w:tcW w:type="dxa" w:w="1080"/>
            <w:vAlign w:val="center"/>
          </w:tcPr>
          <w:p>
            <w:pPr>
              <w:spacing w:before="0" w:after="0" w:line="240" w:lineRule="auto"/>
              <w:jc w:val="center"/>
            </w:pPr>
            <w:r>
              <w:rPr>
                <w:sz w:val="15"/>
              </w:rPr>
              <w:t>RQ4</w:t>
            </w:r>
          </w:p>
        </w:tc>
        <w:tc>
          <w:tcPr>
            <w:tcW w:type="dxa" w:w="1080"/>
            <w:vAlign w:val="center"/>
          </w:tcPr>
          <w:p>
            <w:pPr>
              <w:spacing w:before="0" w:after="0" w:line="240" w:lineRule="auto"/>
              <w:jc w:val="center"/>
            </w:pPr>
            <w:r>
              <w:rPr>
                <w:sz w:val="15"/>
              </w:rPr>
              <w:t>GPT</w:t>
            </w:r>
          </w:p>
        </w:tc>
        <w:tc>
          <w:tcPr>
            <w:tcW w:type="dxa" w:w="792"/>
            <w:vAlign w:val="center"/>
          </w:tcPr>
          <w:p>
            <w:pPr>
              <w:spacing w:before="0" w:after="0" w:line="240" w:lineRule="auto"/>
              <w:jc w:val="center"/>
            </w:pPr>
            <w:r>
              <w:rPr>
                <w:sz w:val="15"/>
              </w:rPr>
              <w:t>α</w:t>
            </w:r>
          </w:p>
        </w:tc>
        <w:tc>
          <w:tcPr>
            <w:tcW w:type="dxa" w:w="1008"/>
            <w:vAlign w:val="center"/>
          </w:tcPr>
          <w:p>
            <w:pPr>
              <w:spacing w:before="0" w:after="0" w:line="240" w:lineRule="auto"/>
              <w:jc w:val="center"/>
            </w:pPr>
            <w:r>
              <w:rPr>
                <w:sz w:val="15"/>
              </w:rPr>
              <w:t>C6-E</w:t>
            </w:r>
          </w:p>
        </w:tc>
        <w:tc>
          <w:tcPr>
            <w:tcW w:type="dxa" w:w="1368"/>
            <w:vAlign w:val="center"/>
          </w:tcPr>
          <w:p>
            <w:pPr>
              <w:spacing w:before="0" w:after="0" w:line="240" w:lineRule="auto"/>
              <w:jc w:val="center"/>
            </w:pPr>
            <w:r>
              <w:rPr>
                <w:sz w:val="15"/>
              </w:rPr>
              <w:t>Candidate9</w:t>
            </w:r>
          </w:p>
        </w:tc>
        <w:tc>
          <w:tcPr>
            <w:tcW w:type="dxa" w:w="720"/>
            <w:vAlign w:val="center"/>
          </w:tcPr>
          <w:p>
            <w:pPr>
              <w:spacing w:before="0" w:after="0" w:line="240" w:lineRule="auto"/>
              <w:jc w:val="center"/>
            </w:pPr>
            <w:r>
              <w:rPr>
                <w:sz w:val="15"/>
              </w:rPr>
              <w:t>575</w:t>
            </w:r>
          </w:p>
        </w:tc>
        <w:tc>
          <w:tcPr>
            <w:tcW w:type="dxa" w:w="1224"/>
            <w:vAlign w:val="center"/>
          </w:tcPr>
          <w:p>
            <w:pPr>
              <w:spacing w:before="0" w:after="0" w:line="240" w:lineRule="auto"/>
              <w:jc w:val="center"/>
            </w:pPr>
            <w:r>
              <w:rPr>
                <w:sz w:val="15"/>
              </w:rPr>
              <w:t>-0.240362</w:t>
            </w:r>
          </w:p>
        </w:tc>
        <w:tc>
          <w:tcPr>
            <w:tcW w:type="dxa" w:w="1224"/>
            <w:vAlign w:val="center"/>
          </w:tcPr>
          <w:p>
            <w:pPr>
              <w:spacing w:before="0" w:after="0" w:line="240" w:lineRule="auto"/>
              <w:jc w:val="center"/>
            </w:pPr>
            <w:r>
              <w:rPr>
                <w:sz w:val="15"/>
              </w:rPr>
              <w:t>-0.344634</w:t>
            </w:r>
          </w:p>
        </w:tc>
        <w:tc>
          <w:tcPr>
            <w:tcW w:type="dxa" w:w="1224"/>
            <w:vAlign w:val="center"/>
          </w:tcPr>
          <w:p>
            <w:pPr>
              <w:spacing w:before="0" w:after="0" w:line="240" w:lineRule="auto"/>
              <w:jc w:val="center"/>
            </w:pPr>
            <w:r>
              <w:rPr>
                <w:sz w:val="15"/>
              </w:rPr>
              <w:t>-0.139982</w:t>
            </w:r>
          </w:p>
        </w:tc>
        <w:tc>
          <w:tcPr>
            <w:tcW w:type="dxa" w:w="1080"/>
            <w:vAlign w:val="center"/>
          </w:tcPr>
          <w:p>
            <w:pPr>
              <w:spacing w:before="0" w:after="0" w:line="240" w:lineRule="auto"/>
              <w:jc w:val="center"/>
            </w:pPr>
            <w:r>
              <w:rPr>
                <w:sz w:val="15"/>
              </w:rPr>
              <w:t>0.000600</w:t>
            </w:r>
          </w:p>
        </w:tc>
      </w:tr>
      <w:tr>
        <w:trPr>
          <w:cantSplit/>
        </w:trPr>
        <w:tc>
          <w:tcPr>
            <w:tcW w:type="dxa" w:w="1080"/>
            <w:vAlign w:val="center"/>
          </w:tcPr>
          <w:p>
            <w:pPr>
              <w:spacing w:before="0" w:after="0" w:line="240" w:lineRule="auto"/>
              <w:jc w:val="center"/>
            </w:pPr>
            <w:r>
              <w:rPr>
                <w:sz w:val="15"/>
              </w:rPr>
              <w:t>RQ4</w:t>
            </w:r>
          </w:p>
        </w:tc>
        <w:tc>
          <w:tcPr>
            <w:tcW w:type="dxa" w:w="1080"/>
            <w:vAlign w:val="center"/>
          </w:tcPr>
          <w:p>
            <w:pPr>
              <w:spacing w:before="0" w:after="0" w:line="240" w:lineRule="auto"/>
              <w:jc w:val="center"/>
            </w:pPr>
            <w:r>
              <w:rPr>
                <w:sz w:val="15"/>
              </w:rPr>
              <w:t>GPT</w:t>
            </w:r>
          </w:p>
        </w:tc>
        <w:tc>
          <w:tcPr>
            <w:tcW w:type="dxa" w:w="792"/>
            <w:vAlign w:val="center"/>
          </w:tcPr>
          <w:p>
            <w:pPr>
              <w:spacing w:before="0" w:after="0" w:line="240" w:lineRule="auto"/>
              <w:jc w:val="center"/>
            </w:pPr>
            <w:r>
              <w:rPr>
                <w:sz w:val="15"/>
              </w:rPr>
              <w:t>β</w:t>
            </w:r>
          </w:p>
        </w:tc>
        <w:tc>
          <w:tcPr>
            <w:tcW w:type="dxa" w:w="1008"/>
            <w:vAlign w:val="center"/>
          </w:tcPr>
          <w:p>
            <w:pPr>
              <w:spacing w:before="0" w:after="0" w:line="240" w:lineRule="auto"/>
              <w:jc w:val="center"/>
            </w:pPr>
            <w:r>
              <w:rPr>
                <w:sz w:val="15"/>
              </w:rPr>
              <w:t>C4</w:t>
            </w:r>
          </w:p>
        </w:tc>
        <w:tc>
          <w:tcPr>
            <w:tcW w:type="dxa" w:w="1368"/>
            <w:vAlign w:val="center"/>
          </w:tcPr>
          <w:p>
            <w:pPr>
              <w:spacing w:before="0" w:after="0" w:line="240" w:lineRule="auto"/>
              <w:jc w:val="center"/>
            </w:pPr>
            <w:r>
              <w:rPr>
                <w:sz w:val="15"/>
              </w:rPr>
              <w:t>Candidate9</w:t>
            </w:r>
          </w:p>
        </w:tc>
        <w:tc>
          <w:tcPr>
            <w:tcW w:type="dxa" w:w="720"/>
            <w:vAlign w:val="center"/>
          </w:tcPr>
          <w:p>
            <w:pPr>
              <w:spacing w:before="0" w:after="0" w:line="240" w:lineRule="auto"/>
              <w:jc w:val="center"/>
            </w:pPr>
            <w:r>
              <w:rPr>
                <w:sz w:val="15"/>
              </w:rPr>
              <w:t>575</w:t>
            </w:r>
          </w:p>
        </w:tc>
        <w:tc>
          <w:tcPr>
            <w:tcW w:type="dxa" w:w="1224"/>
            <w:vAlign w:val="center"/>
          </w:tcPr>
          <w:p>
            <w:pPr>
              <w:spacing w:before="0" w:after="0" w:line="240" w:lineRule="auto"/>
              <w:jc w:val="center"/>
            </w:pPr>
            <w:r>
              <w:rPr>
                <w:sz w:val="15"/>
              </w:rPr>
              <w:t>-0.095559</w:t>
            </w:r>
          </w:p>
        </w:tc>
        <w:tc>
          <w:tcPr>
            <w:tcW w:type="dxa" w:w="1224"/>
            <w:vAlign w:val="center"/>
          </w:tcPr>
          <w:p>
            <w:pPr>
              <w:spacing w:before="0" w:after="0" w:line="240" w:lineRule="auto"/>
              <w:jc w:val="center"/>
            </w:pPr>
            <w:r>
              <w:rPr>
                <w:sz w:val="15"/>
              </w:rPr>
              <w:t>-0.133936</w:t>
            </w:r>
          </w:p>
        </w:tc>
        <w:tc>
          <w:tcPr>
            <w:tcW w:type="dxa" w:w="1224"/>
            <w:vAlign w:val="center"/>
          </w:tcPr>
          <w:p>
            <w:pPr>
              <w:spacing w:before="0" w:after="0" w:line="240" w:lineRule="auto"/>
              <w:jc w:val="center"/>
            </w:pPr>
            <w:r>
              <w:rPr>
                <w:sz w:val="15"/>
              </w:rPr>
              <w:t>-0.061278</w:t>
            </w:r>
          </w:p>
        </w:tc>
        <w:tc>
          <w:tcPr>
            <w:tcW w:type="dxa" w:w="1080"/>
            <w:vAlign w:val="center"/>
          </w:tcPr>
          <w:p>
            <w:pPr>
              <w:spacing w:before="0" w:after="0" w:line="240" w:lineRule="auto"/>
              <w:jc w:val="center"/>
            </w:pPr>
            <w:r>
              <w:rPr>
                <w:sz w:val="15"/>
              </w:rPr>
              <w:t>0.000600</w:t>
            </w:r>
          </w:p>
        </w:tc>
      </w:tr>
      <w:tr>
        <w:trPr>
          <w:cantSplit/>
        </w:trPr>
        <w:tc>
          <w:tcPr>
            <w:tcW w:type="dxa" w:w="1080"/>
            <w:vAlign w:val="center"/>
          </w:tcPr>
          <w:p>
            <w:pPr>
              <w:spacing w:before="0" w:after="0" w:line="240" w:lineRule="auto"/>
              <w:jc w:val="center"/>
            </w:pPr>
            <w:r>
              <w:rPr>
                <w:sz w:val="15"/>
              </w:rPr>
              <w:t>RQ4</w:t>
            </w:r>
          </w:p>
        </w:tc>
        <w:tc>
          <w:tcPr>
            <w:tcW w:type="dxa" w:w="1080"/>
            <w:vAlign w:val="center"/>
          </w:tcPr>
          <w:p>
            <w:pPr>
              <w:spacing w:before="0" w:after="0" w:line="240" w:lineRule="auto"/>
              <w:jc w:val="center"/>
            </w:pPr>
            <w:r>
              <w:rPr>
                <w:sz w:val="15"/>
              </w:rPr>
              <w:t>GPT</w:t>
            </w:r>
          </w:p>
        </w:tc>
        <w:tc>
          <w:tcPr>
            <w:tcW w:type="dxa" w:w="792"/>
            <w:vAlign w:val="center"/>
          </w:tcPr>
          <w:p>
            <w:pPr>
              <w:spacing w:before="0" w:after="0" w:line="240" w:lineRule="auto"/>
              <w:jc w:val="center"/>
            </w:pPr>
            <w:r>
              <w:rPr>
                <w:sz w:val="15"/>
              </w:rPr>
              <w:t>β</w:t>
            </w:r>
          </w:p>
        </w:tc>
        <w:tc>
          <w:tcPr>
            <w:tcW w:type="dxa" w:w="1008"/>
            <w:vAlign w:val="center"/>
          </w:tcPr>
          <w:p>
            <w:pPr>
              <w:spacing w:before="0" w:after="0" w:line="240" w:lineRule="auto"/>
              <w:jc w:val="center"/>
            </w:pPr>
            <w:r>
              <w:rPr>
                <w:sz w:val="15"/>
              </w:rPr>
              <w:t>C4R</w:t>
            </w:r>
          </w:p>
        </w:tc>
        <w:tc>
          <w:tcPr>
            <w:tcW w:type="dxa" w:w="1368"/>
            <w:vAlign w:val="center"/>
          </w:tcPr>
          <w:p>
            <w:pPr>
              <w:spacing w:before="0" w:after="0" w:line="240" w:lineRule="auto"/>
              <w:jc w:val="center"/>
            </w:pPr>
            <w:r>
              <w:rPr>
                <w:sz w:val="15"/>
              </w:rPr>
              <w:t>Candidate9</w:t>
            </w:r>
          </w:p>
        </w:tc>
        <w:tc>
          <w:tcPr>
            <w:tcW w:type="dxa" w:w="720"/>
            <w:vAlign w:val="center"/>
          </w:tcPr>
          <w:p>
            <w:pPr>
              <w:spacing w:before="0" w:after="0" w:line="240" w:lineRule="auto"/>
              <w:jc w:val="center"/>
            </w:pPr>
            <w:r>
              <w:rPr>
                <w:sz w:val="15"/>
              </w:rPr>
              <w:t>575</w:t>
            </w:r>
          </w:p>
        </w:tc>
        <w:tc>
          <w:tcPr>
            <w:tcW w:type="dxa" w:w="1224"/>
            <w:vAlign w:val="center"/>
          </w:tcPr>
          <w:p>
            <w:pPr>
              <w:spacing w:before="0" w:after="0" w:line="240" w:lineRule="auto"/>
              <w:jc w:val="center"/>
            </w:pPr>
            <w:r>
              <w:rPr>
                <w:sz w:val="15"/>
              </w:rPr>
              <w:t>-0.081622</w:t>
            </w:r>
          </w:p>
        </w:tc>
        <w:tc>
          <w:tcPr>
            <w:tcW w:type="dxa" w:w="1224"/>
            <w:vAlign w:val="center"/>
          </w:tcPr>
          <w:p>
            <w:pPr>
              <w:spacing w:before="0" w:after="0" w:line="240" w:lineRule="auto"/>
              <w:jc w:val="center"/>
            </w:pPr>
            <w:r>
              <w:rPr>
                <w:sz w:val="15"/>
              </w:rPr>
              <w:t>-0.114145</w:t>
            </w:r>
          </w:p>
        </w:tc>
        <w:tc>
          <w:tcPr>
            <w:tcW w:type="dxa" w:w="1224"/>
            <w:vAlign w:val="center"/>
          </w:tcPr>
          <w:p>
            <w:pPr>
              <w:spacing w:before="0" w:after="0" w:line="240" w:lineRule="auto"/>
              <w:jc w:val="center"/>
            </w:pPr>
            <w:r>
              <w:rPr>
                <w:sz w:val="15"/>
              </w:rPr>
              <w:t>-0.052861</w:t>
            </w:r>
          </w:p>
        </w:tc>
        <w:tc>
          <w:tcPr>
            <w:tcW w:type="dxa" w:w="1080"/>
            <w:vAlign w:val="center"/>
          </w:tcPr>
          <w:p>
            <w:pPr>
              <w:spacing w:before="0" w:after="0" w:line="240" w:lineRule="auto"/>
              <w:jc w:val="center"/>
            </w:pPr>
            <w:r>
              <w:rPr>
                <w:sz w:val="15"/>
              </w:rPr>
              <w:t>0.000600</w:t>
            </w:r>
          </w:p>
        </w:tc>
      </w:tr>
      <w:tr>
        <w:trPr>
          <w:cantSplit/>
        </w:trPr>
        <w:tc>
          <w:tcPr>
            <w:tcW w:type="dxa" w:w="1080"/>
            <w:vAlign w:val="center"/>
          </w:tcPr>
          <w:p>
            <w:pPr>
              <w:spacing w:before="0" w:after="0" w:line="240" w:lineRule="auto"/>
              <w:jc w:val="center"/>
            </w:pPr>
            <w:r>
              <w:rPr>
                <w:sz w:val="15"/>
              </w:rPr>
              <w:t>RQ4</w:t>
            </w:r>
          </w:p>
        </w:tc>
        <w:tc>
          <w:tcPr>
            <w:tcW w:type="dxa" w:w="1080"/>
            <w:vAlign w:val="center"/>
          </w:tcPr>
          <w:p>
            <w:pPr>
              <w:spacing w:before="0" w:after="0" w:line="240" w:lineRule="auto"/>
              <w:jc w:val="center"/>
            </w:pPr>
            <w:r>
              <w:rPr>
                <w:sz w:val="15"/>
              </w:rPr>
              <w:t>GPT</w:t>
            </w:r>
          </w:p>
        </w:tc>
        <w:tc>
          <w:tcPr>
            <w:tcW w:type="dxa" w:w="792"/>
            <w:vAlign w:val="center"/>
          </w:tcPr>
          <w:p>
            <w:pPr>
              <w:spacing w:before="0" w:after="0" w:line="240" w:lineRule="auto"/>
              <w:jc w:val="center"/>
            </w:pPr>
            <w:r>
              <w:rPr>
                <w:sz w:val="15"/>
              </w:rPr>
              <w:t>β</w:t>
            </w:r>
          </w:p>
        </w:tc>
        <w:tc>
          <w:tcPr>
            <w:tcW w:type="dxa" w:w="1008"/>
            <w:vAlign w:val="center"/>
          </w:tcPr>
          <w:p>
            <w:pPr>
              <w:spacing w:before="0" w:after="0" w:line="240" w:lineRule="auto"/>
              <w:jc w:val="center"/>
            </w:pPr>
            <w:r>
              <w:rPr>
                <w:sz w:val="15"/>
              </w:rPr>
              <w:t>C6-E</w:t>
            </w:r>
          </w:p>
        </w:tc>
        <w:tc>
          <w:tcPr>
            <w:tcW w:type="dxa" w:w="1368"/>
            <w:vAlign w:val="center"/>
          </w:tcPr>
          <w:p>
            <w:pPr>
              <w:spacing w:before="0" w:after="0" w:line="240" w:lineRule="auto"/>
              <w:jc w:val="center"/>
            </w:pPr>
            <w:r>
              <w:rPr>
                <w:sz w:val="15"/>
              </w:rPr>
              <w:t>Candidate9</w:t>
            </w:r>
          </w:p>
        </w:tc>
        <w:tc>
          <w:tcPr>
            <w:tcW w:type="dxa" w:w="720"/>
            <w:vAlign w:val="center"/>
          </w:tcPr>
          <w:p>
            <w:pPr>
              <w:spacing w:before="0" w:after="0" w:line="240" w:lineRule="auto"/>
              <w:jc w:val="center"/>
            </w:pPr>
            <w:r>
              <w:rPr>
                <w:sz w:val="15"/>
              </w:rPr>
              <w:t>575</w:t>
            </w:r>
          </w:p>
        </w:tc>
        <w:tc>
          <w:tcPr>
            <w:tcW w:type="dxa" w:w="1224"/>
            <w:vAlign w:val="center"/>
          </w:tcPr>
          <w:p>
            <w:pPr>
              <w:spacing w:before="0" w:after="0" w:line="240" w:lineRule="auto"/>
              <w:jc w:val="center"/>
            </w:pPr>
            <w:r>
              <w:rPr>
                <w:sz w:val="15"/>
              </w:rPr>
              <w:t>-0.075509</w:t>
            </w:r>
          </w:p>
        </w:tc>
        <w:tc>
          <w:tcPr>
            <w:tcW w:type="dxa" w:w="1224"/>
            <w:vAlign w:val="center"/>
          </w:tcPr>
          <w:p>
            <w:pPr>
              <w:spacing w:before="0" w:after="0" w:line="240" w:lineRule="auto"/>
              <w:jc w:val="center"/>
            </w:pPr>
            <w:r>
              <w:rPr>
                <w:sz w:val="15"/>
              </w:rPr>
              <w:t>-0.111867</w:t>
            </w:r>
          </w:p>
        </w:tc>
        <w:tc>
          <w:tcPr>
            <w:tcW w:type="dxa" w:w="1224"/>
            <w:vAlign w:val="center"/>
          </w:tcPr>
          <w:p>
            <w:pPr>
              <w:spacing w:before="0" w:after="0" w:line="240" w:lineRule="auto"/>
              <w:jc w:val="center"/>
            </w:pPr>
            <w:r>
              <w:rPr>
                <w:sz w:val="15"/>
              </w:rPr>
              <w:t>-0.039969</w:t>
            </w:r>
          </w:p>
        </w:tc>
        <w:tc>
          <w:tcPr>
            <w:tcW w:type="dxa" w:w="1080"/>
            <w:vAlign w:val="center"/>
          </w:tcPr>
          <w:p>
            <w:pPr>
              <w:spacing w:before="0" w:after="0" w:line="240" w:lineRule="auto"/>
              <w:jc w:val="center"/>
            </w:pPr>
            <w:r>
              <w:rPr>
                <w:sz w:val="15"/>
              </w:rPr>
              <w:t>0.000600</w:t>
            </w:r>
          </w:p>
        </w:tc>
      </w:tr>
      <w:tr>
        <w:trPr>
          <w:cantSplit/>
        </w:trPr>
        <w:tc>
          <w:tcPr>
            <w:tcW w:type="dxa" w:w="1080"/>
            <w:vAlign w:val="center"/>
          </w:tcPr>
          <w:p>
            <w:pPr>
              <w:spacing w:before="0" w:after="0" w:line="240" w:lineRule="auto"/>
              <w:jc w:val="center"/>
            </w:pPr>
            <w:r>
              <w:rPr>
                <w:sz w:val="15"/>
              </w:rPr>
              <w:t>RQ4</w:t>
            </w:r>
          </w:p>
        </w:tc>
        <w:tc>
          <w:tcPr>
            <w:tcW w:type="dxa" w:w="1080"/>
            <w:vAlign w:val="center"/>
          </w:tcPr>
          <w:p>
            <w:pPr>
              <w:spacing w:before="0" w:after="0" w:line="240" w:lineRule="auto"/>
              <w:jc w:val="center"/>
            </w:pPr>
            <w:r>
              <w:rPr>
                <w:sz w:val="15"/>
              </w:rPr>
              <w:t>GPT</w:t>
            </w:r>
          </w:p>
        </w:tc>
        <w:tc>
          <w:tcPr>
            <w:tcW w:type="dxa" w:w="792"/>
            <w:vAlign w:val="center"/>
          </w:tcPr>
          <w:p>
            <w:pPr>
              <w:spacing w:before="0" w:after="0" w:line="240" w:lineRule="auto"/>
              <w:jc w:val="center"/>
            </w:pPr>
            <w:r>
              <w:rPr>
                <w:sz w:val="15"/>
              </w:rPr>
              <w:t>γ</w:t>
            </w:r>
          </w:p>
        </w:tc>
        <w:tc>
          <w:tcPr>
            <w:tcW w:type="dxa" w:w="1008"/>
            <w:vAlign w:val="center"/>
          </w:tcPr>
          <w:p>
            <w:pPr>
              <w:spacing w:before="0" w:after="0" w:line="240" w:lineRule="auto"/>
              <w:jc w:val="center"/>
            </w:pPr>
            <w:r>
              <w:rPr>
                <w:sz w:val="15"/>
              </w:rPr>
              <w:t>C4</w:t>
            </w:r>
          </w:p>
        </w:tc>
        <w:tc>
          <w:tcPr>
            <w:tcW w:type="dxa" w:w="1368"/>
            <w:vAlign w:val="center"/>
          </w:tcPr>
          <w:p>
            <w:pPr>
              <w:spacing w:before="0" w:after="0" w:line="240" w:lineRule="auto"/>
              <w:jc w:val="center"/>
            </w:pPr>
            <w:r>
              <w:rPr>
                <w:sz w:val="15"/>
              </w:rPr>
              <w:t>Candidate9</w:t>
            </w:r>
          </w:p>
        </w:tc>
        <w:tc>
          <w:tcPr>
            <w:tcW w:type="dxa" w:w="720"/>
            <w:vAlign w:val="center"/>
          </w:tcPr>
          <w:p>
            <w:pPr>
              <w:spacing w:before="0" w:after="0" w:line="240" w:lineRule="auto"/>
              <w:jc w:val="center"/>
            </w:pPr>
            <w:r>
              <w:rPr>
                <w:sz w:val="15"/>
              </w:rPr>
              <w:t>575</w:t>
            </w:r>
          </w:p>
        </w:tc>
        <w:tc>
          <w:tcPr>
            <w:tcW w:type="dxa" w:w="1224"/>
            <w:vAlign w:val="center"/>
          </w:tcPr>
          <w:p>
            <w:pPr>
              <w:spacing w:before="0" w:after="0" w:line="240" w:lineRule="auto"/>
              <w:jc w:val="center"/>
            </w:pPr>
            <w:r>
              <w:rPr>
                <w:sz w:val="15"/>
              </w:rPr>
              <w:t>-0.100200</w:t>
            </w:r>
          </w:p>
        </w:tc>
        <w:tc>
          <w:tcPr>
            <w:tcW w:type="dxa" w:w="1224"/>
            <w:vAlign w:val="center"/>
          </w:tcPr>
          <w:p>
            <w:pPr>
              <w:spacing w:before="0" w:after="0" w:line="240" w:lineRule="auto"/>
              <w:jc w:val="center"/>
            </w:pPr>
            <w:r>
              <w:rPr>
                <w:sz w:val="15"/>
              </w:rPr>
              <w:t>-0.141275</w:t>
            </w:r>
          </w:p>
        </w:tc>
        <w:tc>
          <w:tcPr>
            <w:tcW w:type="dxa" w:w="1224"/>
            <w:vAlign w:val="center"/>
          </w:tcPr>
          <w:p>
            <w:pPr>
              <w:spacing w:before="0" w:after="0" w:line="240" w:lineRule="auto"/>
              <w:jc w:val="center"/>
            </w:pPr>
            <w:r>
              <w:rPr>
                <w:sz w:val="15"/>
              </w:rPr>
              <w:t>-0.060155</w:t>
            </w:r>
          </w:p>
        </w:tc>
        <w:tc>
          <w:tcPr>
            <w:tcW w:type="dxa" w:w="1080"/>
            <w:vAlign w:val="center"/>
          </w:tcPr>
          <w:p>
            <w:pPr>
              <w:spacing w:before="0" w:after="0" w:line="240" w:lineRule="auto"/>
              <w:jc w:val="center"/>
            </w:pPr>
            <w:r>
              <w:rPr>
                <w:sz w:val="15"/>
              </w:rPr>
              <w:t>0.000600</w:t>
            </w:r>
          </w:p>
        </w:tc>
      </w:tr>
      <w:tr>
        <w:trPr>
          <w:cantSplit/>
        </w:trPr>
        <w:tc>
          <w:tcPr>
            <w:tcW w:type="dxa" w:w="1080"/>
            <w:vAlign w:val="center"/>
          </w:tcPr>
          <w:p>
            <w:pPr>
              <w:spacing w:before="0" w:after="0" w:line="240" w:lineRule="auto"/>
              <w:jc w:val="center"/>
            </w:pPr>
            <w:r>
              <w:rPr>
                <w:sz w:val="15"/>
              </w:rPr>
              <w:t>RQ4</w:t>
            </w:r>
          </w:p>
        </w:tc>
        <w:tc>
          <w:tcPr>
            <w:tcW w:type="dxa" w:w="1080"/>
            <w:vAlign w:val="center"/>
          </w:tcPr>
          <w:p>
            <w:pPr>
              <w:spacing w:before="0" w:after="0" w:line="240" w:lineRule="auto"/>
              <w:jc w:val="center"/>
            </w:pPr>
            <w:r>
              <w:rPr>
                <w:sz w:val="15"/>
              </w:rPr>
              <w:t>GPT</w:t>
            </w:r>
          </w:p>
        </w:tc>
        <w:tc>
          <w:tcPr>
            <w:tcW w:type="dxa" w:w="792"/>
            <w:vAlign w:val="center"/>
          </w:tcPr>
          <w:p>
            <w:pPr>
              <w:spacing w:before="0" w:after="0" w:line="240" w:lineRule="auto"/>
              <w:jc w:val="center"/>
            </w:pPr>
            <w:r>
              <w:rPr>
                <w:sz w:val="15"/>
              </w:rPr>
              <w:t>γ</w:t>
            </w:r>
          </w:p>
        </w:tc>
        <w:tc>
          <w:tcPr>
            <w:tcW w:type="dxa" w:w="1008"/>
            <w:vAlign w:val="center"/>
          </w:tcPr>
          <w:p>
            <w:pPr>
              <w:spacing w:before="0" w:after="0" w:line="240" w:lineRule="auto"/>
              <w:jc w:val="center"/>
            </w:pPr>
            <w:r>
              <w:rPr>
                <w:sz w:val="15"/>
              </w:rPr>
              <w:t>C4R</w:t>
            </w:r>
          </w:p>
        </w:tc>
        <w:tc>
          <w:tcPr>
            <w:tcW w:type="dxa" w:w="1368"/>
            <w:vAlign w:val="center"/>
          </w:tcPr>
          <w:p>
            <w:pPr>
              <w:spacing w:before="0" w:after="0" w:line="240" w:lineRule="auto"/>
              <w:jc w:val="center"/>
            </w:pPr>
            <w:r>
              <w:rPr>
                <w:sz w:val="15"/>
              </w:rPr>
              <w:t>Candidate9</w:t>
            </w:r>
          </w:p>
        </w:tc>
        <w:tc>
          <w:tcPr>
            <w:tcW w:type="dxa" w:w="720"/>
            <w:vAlign w:val="center"/>
          </w:tcPr>
          <w:p>
            <w:pPr>
              <w:spacing w:before="0" w:after="0" w:line="240" w:lineRule="auto"/>
              <w:jc w:val="center"/>
            </w:pPr>
            <w:r>
              <w:rPr>
                <w:sz w:val="15"/>
              </w:rPr>
              <w:t>575</w:t>
            </w:r>
          </w:p>
        </w:tc>
        <w:tc>
          <w:tcPr>
            <w:tcW w:type="dxa" w:w="1224"/>
            <w:vAlign w:val="center"/>
          </w:tcPr>
          <w:p>
            <w:pPr>
              <w:spacing w:before="0" w:after="0" w:line="240" w:lineRule="auto"/>
              <w:jc w:val="center"/>
            </w:pPr>
            <w:r>
              <w:rPr>
                <w:sz w:val="15"/>
              </w:rPr>
              <w:t>-0.055896</w:t>
            </w:r>
          </w:p>
        </w:tc>
        <w:tc>
          <w:tcPr>
            <w:tcW w:type="dxa" w:w="1224"/>
            <w:vAlign w:val="center"/>
          </w:tcPr>
          <w:p>
            <w:pPr>
              <w:spacing w:before="0" w:after="0" w:line="240" w:lineRule="auto"/>
              <w:jc w:val="center"/>
            </w:pPr>
            <w:r>
              <w:rPr>
                <w:sz w:val="15"/>
              </w:rPr>
              <w:t>-0.095193</w:t>
            </w:r>
          </w:p>
        </w:tc>
        <w:tc>
          <w:tcPr>
            <w:tcW w:type="dxa" w:w="1224"/>
            <w:vAlign w:val="center"/>
          </w:tcPr>
          <w:p>
            <w:pPr>
              <w:spacing w:before="0" w:after="0" w:line="240" w:lineRule="auto"/>
              <w:jc w:val="center"/>
            </w:pPr>
            <w:r>
              <w:rPr>
                <w:sz w:val="15"/>
              </w:rPr>
              <w:t>-0.015552</w:t>
            </w:r>
          </w:p>
        </w:tc>
        <w:tc>
          <w:tcPr>
            <w:tcW w:type="dxa" w:w="1080"/>
            <w:vAlign w:val="center"/>
          </w:tcPr>
          <w:p>
            <w:pPr>
              <w:spacing w:before="0" w:after="0" w:line="240" w:lineRule="auto"/>
              <w:jc w:val="center"/>
            </w:pPr>
            <w:r>
              <w:rPr>
                <w:sz w:val="15"/>
              </w:rPr>
              <w:t>0.005599</w:t>
            </w:r>
          </w:p>
        </w:tc>
      </w:tr>
      <w:tr>
        <w:trPr>
          <w:cantSplit/>
        </w:trPr>
        <w:tc>
          <w:tcPr>
            <w:tcW w:type="dxa" w:w="1080"/>
            <w:vAlign w:val="center"/>
          </w:tcPr>
          <w:p>
            <w:pPr>
              <w:spacing w:before="0" w:after="0" w:line="240" w:lineRule="auto"/>
              <w:jc w:val="center"/>
            </w:pPr>
            <w:r>
              <w:rPr>
                <w:sz w:val="15"/>
              </w:rPr>
              <w:t>RQ4</w:t>
            </w:r>
          </w:p>
        </w:tc>
        <w:tc>
          <w:tcPr>
            <w:tcW w:type="dxa" w:w="1080"/>
            <w:vAlign w:val="center"/>
          </w:tcPr>
          <w:p>
            <w:pPr>
              <w:spacing w:before="0" w:after="0" w:line="240" w:lineRule="auto"/>
              <w:jc w:val="center"/>
            </w:pPr>
            <w:r>
              <w:rPr>
                <w:sz w:val="15"/>
              </w:rPr>
              <w:t>GPT</w:t>
            </w:r>
          </w:p>
        </w:tc>
        <w:tc>
          <w:tcPr>
            <w:tcW w:type="dxa" w:w="792"/>
            <w:vAlign w:val="center"/>
          </w:tcPr>
          <w:p>
            <w:pPr>
              <w:spacing w:before="0" w:after="0" w:line="240" w:lineRule="auto"/>
              <w:jc w:val="center"/>
            </w:pPr>
            <w:r>
              <w:rPr>
                <w:sz w:val="15"/>
              </w:rPr>
              <w:t>γ</w:t>
            </w:r>
          </w:p>
        </w:tc>
        <w:tc>
          <w:tcPr>
            <w:tcW w:type="dxa" w:w="1008"/>
            <w:vAlign w:val="center"/>
          </w:tcPr>
          <w:p>
            <w:pPr>
              <w:spacing w:before="0" w:after="0" w:line="240" w:lineRule="auto"/>
              <w:jc w:val="center"/>
            </w:pPr>
            <w:r>
              <w:rPr>
                <w:sz w:val="15"/>
              </w:rPr>
              <w:t>C6-E</w:t>
            </w:r>
          </w:p>
        </w:tc>
        <w:tc>
          <w:tcPr>
            <w:tcW w:type="dxa" w:w="1368"/>
            <w:vAlign w:val="center"/>
          </w:tcPr>
          <w:p>
            <w:pPr>
              <w:spacing w:before="0" w:after="0" w:line="240" w:lineRule="auto"/>
              <w:jc w:val="center"/>
            </w:pPr>
            <w:r>
              <w:rPr>
                <w:sz w:val="15"/>
              </w:rPr>
              <w:t>Candidate9</w:t>
            </w:r>
          </w:p>
        </w:tc>
        <w:tc>
          <w:tcPr>
            <w:tcW w:type="dxa" w:w="720"/>
            <w:vAlign w:val="center"/>
          </w:tcPr>
          <w:p>
            <w:pPr>
              <w:spacing w:before="0" w:after="0" w:line="240" w:lineRule="auto"/>
              <w:jc w:val="center"/>
            </w:pPr>
            <w:r>
              <w:rPr>
                <w:sz w:val="15"/>
              </w:rPr>
              <w:t>575</w:t>
            </w:r>
          </w:p>
        </w:tc>
        <w:tc>
          <w:tcPr>
            <w:tcW w:type="dxa" w:w="1224"/>
            <w:vAlign w:val="center"/>
          </w:tcPr>
          <w:p>
            <w:pPr>
              <w:spacing w:before="0" w:after="0" w:line="240" w:lineRule="auto"/>
              <w:jc w:val="center"/>
            </w:pPr>
            <w:r>
              <w:rPr>
                <w:sz w:val="15"/>
              </w:rPr>
              <w:t>-0.067498</w:t>
            </w:r>
          </w:p>
        </w:tc>
        <w:tc>
          <w:tcPr>
            <w:tcW w:type="dxa" w:w="1224"/>
            <w:vAlign w:val="center"/>
          </w:tcPr>
          <w:p>
            <w:pPr>
              <w:spacing w:before="0" w:after="0" w:line="240" w:lineRule="auto"/>
              <w:jc w:val="center"/>
            </w:pPr>
            <w:r>
              <w:rPr>
                <w:sz w:val="15"/>
              </w:rPr>
              <w:t>-0.109795</w:t>
            </w:r>
          </w:p>
        </w:tc>
        <w:tc>
          <w:tcPr>
            <w:tcW w:type="dxa" w:w="1224"/>
            <w:vAlign w:val="center"/>
          </w:tcPr>
          <w:p>
            <w:pPr>
              <w:spacing w:before="0" w:after="0" w:line="240" w:lineRule="auto"/>
              <w:jc w:val="center"/>
            </w:pPr>
            <w:r>
              <w:rPr>
                <w:sz w:val="15"/>
              </w:rPr>
              <w:t>-0.026219</w:t>
            </w:r>
          </w:p>
        </w:tc>
        <w:tc>
          <w:tcPr>
            <w:tcW w:type="dxa" w:w="1080"/>
            <w:vAlign w:val="center"/>
          </w:tcPr>
          <w:p>
            <w:pPr>
              <w:spacing w:before="0" w:after="0" w:line="240" w:lineRule="auto"/>
              <w:jc w:val="center"/>
            </w:pPr>
            <w:r>
              <w:rPr>
                <w:sz w:val="15"/>
              </w:rPr>
              <w:t>0.002400</w:t>
            </w:r>
          </w:p>
        </w:tc>
      </w:tr>
      <w:tr>
        <w:trPr>
          <w:cantSplit/>
        </w:trPr>
        <w:tc>
          <w:tcPr>
            <w:tcW w:type="dxa" w:w="1080"/>
            <w:vAlign w:val="center"/>
          </w:tcPr>
          <w:p>
            <w:pPr>
              <w:spacing w:before="0" w:after="0" w:line="240" w:lineRule="auto"/>
              <w:jc w:val="center"/>
            </w:pPr>
            <w:r>
              <w:rPr>
                <w:sz w:val="15"/>
              </w:rPr>
              <w:t>RQ5</w:t>
            </w:r>
          </w:p>
        </w:tc>
        <w:tc>
          <w:tcPr>
            <w:tcW w:type="dxa" w:w="1080"/>
            <w:vAlign w:val="center"/>
          </w:tcPr>
          <w:p>
            <w:pPr>
              <w:spacing w:before="0" w:after="0" w:line="240" w:lineRule="auto"/>
              <w:jc w:val="center"/>
            </w:pPr>
            <w:r>
              <w:rPr>
                <w:sz w:val="15"/>
              </w:rPr>
              <w:t>Gemini</w:t>
            </w:r>
          </w:p>
        </w:tc>
        <w:tc>
          <w:tcPr>
            <w:tcW w:type="dxa" w:w="792"/>
            <w:vAlign w:val="center"/>
          </w:tcPr>
          <w:p>
            <w:pPr>
              <w:spacing w:before="0" w:after="0" w:line="240" w:lineRule="auto"/>
              <w:jc w:val="center"/>
            </w:pPr>
            <w:r>
              <w:rPr>
                <w:sz w:val="15"/>
              </w:rPr>
              <w:t>α</w:t>
            </w:r>
          </w:p>
        </w:tc>
        <w:tc>
          <w:tcPr>
            <w:tcW w:type="dxa" w:w="1008"/>
            <w:vAlign w:val="center"/>
          </w:tcPr>
          <w:p>
            <w:pPr>
              <w:spacing w:before="0" w:after="0" w:line="240" w:lineRule="auto"/>
              <w:jc w:val="center"/>
            </w:pPr>
            <w:r>
              <w:rPr>
                <w:sz w:val="15"/>
              </w:rPr>
              <w:t>IC-b</w:t>
            </w:r>
          </w:p>
        </w:tc>
        <w:tc>
          <w:tcPr>
            <w:tcW w:type="dxa" w:w="1368"/>
            <w:vAlign w:val="center"/>
          </w:tcPr>
          <w:p>
            <w:pPr>
              <w:spacing w:before="0" w:after="0" w:line="240" w:lineRule="auto"/>
              <w:jc w:val="center"/>
            </w:pPr>
            <w:r>
              <w:rPr>
                <w:sz w:val="15"/>
              </w:rPr>
              <w:t>IC-a</w:t>
            </w:r>
          </w:p>
        </w:tc>
        <w:tc>
          <w:tcPr>
            <w:tcW w:type="dxa" w:w="720"/>
            <w:vAlign w:val="center"/>
          </w:tcPr>
          <w:p>
            <w:pPr>
              <w:spacing w:before="0" w:after="0" w:line="240" w:lineRule="auto"/>
              <w:jc w:val="center"/>
            </w:pPr>
            <w:r>
              <w:rPr>
                <w:sz w:val="15"/>
              </w:rPr>
              <w:t>575</w:t>
            </w:r>
          </w:p>
        </w:tc>
        <w:tc>
          <w:tcPr>
            <w:tcW w:type="dxa" w:w="1224"/>
            <w:vAlign w:val="center"/>
          </w:tcPr>
          <w:p>
            <w:pPr>
              <w:spacing w:before="0" w:after="0" w:line="240" w:lineRule="auto"/>
              <w:jc w:val="center"/>
            </w:pPr>
            <w:r>
              <w:rPr>
                <w:sz w:val="15"/>
              </w:rPr>
              <w:t>-0.017540</w:t>
            </w:r>
          </w:p>
        </w:tc>
        <w:tc>
          <w:tcPr>
            <w:tcW w:type="dxa" w:w="1224"/>
            <w:vAlign w:val="center"/>
          </w:tcPr>
          <w:p>
            <w:pPr>
              <w:spacing w:before="0" w:after="0" w:line="240" w:lineRule="auto"/>
              <w:jc w:val="center"/>
            </w:pPr>
            <w:r>
              <w:rPr>
                <w:sz w:val="15"/>
              </w:rPr>
              <w:t>-0.079219</w:t>
            </w:r>
          </w:p>
        </w:tc>
        <w:tc>
          <w:tcPr>
            <w:tcW w:type="dxa" w:w="1224"/>
            <w:vAlign w:val="center"/>
          </w:tcPr>
          <w:p>
            <w:pPr>
              <w:spacing w:before="0" w:after="0" w:line="240" w:lineRule="auto"/>
              <w:jc w:val="center"/>
            </w:pPr>
            <w:r>
              <w:rPr>
                <w:sz w:val="15"/>
              </w:rPr>
              <w:t>0.041384</w:t>
            </w:r>
          </w:p>
        </w:tc>
        <w:tc>
          <w:tcPr>
            <w:tcW w:type="dxa" w:w="1080"/>
            <w:vAlign w:val="center"/>
          </w:tcPr>
          <w:p>
            <w:pPr>
              <w:spacing w:before="0" w:after="0" w:line="240" w:lineRule="auto"/>
              <w:jc w:val="center"/>
            </w:pPr>
            <w:r>
              <w:rPr>
                <w:sz w:val="15"/>
              </w:rPr>
              <w:t>1.000000</w:t>
            </w:r>
          </w:p>
        </w:tc>
      </w:tr>
      <w:tr>
        <w:trPr>
          <w:cantSplit/>
        </w:trPr>
        <w:tc>
          <w:tcPr>
            <w:tcW w:type="dxa" w:w="1080"/>
            <w:vAlign w:val="center"/>
          </w:tcPr>
          <w:p>
            <w:pPr>
              <w:spacing w:before="0" w:after="0" w:line="240" w:lineRule="auto"/>
              <w:jc w:val="center"/>
            </w:pPr>
            <w:r>
              <w:rPr>
                <w:sz w:val="15"/>
              </w:rPr>
              <w:t>RQ5</w:t>
            </w:r>
          </w:p>
        </w:tc>
        <w:tc>
          <w:tcPr>
            <w:tcW w:type="dxa" w:w="1080"/>
            <w:vAlign w:val="center"/>
          </w:tcPr>
          <w:p>
            <w:pPr>
              <w:spacing w:before="0" w:after="0" w:line="240" w:lineRule="auto"/>
              <w:jc w:val="center"/>
            </w:pPr>
            <w:r>
              <w:rPr>
                <w:sz w:val="15"/>
              </w:rPr>
              <w:t>Gemini</w:t>
            </w:r>
          </w:p>
        </w:tc>
        <w:tc>
          <w:tcPr>
            <w:tcW w:type="dxa" w:w="792"/>
            <w:vAlign w:val="center"/>
          </w:tcPr>
          <w:p>
            <w:pPr>
              <w:spacing w:before="0" w:after="0" w:line="240" w:lineRule="auto"/>
              <w:jc w:val="center"/>
            </w:pPr>
            <w:r>
              <w:rPr>
                <w:sz w:val="15"/>
              </w:rPr>
              <w:t>α</w:t>
            </w:r>
          </w:p>
        </w:tc>
        <w:tc>
          <w:tcPr>
            <w:tcW w:type="dxa" w:w="1008"/>
            <w:vAlign w:val="center"/>
          </w:tcPr>
          <w:p>
            <w:pPr>
              <w:spacing w:before="0" w:after="0" w:line="240" w:lineRule="auto"/>
              <w:jc w:val="center"/>
            </w:pPr>
            <w:r>
              <w:rPr>
                <w:sz w:val="15"/>
              </w:rPr>
              <w:t>IC-c</w:t>
            </w:r>
          </w:p>
        </w:tc>
        <w:tc>
          <w:tcPr>
            <w:tcW w:type="dxa" w:w="1368"/>
            <w:vAlign w:val="center"/>
          </w:tcPr>
          <w:p>
            <w:pPr>
              <w:spacing w:before="0" w:after="0" w:line="240" w:lineRule="auto"/>
              <w:jc w:val="center"/>
            </w:pPr>
            <w:r>
              <w:rPr>
                <w:sz w:val="15"/>
              </w:rPr>
              <w:t>IC-b</w:t>
            </w:r>
          </w:p>
        </w:tc>
        <w:tc>
          <w:tcPr>
            <w:tcW w:type="dxa" w:w="720"/>
            <w:vAlign w:val="center"/>
          </w:tcPr>
          <w:p>
            <w:pPr>
              <w:spacing w:before="0" w:after="0" w:line="240" w:lineRule="auto"/>
              <w:jc w:val="center"/>
            </w:pPr>
            <w:r>
              <w:rPr>
                <w:sz w:val="15"/>
              </w:rPr>
              <w:t>575</w:t>
            </w:r>
          </w:p>
        </w:tc>
        <w:tc>
          <w:tcPr>
            <w:tcW w:type="dxa" w:w="1224"/>
            <w:vAlign w:val="center"/>
          </w:tcPr>
          <w:p>
            <w:pPr>
              <w:spacing w:before="0" w:after="0" w:line="240" w:lineRule="auto"/>
              <w:jc w:val="center"/>
            </w:pPr>
            <w:r>
              <w:rPr>
                <w:sz w:val="15"/>
              </w:rPr>
              <w:t>0.022761</w:t>
            </w:r>
          </w:p>
        </w:tc>
        <w:tc>
          <w:tcPr>
            <w:tcW w:type="dxa" w:w="1224"/>
            <w:vAlign w:val="center"/>
          </w:tcPr>
          <w:p>
            <w:pPr>
              <w:spacing w:before="0" w:after="0" w:line="240" w:lineRule="auto"/>
              <w:jc w:val="center"/>
            </w:pPr>
            <w:r>
              <w:rPr>
                <w:sz w:val="15"/>
              </w:rPr>
              <w:t>-0.056158</w:t>
            </w:r>
          </w:p>
        </w:tc>
        <w:tc>
          <w:tcPr>
            <w:tcW w:type="dxa" w:w="1224"/>
            <w:vAlign w:val="center"/>
          </w:tcPr>
          <w:p>
            <w:pPr>
              <w:spacing w:before="0" w:after="0" w:line="240" w:lineRule="auto"/>
              <w:jc w:val="center"/>
            </w:pPr>
            <w:r>
              <w:rPr>
                <w:sz w:val="15"/>
              </w:rPr>
              <w:t>0.101581</w:t>
            </w:r>
          </w:p>
        </w:tc>
        <w:tc>
          <w:tcPr>
            <w:tcW w:type="dxa" w:w="1080"/>
            <w:vAlign w:val="center"/>
          </w:tcPr>
          <w:p>
            <w:pPr>
              <w:spacing w:before="0" w:after="0" w:line="240" w:lineRule="auto"/>
              <w:jc w:val="center"/>
            </w:pPr>
            <w:r>
              <w:rPr>
                <w:sz w:val="15"/>
              </w:rPr>
              <w:t>1.000000</w:t>
            </w:r>
          </w:p>
        </w:tc>
      </w:tr>
      <w:tr>
        <w:trPr>
          <w:cantSplit/>
        </w:trPr>
        <w:tc>
          <w:tcPr>
            <w:tcW w:type="dxa" w:w="1080"/>
            <w:vAlign w:val="center"/>
          </w:tcPr>
          <w:p>
            <w:pPr>
              <w:spacing w:before="0" w:after="0" w:line="240" w:lineRule="auto"/>
              <w:jc w:val="center"/>
            </w:pPr>
            <w:r>
              <w:rPr>
                <w:sz w:val="15"/>
              </w:rPr>
              <w:t>RQ5</w:t>
            </w:r>
          </w:p>
        </w:tc>
        <w:tc>
          <w:tcPr>
            <w:tcW w:type="dxa" w:w="1080"/>
            <w:vAlign w:val="center"/>
          </w:tcPr>
          <w:p>
            <w:pPr>
              <w:spacing w:before="0" w:after="0" w:line="240" w:lineRule="auto"/>
              <w:jc w:val="center"/>
            </w:pPr>
            <w:r>
              <w:rPr>
                <w:sz w:val="15"/>
              </w:rPr>
              <w:t>Gemini</w:t>
            </w:r>
          </w:p>
        </w:tc>
        <w:tc>
          <w:tcPr>
            <w:tcW w:type="dxa" w:w="792"/>
            <w:vAlign w:val="center"/>
          </w:tcPr>
          <w:p>
            <w:pPr>
              <w:spacing w:before="0" w:after="0" w:line="240" w:lineRule="auto"/>
              <w:jc w:val="center"/>
            </w:pPr>
            <w:r>
              <w:rPr>
                <w:sz w:val="15"/>
              </w:rPr>
              <w:t>β</w:t>
            </w:r>
          </w:p>
        </w:tc>
        <w:tc>
          <w:tcPr>
            <w:tcW w:type="dxa" w:w="1008"/>
            <w:vAlign w:val="center"/>
          </w:tcPr>
          <w:p>
            <w:pPr>
              <w:spacing w:before="0" w:after="0" w:line="240" w:lineRule="auto"/>
              <w:jc w:val="center"/>
            </w:pPr>
            <w:r>
              <w:rPr>
                <w:sz w:val="15"/>
              </w:rPr>
              <w:t>IC-b</w:t>
            </w:r>
          </w:p>
        </w:tc>
        <w:tc>
          <w:tcPr>
            <w:tcW w:type="dxa" w:w="1368"/>
            <w:vAlign w:val="center"/>
          </w:tcPr>
          <w:p>
            <w:pPr>
              <w:spacing w:before="0" w:after="0" w:line="240" w:lineRule="auto"/>
              <w:jc w:val="center"/>
            </w:pPr>
            <w:r>
              <w:rPr>
                <w:sz w:val="15"/>
              </w:rPr>
              <w:t>IC-a</w:t>
            </w:r>
          </w:p>
        </w:tc>
        <w:tc>
          <w:tcPr>
            <w:tcW w:type="dxa" w:w="720"/>
            <w:vAlign w:val="center"/>
          </w:tcPr>
          <w:p>
            <w:pPr>
              <w:spacing w:before="0" w:after="0" w:line="240" w:lineRule="auto"/>
              <w:jc w:val="center"/>
            </w:pPr>
            <w:r>
              <w:rPr>
                <w:sz w:val="15"/>
              </w:rPr>
              <w:t>575</w:t>
            </w:r>
          </w:p>
        </w:tc>
        <w:tc>
          <w:tcPr>
            <w:tcW w:type="dxa" w:w="1224"/>
            <w:vAlign w:val="center"/>
          </w:tcPr>
          <w:p>
            <w:pPr>
              <w:spacing w:before="0" w:after="0" w:line="240" w:lineRule="auto"/>
              <w:jc w:val="center"/>
            </w:pPr>
            <w:r>
              <w:rPr>
                <w:sz w:val="15"/>
              </w:rPr>
              <w:t>-0.003031</w:t>
            </w:r>
          </w:p>
        </w:tc>
        <w:tc>
          <w:tcPr>
            <w:tcW w:type="dxa" w:w="1224"/>
            <w:vAlign w:val="center"/>
          </w:tcPr>
          <w:p>
            <w:pPr>
              <w:spacing w:before="0" w:after="0" w:line="240" w:lineRule="auto"/>
              <w:jc w:val="center"/>
            </w:pPr>
            <w:r>
              <w:rPr>
                <w:sz w:val="15"/>
              </w:rPr>
              <w:t>-0.016796</w:t>
            </w:r>
          </w:p>
        </w:tc>
        <w:tc>
          <w:tcPr>
            <w:tcW w:type="dxa" w:w="1224"/>
            <w:vAlign w:val="center"/>
          </w:tcPr>
          <w:p>
            <w:pPr>
              <w:spacing w:before="0" w:after="0" w:line="240" w:lineRule="auto"/>
              <w:jc w:val="center"/>
            </w:pPr>
            <w:r>
              <w:rPr>
                <w:sz w:val="15"/>
              </w:rPr>
              <w:t>0.007627</w:t>
            </w:r>
          </w:p>
        </w:tc>
        <w:tc>
          <w:tcPr>
            <w:tcW w:type="dxa" w:w="1080"/>
            <w:vAlign w:val="center"/>
          </w:tcPr>
          <w:p>
            <w:pPr>
              <w:spacing w:before="0" w:after="0" w:line="240" w:lineRule="auto"/>
              <w:jc w:val="center"/>
            </w:pPr>
            <w:r>
              <w:rPr>
                <w:sz w:val="15"/>
              </w:rPr>
              <w:t>0.688731</w:t>
            </w:r>
          </w:p>
        </w:tc>
      </w:tr>
      <w:tr>
        <w:trPr>
          <w:cantSplit/>
        </w:trPr>
        <w:tc>
          <w:tcPr>
            <w:tcW w:type="dxa" w:w="1080"/>
            <w:vAlign w:val="center"/>
          </w:tcPr>
          <w:p>
            <w:pPr>
              <w:spacing w:before="0" w:after="0" w:line="240" w:lineRule="auto"/>
              <w:jc w:val="center"/>
            </w:pPr>
            <w:r>
              <w:rPr>
                <w:sz w:val="15"/>
              </w:rPr>
              <w:t>RQ5</w:t>
            </w:r>
          </w:p>
        </w:tc>
        <w:tc>
          <w:tcPr>
            <w:tcW w:type="dxa" w:w="1080"/>
            <w:vAlign w:val="center"/>
          </w:tcPr>
          <w:p>
            <w:pPr>
              <w:spacing w:before="0" w:after="0" w:line="240" w:lineRule="auto"/>
              <w:jc w:val="center"/>
            </w:pPr>
            <w:r>
              <w:rPr>
                <w:sz w:val="15"/>
              </w:rPr>
              <w:t>Gemini</w:t>
            </w:r>
          </w:p>
        </w:tc>
        <w:tc>
          <w:tcPr>
            <w:tcW w:type="dxa" w:w="792"/>
            <w:vAlign w:val="center"/>
          </w:tcPr>
          <w:p>
            <w:pPr>
              <w:spacing w:before="0" w:after="0" w:line="240" w:lineRule="auto"/>
              <w:jc w:val="center"/>
            </w:pPr>
            <w:r>
              <w:rPr>
                <w:sz w:val="15"/>
              </w:rPr>
              <w:t>β</w:t>
            </w:r>
          </w:p>
        </w:tc>
        <w:tc>
          <w:tcPr>
            <w:tcW w:type="dxa" w:w="1008"/>
            <w:vAlign w:val="center"/>
          </w:tcPr>
          <w:p>
            <w:pPr>
              <w:spacing w:before="0" w:after="0" w:line="240" w:lineRule="auto"/>
              <w:jc w:val="center"/>
            </w:pPr>
            <w:r>
              <w:rPr>
                <w:sz w:val="15"/>
              </w:rPr>
              <w:t>IC-c</w:t>
            </w:r>
          </w:p>
        </w:tc>
        <w:tc>
          <w:tcPr>
            <w:tcW w:type="dxa" w:w="1368"/>
            <w:vAlign w:val="center"/>
          </w:tcPr>
          <w:p>
            <w:pPr>
              <w:spacing w:before="0" w:after="0" w:line="240" w:lineRule="auto"/>
              <w:jc w:val="center"/>
            </w:pPr>
            <w:r>
              <w:rPr>
                <w:sz w:val="15"/>
              </w:rPr>
              <w:t>IC-b</w:t>
            </w:r>
          </w:p>
        </w:tc>
        <w:tc>
          <w:tcPr>
            <w:tcW w:type="dxa" w:w="720"/>
            <w:vAlign w:val="center"/>
          </w:tcPr>
          <w:p>
            <w:pPr>
              <w:spacing w:before="0" w:after="0" w:line="240" w:lineRule="auto"/>
              <w:jc w:val="center"/>
            </w:pPr>
            <w:r>
              <w:rPr>
                <w:sz w:val="15"/>
              </w:rPr>
              <w:t>575</w:t>
            </w:r>
          </w:p>
        </w:tc>
        <w:tc>
          <w:tcPr>
            <w:tcW w:type="dxa" w:w="1224"/>
            <w:vAlign w:val="center"/>
          </w:tcPr>
          <w:p>
            <w:pPr>
              <w:spacing w:before="0" w:after="0" w:line="240" w:lineRule="auto"/>
              <w:jc w:val="center"/>
            </w:pPr>
            <w:r>
              <w:rPr>
                <w:sz w:val="15"/>
              </w:rPr>
              <w:t>0.007554</w:t>
            </w:r>
          </w:p>
        </w:tc>
        <w:tc>
          <w:tcPr>
            <w:tcW w:type="dxa" w:w="1224"/>
            <w:vAlign w:val="center"/>
          </w:tcPr>
          <w:p>
            <w:pPr>
              <w:spacing w:before="0" w:after="0" w:line="240" w:lineRule="auto"/>
              <w:jc w:val="center"/>
            </w:pPr>
            <w:r>
              <w:rPr>
                <w:sz w:val="15"/>
              </w:rPr>
              <w:t>-0.003148</w:t>
            </w:r>
          </w:p>
        </w:tc>
        <w:tc>
          <w:tcPr>
            <w:tcW w:type="dxa" w:w="1224"/>
            <w:vAlign w:val="center"/>
          </w:tcPr>
          <w:p>
            <w:pPr>
              <w:spacing w:before="0" w:after="0" w:line="240" w:lineRule="auto"/>
              <w:jc w:val="center"/>
            </w:pPr>
            <w:r>
              <w:rPr>
                <w:sz w:val="15"/>
              </w:rPr>
              <w:t>0.021501</w:t>
            </w:r>
          </w:p>
        </w:tc>
        <w:tc>
          <w:tcPr>
            <w:tcW w:type="dxa" w:w="1080"/>
            <w:vAlign w:val="center"/>
          </w:tcPr>
          <w:p>
            <w:pPr>
              <w:spacing w:before="0" w:after="0" w:line="240" w:lineRule="auto"/>
              <w:jc w:val="center"/>
            </w:pPr>
            <w:r>
              <w:rPr>
                <w:sz w:val="15"/>
              </w:rPr>
              <w:t>0.393161</w:t>
            </w:r>
          </w:p>
        </w:tc>
      </w:tr>
      <w:tr>
        <w:trPr>
          <w:cantSplit/>
        </w:trPr>
        <w:tc>
          <w:tcPr>
            <w:tcW w:type="dxa" w:w="1080"/>
            <w:vAlign w:val="center"/>
          </w:tcPr>
          <w:p>
            <w:pPr>
              <w:spacing w:before="0" w:after="0" w:line="240" w:lineRule="auto"/>
              <w:jc w:val="center"/>
            </w:pPr>
            <w:r>
              <w:rPr>
                <w:sz w:val="15"/>
              </w:rPr>
              <w:t>RQ5</w:t>
            </w:r>
          </w:p>
        </w:tc>
        <w:tc>
          <w:tcPr>
            <w:tcW w:type="dxa" w:w="1080"/>
            <w:vAlign w:val="center"/>
          </w:tcPr>
          <w:p>
            <w:pPr>
              <w:spacing w:before="0" w:after="0" w:line="240" w:lineRule="auto"/>
              <w:jc w:val="center"/>
            </w:pPr>
            <w:r>
              <w:rPr>
                <w:sz w:val="15"/>
              </w:rPr>
              <w:t>Gemini</w:t>
            </w:r>
          </w:p>
        </w:tc>
        <w:tc>
          <w:tcPr>
            <w:tcW w:type="dxa" w:w="792"/>
            <w:vAlign w:val="center"/>
          </w:tcPr>
          <w:p>
            <w:pPr>
              <w:spacing w:before="0" w:after="0" w:line="240" w:lineRule="auto"/>
              <w:jc w:val="center"/>
            </w:pPr>
            <w:r>
              <w:rPr>
                <w:sz w:val="15"/>
              </w:rPr>
              <w:t>γ</w:t>
            </w:r>
          </w:p>
        </w:tc>
        <w:tc>
          <w:tcPr>
            <w:tcW w:type="dxa" w:w="1008"/>
            <w:vAlign w:val="center"/>
          </w:tcPr>
          <w:p>
            <w:pPr>
              <w:spacing w:before="0" w:after="0" w:line="240" w:lineRule="auto"/>
              <w:jc w:val="center"/>
            </w:pPr>
            <w:r>
              <w:rPr>
                <w:sz w:val="15"/>
              </w:rPr>
              <w:t>IC-b</w:t>
            </w:r>
          </w:p>
        </w:tc>
        <w:tc>
          <w:tcPr>
            <w:tcW w:type="dxa" w:w="1368"/>
            <w:vAlign w:val="center"/>
          </w:tcPr>
          <w:p>
            <w:pPr>
              <w:spacing w:before="0" w:after="0" w:line="240" w:lineRule="auto"/>
              <w:jc w:val="center"/>
            </w:pPr>
            <w:r>
              <w:rPr>
                <w:sz w:val="15"/>
              </w:rPr>
              <w:t>IC-a</w:t>
            </w:r>
          </w:p>
        </w:tc>
        <w:tc>
          <w:tcPr>
            <w:tcW w:type="dxa" w:w="720"/>
            <w:vAlign w:val="center"/>
          </w:tcPr>
          <w:p>
            <w:pPr>
              <w:spacing w:before="0" w:after="0" w:line="240" w:lineRule="auto"/>
              <w:jc w:val="center"/>
            </w:pPr>
            <w:r>
              <w:rPr>
                <w:sz w:val="15"/>
              </w:rPr>
              <w:t>575</w:t>
            </w:r>
          </w:p>
        </w:tc>
        <w:tc>
          <w:tcPr>
            <w:tcW w:type="dxa" w:w="1224"/>
            <w:vAlign w:val="center"/>
          </w:tcPr>
          <w:p>
            <w:pPr>
              <w:spacing w:before="0" w:after="0" w:line="240" w:lineRule="auto"/>
              <w:jc w:val="center"/>
            </w:pPr>
            <w:r>
              <w:rPr>
                <w:sz w:val="15"/>
              </w:rPr>
              <w:t>0.006395</w:t>
            </w:r>
          </w:p>
        </w:tc>
        <w:tc>
          <w:tcPr>
            <w:tcW w:type="dxa" w:w="1224"/>
            <w:vAlign w:val="center"/>
          </w:tcPr>
          <w:p>
            <w:pPr>
              <w:spacing w:before="0" w:after="0" w:line="240" w:lineRule="auto"/>
              <w:jc w:val="center"/>
            </w:pPr>
            <w:r>
              <w:rPr>
                <w:sz w:val="15"/>
              </w:rPr>
              <w:t>-0.012747</w:t>
            </w:r>
          </w:p>
        </w:tc>
        <w:tc>
          <w:tcPr>
            <w:tcW w:type="dxa" w:w="1224"/>
            <w:vAlign w:val="center"/>
          </w:tcPr>
          <w:p>
            <w:pPr>
              <w:spacing w:before="0" w:after="0" w:line="240" w:lineRule="auto"/>
              <w:jc w:val="center"/>
            </w:pPr>
            <w:r>
              <w:rPr>
                <w:sz w:val="15"/>
              </w:rPr>
              <w:t>0.025709</w:t>
            </w:r>
          </w:p>
        </w:tc>
        <w:tc>
          <w:tcPr>
            <w:tcW w:type="dxa" w:w="1080"/>
            <w:vAlign w:val="center"/>
          </w:tcPr>
          <w:p>
            <w:pPr>
              <w:spacing w:before="0" w:after="0" w:line="240" w:lineRule="auto"/>
              <w:jc w:val="center"/>
            </w:pPr>
            <w:r>
              <w:rPr>
                <w:sz w:val="15"/>
              </w:rPr>
              <w:t>0.521148</w:t>
            </w:r>
          </w:p>
        </w:tc>
      </w:tr>
      <w:tr>
        <w:trPr>
          <w:cantSplit/>
        </w:trPr>
        <w:tc>
          <w:tcPr>
            <w:tcW w:type="dxa" w:w="1080"/>
            <w:vAlign w:val="center"/>
          </w:tcPr>
          <w:p>
            <w:pPr>
              <w:spacing w:before="0" w:after="0" w:line="240" w:lineRule="auto"/>
              <w:jc w:val="center"/>
            </w:pPr>
            <w:r>
              <w:rPr>
                <w:sz w:val="15"/>
              </w:rPr>
              <w:t>RQ5</w:t>
            </w:r>
          </w:p>
        </w:tc>
        <w:tc>
          <w:tcPr>
            <w:tcW w:type="dxa" w:w="1080"/>
            <w:vAlign w:val="center"/>
          </w:tcPr>
          <w:p>
            <w:pPr>
              <w:spacing w:before="0" w:after="0" w:line="240" w:lineRule="auto"/>
              <w:jc w:val="center"/>
            </w:pPr>
            <w:r>
              <w:rPr>
                <w:sz w:val="15"/>
              </w:rPr>
              <w:t>Gemini</w:t>
            </w:r>
          </w:p>
        </w:tc>
        <w:tc>
          <w:tcPr>
            <w:tcW w:type="dxa" w:w="792"/>
            <w:vAlign w:val="center"/>
          </w:tcPr>
          <w:p>
            <w:pPr>
              <w:spacing w:before="0" w:after="0" w:line="240" w:lineRule="auto"/>
              <w:jc w:val="center"/>
            </w:pPr>
            <w:r>
              <w:rPr>
                <w:sz w:val="15"/>
              </w:rPr>
              <w:t>γ</w:t>
            </w:r>
          </w:p>
        </w:tc>
        <w:tc>
          <w:tcPr>
            <w:tcW w:type="dxa" w:w="1008"/>
            <w:vAlign w:val="center"/>
          </w:tcPr>
          <w:p>
            <w:pPr>
              <w:spacing w:before="0" w:after="0" w:line="240" w:lineRule="auto"/>
              <w:jc w:val="center"/>
            </w:pPr>
            <w:r>
              <w:rPr>
                <w:sz w:val="15"/>
              </w:rPr>
              <w:t>IC-c</w:t>
            </w:r>
          </w:p>
        </w:tc>
        <w:tc>
          <w:tcPr>
            <w:tcW w:type="dxa" w:w="1368"/>
            <w:vAlign w:val="center"/>
          </w:tcPr>
          <w:p>
            <w:pPr>
              <w:spacing w:before="0" w:after="0" w:line="240" w:lineRule="auto"/>
              <w:jc w:val="center"/>
            </w:pPr>
            <w:r>
              <w:rPr>
                <w:sz w:val="15"/>
              </w:rPr>
              <w:t>IC-b</w:t>
            </w:r>
          </w:p>
        </w:tc>
        <w:tc>
          <w:tcPr>
            <w:tcW w:type="dxa" w:w="720"/>
            <w:vAlign w:val="center"/>
          </w:tcPr>
          <w:p>
            <w:pPr>
              <w:spacing w:before="0" w:after="0" w:line="240" w:lineRule="auto"/>
              <w:jc w:val="center"/>
            </w:pPr>
            <w:r>
              <w:rPr>
                <w:sz w:val="15"/>
              </w:rPr>
              <w:t>575</w:t>
            </w:r>
          </w:p>
        </w:tc>
        <w:tc>
          <w:tcPr>
            <w:tcW w:type="dxa" w:w="1224"/>
            <w:vAlign w:val="center"/>
          </w:tcPr>
          <w:p>
            <w:pPr>
              <w:spacing w:before="0" w:after="0" w:line="240" w:lineRule="auto"/>
              <w:jc w:val="center"/>
            </w:pPr>
            <w:r>
              <w:rPr>
                <w:sz w:val="15"/>
              </w:rPr>
              <w:t>0.017183</w:t>
            </w:r>
          </w:p>
        </w:tc>
        <w:tc>
          <w:tcPr>
            <w:tcW w:type="dxa" w:w="1224"/>
            <w:vAlign w:val="center"/>
          </w:tcPr>
          <w:p>
            <w:pPr>
              <w:spacing w:before="0" w:after="0" w:line="240" w:lineRule="auto"/>
              <w:jc w:val="center"/>
            </w:pPr>
            <w:r>
              <w:rPr>
                <w:sz w:val="15"/>
              </w:rPr>
              <w:t>-0.010610</w:t>
            </w:r>
          </w:p>
        </w:tc>
        <w:tc>
          <w:tcPr>
            <w:tcW w:type="dxa" w:w="1224"/>
            <w:vAlign w:val="center"/>
          </w:tcPr>
          <w:p>
            <w:pPr>
              <w:spacing w:before="0" w:after="0" w:line="240" w:lineRule="auto"/>
              <w:jc w:val="center"/>
            </w:pPr>
            <w:r>
              <w:rPr>
                <w:sz w:val="15"/>
              </w:rPr>
              <w:t>0.046033</w:t>
            </w:r>
          </w:p>
        </w:tc>
        <w:tc>
          <w:tcPr>
            <w:tcW w:type="dxa" w:w="1080"/>
            <w:vAlign w:val="center"/>
          </w:tcPr>
          <w:p>
            <w:pPr>
              <w:spacing w:before="0" w:after="0" w:line="240" w:lineRule="auto"/>
              <w:jc w:val="center"/>
            </w:pPr>
            <w:r>
              <w:rPr>
                <w:sz w:val="15"/>
              </w:rPr>
              <w:t>0.453955</w:t>
            </w:r>
          </w:p>
        </w:tc>
      </w:tr>
      <w:tr>
        <w:trPr>
          <w:cantSplit/>
        </w:trPr>
        <w:tc>
          <w:tcPr>
            <w:tcW w:type="dxa" w:w="1080"/>
            <w:vAlign w:val="center"/>
          </w:tcPr>
          <w:p>
            <w:pPr>
              <w:spacing w:before="0" w:after="0" w:line="240" w:lineRule="auto"/>
              <w:jc w:val="center"/>
            </w:pPr>
            <w:r>
              <w:rPr>
                <w:sz w:val="15"/>
              </w:rPr>
              <w:t>RQ5</w:t>
            </w:r>
          </w:p>
        </w:tc>
        <w:tc>
          <w:tcPr>
            <w:tcW w:type="dxa" w:w="1080"/>
            <w:vAlign w:val="center"/>
          </w:tcPr>
          <w:p>
            <w:pPr>
              <w:spacing w:before="0" w:after="0" w:line="240" w:lineRule="auto"/>
              <w:jc w:val="center"/>
            </w:pPr>
            <w:r>
              <w:rPr>
                <w:sz w:val="15"/>
              </w:rPr>
              <w:t>GPT</w:t>
            </w:r>
          </w:p>
        </w:tc>
        <w:tc>
          <w:tcPr>
            <w:tcW w:type="dxa" w:w="792"/>
            <w:vAlign w:val="center"/>
          </w:tcPr>
          <w:p>
            <w:pPr>
              <w:spacing w:before="0" w:after="0" w:line="240" w:lineRule="auto"/>
              <w:jc w:val="center"/>
            </w:pPr>
            <w:r>
              <w:rPr>
                <w:sz w:val="15"/>
              </w:rPr>
              <w:t>α</w:t>
            </w:r>
          </w:p>
        </w:tc>
        <w:tc>
          <w:tcPr>
            <w:tcW w:type="dxa" w:w="1008"/>
            <w:vAlign w:val="center"/>
          </w:tcPr>
          <w:p>
            <w:pPr>
              <w:spacing w:before="0" w:after="0" w:line="240" w:lineRule="auto"/>
              <w:jc w:val="center"/>
            </w:pPr>
            <w:r>
              <w:rPr>
                <w:sz w:val="15"/>
              </w:rPr>
              <w:t>IC-b</w:t>
            </w:r>
          </w:p>
        </w:tc>
        <w:tc>
          <w:tcPr>
            <w:tcW w:type="dxa" w:w="1368"/>
            <w:vAlign w:val="center"/>
          </w:tcPr>
          <w:p>
            <w:pPr>
              <w:spacing w:before="0" w:after="0" w:line="240" w:lineRule="auto"/>
              <w:jc w:val="center"/>
            </w:pPr>
            <w:r>
              <w:rPr>
                <w:sz w:val="15"/>
              </w:rPr>
              <w:t>IC-a</w:t>
            </w:r>
          </w:p>
        </w:tc>
        <w:tc>
          <w:tcPr>
            <w:tcW w:type="dxa" w:w="720"/>
            <w:vAlign w:val="center"/>
          </w:tcPr>
          <w:p>
            <w:pPr>
              <w:spacing w:before="0" w:after="0" w:line="240" w:lineRule="auto"/>
              <w:jc w:val="center"/>
            </w:pPr>
            <w:r>
              <w:rPr>
                <w:sz w:val="15"/>
              </w:rPr>
              <w:t>575</w:t>
            </w:r>
          </w:p>
        </w:tc>
        <w:tc>
          <w:tcPr>
            <w:tcW w:type="dxa" w:w="1224"/>
            <w:vAlign w:val="center"/>
          </w:tcPr>
          <w:p>
            <w:pPr>
              <w:spacing w:before="0" w:after="0" w:line="240" w:lineRule="auto"/>
              <w:jc w:val="center"/>
            </w:pPr>
            <w:r>
              <w:rPr>
                <w:sz w:val="15"/>
              </w:rPr>
              <w:t>-0.001592</w:t>
            </w:r>
          </w:p>
        </w:tc>
        <w:tc>
          <w:tcPr>
            <w:tcW w:type="dxa" w:w="1224"/>
            <w:vAlign w:val="center"/>
          </w:tcPr>
          <w:p>
            <w:pPr>
              <w:spacing w:before="0" w:after="0" w:line="240" w:lineRule="auto"/>
              <w:jc w:val="center"/>
            </w:pPr>
            <w:r>
              <w:rPr>
                <w:sz w:val="15"/>
              </w:rPr>
              <w:t>-0.092690</w:t>
            </w:r>
          </w:p>
        </w:tc>
        <w:tc>
          <w:tcPr>
            <w:tcW w:type="dxa" w:w="1224"/>
            <w:vAlign w:val="center"/>
          </w:tcPr>
          <w:p>
            <w:pPr>
              <w:spacing w:before="0" w:after="0" w:line="240" w:lineRule="auto"/>
              <w:jc w:val="center"/>
            </w:pPr>
            <w:r>
              <w:rPr>
                <w:sz w:val="15"/>
              </w:rPr>
              <w:t>0.089050</w:t>
            </w:r>
          </w:p>
        </w:tc>
        <w:tc>
          <w:tcPr>
            <w:tcW w:type="dxa" w:w="1080"/>
            <w:vAlign w:val="center"/>
          </w:tcPr>
          <w:p>
            <w:pPr>
              <w:spacing w:before="0" w:after="0" w:line="240" w:lineRule="auto"/>
              <w:jc w:val="center"/>
            </w:pPr>
            <w:r>
              <w:rPr>
                <w:sz w:val="15"/>
              </w:rPr>
              <w:t>0.980502</w:t>
            </w:r>
          </w:p>
        </w:tc>
      </w:tr>
      <w:tr>
        <w:trPr>
          <w:cantSplit/>
        </w:trPr>
        <w:tc>
          <w:tcPr>
            <w:tcW w:type="dxa" w:w="1080"/>
            <w:vAlign w:val="center"/>
          </w:tcPr>
          <w:p>
            <w:pPr>
              <w:spacing w:before="0" w:after="0" w:line="240" w:lineRule="auto"/>
              <w:jc w:val="center"/>
            </w:pPr>
            <w:r>
              <w:rPr>
                <w:sz w:val="15"/>
              </w:rPr>
              <w:t>RQ5</w:t>
            </w:r>
          </w:p>
        </w:tc>
        <w:tc>
          <w:tcPr>
            <w:tcW w:type="dxa" w:w="1080"/>
            <w:vAlign w:val="center"/>
          </w:tcPr>
          <w:p>
            <w:pPr>
              <w:spacing w:before="0" w:after="0" w:line="240" w:lineRule="auto"/>
              <w:jc w:val="center"/>
            </w:pPr>
            <w:r>
              <w:rPr>
                <w:sz w:val="15"/>
              </w:rPr>
              <w:t>GPT</w:t>
            </w:r>
          </w:p>
        </w:tc>
        <w:tc>
          <w:tcPr>
            <w:tcW w:type="dxa" w:w="792"/>
            <w:vAlign w:val="center"/>
          </w:tcPr>
          <w:p>
            <w:pPr>
              <w:spacing w:before="0" w:after="0" w:line="240" w:lineRule="auto"/>
              <w:jc w:val="center"/>
            </w:pPr>
            <w:r>
              <w:rPr>
                <w:sz w:val="15"/>
              </w:rPr>
              <w:t>α</w:t>
            </w:r>
          </w:p>
        </w:tc>
        <w:tc>
          <w:tcPr>
            <w:tcW w:type="dxa" w:w="1008"/>
            <w:vAlign w:val="center"/>
          </w:tcPr>
          <w:p>
            <w:pPr>
              <w:spacing w:before="0" w:after="0" w:line="240" w:lineRule="auto"/>
              <w:jc w:val="center"/>
            </w:pPr>
            <w:r>
              <w:rPr>
                <w:sz w:val="15"/>
              </w:rPr>
              <w:t>IC-c</w:t>
            </w:r>
          </w:p>
        </w:tc>
        <w:tc>
          <w:tcPr>
            <w:tcW w:type="dxa" w:w="1368"/>
            <w:vAlign w:val="center"/>
          </w:tcPr>
          <w:p>
            <w:pPr>
              <w:spacing w:before="0" w:after="0" w:line="240" w:lineRule="auto"/>
              <w:jc w:val="center"/>
            </w:pPr>
            <w:r>
              <w:rPr>
                <w:sz w:val="15"/>
              </w:rPr>
              <w:t>IC-b</w:t>
            </w:r>
          </w:p>
        </w:tc>
        <w:tc>
          <w:tcPr>
            <w:tcW w:type="dxa" w:w="720"/>
            <w:vAlign w:val="center"/>
          </w:tcPr>
          <w:p>
            <w:pPr>
              <w:spacing w:before="0" w:after="0" w:line="240" w:lineRule="auto"/>
              <w:jc w:val="center"/>
            </w:pPr>
            <w:r>
              <w:rPr>
                <w:sz w:val="15"/>
              </w:rPr>
              <w:t>575</w:t>
            </w:r>
          </w:p>
        </w:tc>
        <w:tc>
          <w:tcPr>
            <w:tcW w:type="dxa" w:w="1224"/>
            <w:vAlign w:val="center"/>
          </w:tcPr>
          <w:p>
            <w:pPr>
              <w:spacing w:before="0" w:after="0" w:line="240" w:lineRule="auto"/>
              <w:jc w:val="center"/>
            </w:pPr>
            <w:r>
              <w:rPr>
                <w:sz w:val="15"/>
              </w:rPr>
              <w:t>0.072803</w:t>
            </w:r>
          </w:p>
        </w:tc>
        <w:tc>
          <w:tcPr>
            <w:tcW w:type="dxa" w:w="1224"/>
            <w:vAlign w:val="center"/>
          </w:tcPr>
          <w:p>
            <w:pPr>
              <w:spacing w:before="0" w:after="0" w:line="240" w:lineRule="auto"/>
              <w:jc w:val="center"/>
            </w:pPr>
            <w:r>
              <w:rPr>
                <w:sz w:val="15"/>
              </w:rPr>
              <w:t>-0.016842</w:t>
            </w:r>
          </w:p>
        </w:tc>
        <w:tc>
          <w:tcPr>
            <w:tcW w:type="dxa" w:w="1224"/>
            <w:vAlign w:val="center"/>
          </w:tcPr>
          <w:p>
            <w:pPr>
              <w:spacing w:before="0" w:after="0" w:line="240" w:lineRule="auto"/>
              <w:jc w:val="center"/>
            </w:pPr>
            <w:r>
              <w:rPr>
                <w:sz w:val="15"/>
              </w:rPr>
              <w:t>0.166242</w:t>
            </w:r>
          </w:p>
        </w:tc>
        <w:tc>
          <w:tcPr>
            <w:tcW w:type="dxa" w:w="1080"/>
            <w:vAlign w:val="center"/>
          </w:tcPr>
          <w:p>
            <w:pPr>
              <w:spacing w:before="0" w:after="0" w:line="240" w:lineRule="auto"/>
              <w:jc w:val="center"/>
            </w:pPr>
            <w:r>
              <w:rPr>
                <w:sz w:val="15"/>
              </w:rPr>
              <w:t>0.232777</w:t>
            </w:r>
          </w:p>
        </w:tc>
      </w:tr>
      <w:tr>
        <w:trPr>
          <w:cantSplit/>
        </w:trPr>
        <w:tc>
          <w:tcPr>
            <w:tcW w:type="dxa" w:w="1080"/>
            <w:vAlign w:val="center"/>
          </w:tcPr>
          <w:p>
            <w:pPr>
              <w:spacing w:before="0" w:after="0" w:line="240" w:lineRule="auto"/>
              <w:jc w:val="center"/>
            </w:pPr>
            <w:r>
              <w:rPr>
                <w:sz w:val="15"/>
              </w:rPr>
              <w:t>RQ5</w:t>
            </w:r>
          </w:p>
        </w:tc>
        <w:tc>
          <w:tcPr>
            <w:tcW w:type="dxa" w:w="1080"/>
            <w:vAlign w:val="center"/>
          </w:tcPr>
          <w:p>
            <w:pPr>
              <w:spacing w:before="0" w:after="0" w:line="240" w:lineRule="auto"/>
              <w:jc w:val="center"/>
            </w:pPr>
            <w:r>
              <w:rPr>
                <w:sz w:val="15"/>
              </w:rPr>
              <w:t>GPT</w:t>
            </w:r>
          </w:p>
        </w:tc>
        <w:tc>
          <w:tcPr>
            <w:tcW w:type="dxa" w:w="792"/>
            <w:vAlign w:val="center"/>
          </w:tcPr>
          <w:p>
            <w:pPr>
              <w:spacing w:before="0" w:after="0" w:line="240" w:lineRule="auto"/>
              <w:jc w:val="center"/>
            </w:pPr>
            <w:r>
              <w:rPr>
                <w:sz w:val="15"/>
              </w:rPr>
              <w:t>β</w:t>
            </w:r>
          </w:p>
        </w:tc>
        <w:tc>
          <w:tcPr>
            <w:tcW w:type="dxa" w:w="1008"/>
            <w:vAlign w:val="center"/>
          </w:tcPr>
          <w:p>
            <w:pPr>
              <w:spacing w:before="0" w:after="0" w:line="240" w:lineRule="auto"/>
              <w:jc w:val="center"/>
            </w:pPr>
            <w:r>
              <w:rPr>
                <w:sz w:val="15"/>
              </w:rPr>
              <w:t>IC-b</w:t>
            </w:r>
          </w:p>
        </w:tc>
        <w:tc>
          <w:tcPr>
            <w:tcW w:type="dxa" w:w="1368"/>
            <w:vAlign w:val="center"/>
          </w:tcPr>
          <w:p>
            <w:pPr>
              <w:spacing w:before="0" w:after="0" w:line="240" w:lineRule="auto"/>
              <w:jc w:val="center"/>
            </w:pPr>
            <w:r>
              <w:rPr>
                <w:sz w:val="15"/>
              </w:rPr>
              <w:t>IC-a</w:t>
            </w:r>
          </w:p>
        </w:tc>
        <w:tc>
          <w:tcPr>
            <w:tcW w:type="dxa" w:w="720"/>
            <w:vAlign w:val="center"/>
          </w:tcPr>
          <w:p>
            <w:pPr>
              <w:spacing w:before="0" w:after="0" w:line="240" w:lineRule="auto"/>
              <w:jc w:val="center"/>
            </w:pPr>
            <w:r>
              <w:rPr>
                <w:sz w:val="15"/>
              </w:rPr>
              <w:t>575</w:t>
            </w:r>
          </w:p>
        </w:tc>
        <w:tc>
          <w:tcPr>
            <w:tcW w:type="dxa" w:w="1224"/>
            <w:vAlign w:val="center"/>
          </w:tcPr>
          <w:p>
            <w:pPr>
              <w:spacing w:before="0" w:after="0" w:line="240" w:lineRule="auto"/>
              <w:jc w:val="center"/>
            </w:pPr>
            <w:r>
              <w:rPr>
                <w:sz w:val="15"/>
              </w:rPr>
              <w:t>-0.005862</w:t>
            </w:r>
          </w:p>
        </w:tc>
        <w:tc>
          <w:tcPr>
            <w:tcW w:type="dxa" w:w="1224"/>
            <w:vAlign w:val="center"/>
          </w:tcPr>
          <w:p>
            <w:pPr>
              <w:spacing w:before="0" w:after="0" w:line="240" w:lineRule="auto"/>
              <w:jc w:val="center"/>
            </w:pPr>
            <w:r>
              <w:rPr>
                <w:sz w:val="15"/>
              </w:rPr>
              <w:t>-0.024088</w:t>
            </w:r>
          </w:p>
        </w:tc>
        <w:tc>
          <w:tcPr>
            <w:tcW w:type="dxa" w:w="1224"/>
            <w:vAlign w:val="center"/>
          </w:tcPr>
          <w:p>
            <w:pPr>
              <w:spacing w:before="0" w:after="0" w:line="240" w:lineRule="auto"/>
              <w:jc w:val="center"/>
            </w:pPr>
            <w:r>
              <w:rPr>
                <w:sz w:val="15"/>
              </w:rPr>
              <w:t>0.010873</w:t>
            </w:r>
          </w:p>
        </w:tc>
        <w:tc>
          <w:tcPr>
            <w:tcW w:type="dxa" w:w="1080"/>
            <w:vAlign w:val="center"/>
          </w:tcPr>
          <w:p>
            <w:pPr>
              <w:spacing w:before="0" w:after="0" w:line="240" w:lineRule="auto"/>
              <w:jc w:val="center"/>
            </w:pPr>
            <w:r>
              <w:rPr>
                <w:sz w:val="15"/>
              </w:rPr>
              <w:t>0.515748</w:t>
            </w:r>
          </w:p>
        </w:tc>
      </w:tr>
      <w:tr>
        <w:trPr>
          <w:cantSplit/>
        </w:trPr>
        <w:tc>
          <w:tcPr>
            <w:tcW w:type="dxa" w:w="1080"/>
            <w:vAlign w:val="center"/>
          </w:tcPr>
          <w:p>
            <w:pPr>
              <w:spacing w:before="0" w:after="0" w:line="240" w:lineRule="auto"/>
              <w:jc w:val="center"/>
            </w:pPr>
            <w:r>
              <w:rPr>
                <w:sz w:val="15"/>
              </w:rPr>
              <w:t>RQ5</w:t>
            </w:r>
          </w:p>
        </w:tc>
        <w:tc>
          <w:tcPr>
            <w:tcW w:type="dxa" w:w="1080"/>
            <w:vAlign w:val="center"/>
          </w:tcPr>
          <w:p>
            <w:pPr>
              <w:spacing w:before="0" w:after="0" w:line="240" w:lineRule="auto"/>
              <w:jc w:val="center"/>
            </w:pPr>
            <w:r>
              <w:rPr>
                <w:sz w:val="15"/>
              </w:rPr>
              <w:t>GPT</w:t>
            </w:r>
          </w:p>
        </w:tc>
        <w:tc>
          <w:tcPr>
            <w:tcW w:type="dxa" w:w="792"/>
            <w:vAlign w:val="center"/>
          </w:tcPr>
          <w:p>
            <w:pPr>
              <w:spacing w:before="0" w:after="0" w:line="240" w:lineRule="auto"/>
              <w:jc w:val="center"/>
            </w:pPr>
            <w:r>
              <w:rPr>
                <w:sz w:val="15"/>
              </w:rPr>
              <w:t>β</w:t>
            </w:r>
          </w:p>
        </w:tc>
        <w:tc>
          <w:tcPr>
            <w:tcW w:type="dxa" w:w="1008"/>
            <w:vAlign w:val="center"/>
          </w:tcPr>
          <w:p>
            <w:pPr>
              <w:spacing w:before="0" w:after="0" w:line="240" w:lineRule="auto"/>
              <w:jc w:val="center"/>
            </w:pPr>
            <w:r>
              <w:rPr>
                <w:sz w:val="15"/>
              </w:rPr>
              <w:t>IC-c</w:t>
            </w:r>
          </w:p>
        </w:tc>
        <w:tc>
          <w:tcPr>
            <w:tcW w:type="dxa" w:w="1368"/>
            <w:vAlign w:val="center"/>
          </w:tcPr>
          <w:p>
            <w:pPr>
              <w:spacing w:before="0" w:after="0" w:line="240" w:lineRule="auto"/>
              <w:jc w:val="center"/>
            </w:pPr>
            <w:r>
              <w:rPr>
                <w:sz w:val="15"/>
              </w:rPr>
              <w:t>IC-b</w:t>
            </w:r>
          </w:p>
        </w:tc>
        <w:tc>
          <w:tcPr>
            <w:tcW w:type="dxa" w:w="720"/>
            <w:vAlign w:val="center"/>
          </w:tcPr>
          <w:p>
            <w:pPr>
              <w:spacing w:before="0" w:after="0" w:line="240" w:lineRule="auto"/>
              <w:jc w:val="center"/>
            </w:pPr>
            <w:r>
              <w:rPr>
                <w:sz w:val="15"/>
              </w:rPr>
              <w:t>575</w:t>
            </w:r>
          </w:p>
        </w:tc>
        <w:tc>
          <w:tcPr>
            <w:tcW w:type="dxa" w:w="1224"/>
            <w:vAlign w:val="center"/>
          </w:tcPr>
          <w:p>
            <w:pPr>
              <w:spacing w:before="0" w:after="0" w:line="240" w:lineRule="auto"/>
              <w:jc w:val="center"/>
            </w:pPr>
            <w:r>
              <w:rPr>
                <w:sz w:val="15"/>
              </w:rPr>
              <w:t>0.018272</w:t>
            </w:r>
          </w:p>
        </w:tc>
        <w:tc>
          <w:tcPr>
            <w:tcW w:type="dxa" w:w="1224"/>
            <w:vAlign w:val="center"/>
          </w:tcPr>
          <w:p>
            <w:pPr>
              <w:spacing w:before="0" w:after="0" w:line="240" w:lineRule="auto"/>
              <w:jc w:val="center"/>
            </w:pPr>
            <w:r>
              <w:rPr>
                <w:sz w:val="15"/>
              </w:rPr>
              <w:t>-0.006923</w:t>
            </w:r>
          </w:p>
        </w:tc>
        <w:tc>
          <w:tcPr>
            <w:tcW w:type="dxa" w:w="1224"/>
            <w:vAlign w:val="center"/>
          </w:tcPr>
          <w:p>
            <w:pPr>
              <w:spacing w:before="0" w:after="0" w:line="240" w:lineRule="auto"/>
              <w:jc w:val="center"/>
            </w:pPr>
            <w:r>
              <w:rPr>
                <w:sz w:val="15"/>
              </w:rPr>
              <w:t>0.044705</w:t>
            </w:r>
          </w:p>
        </w:tc>
        <w:tc>
          <w:tcPr>
            <w:tcW w:type="dxa" w:w="1080"/>
            <w:vAlign w:val="center"/>
          </w:tcPr>
          <w:p>
            <w:pPr>
              <w:spacing w:before="0" w:after="0" w:line="240" w:lineRule="auto"/>
              <w:jc w:val="center"/>
            </w:pPr>
            <w:r>
              <w:rPr>
                <w:sz w:val="15"/>
              </w:rPr>
              <w:t>0.309969</w:t>
            </w:r>
          </w:p>
        </w:tc>
      </w:tr>
      <w:tr>
        <w:trPr>
          <w:cantSplit/>
        </w:trPr>
        <w:tc>
          <w:tcPr>
            <w:tcW w:type="dxa" w:w="1080"/>
            <w:vAlign w:val="center"/>
          </w:tcPr>
          <w:p>
            <w:pPr>
              <w:spacing w:before="0" w:after="0" w:line="240" w:lineRule="auto"/>
              <w:jc w:val="center"/>
            </w:pPr>
            <w:r>
              <w:rPr>
                <w:sz w:val="15"/>
              </w:rPr>
              <w:t>RQ5</w:t>
            </w:r>
          </w:p>
        </w:tc>
        <w:tc>
          <w:tcPr>
            <w:tcW w:type="dxa" w:w="1080"/>
            <w:vAlign w:val="center"/>
          </w:tcPr>
          <w:p>
            <w:pPr>
              <w:spacing w:before="0" w:after="0" w:line="240" w:lineRule="auto"/>
              <w:jc w:val="center"/>
            </w:pPr>
            <w:r>
              <w:rPr>
                <w:sz w:val="15"/>
              </w:rPr>
              <w:t>GPT</w:t>
            </w:r>
          </w:p>
        </w:tc>
        <w:tc>
          <w:tcPr>
            <w:tcW w:type="dxa" w:w="792"/>
            <w:vAlign w:val="center"/>
          </w:tcPr>
          <w:p>
            <w:pPr>
              <w:spacing w:before="0" w:after="0" w:line="240" w:lineRule="auto"/>
              <w:jc w:val="center"/>
            </w:pPr>
            <w:r>
              <w:rPr>
                <w:sz w:val="15"/>
              </w:rPr>
              <w:t>γ</w:t>
            </w:r>
          </w:p>
        </w:tc>
        <w:tc>
          <w:tcPr>
            <w:tcW w:type="dxa" w:w="1008"/>
            <w:vAlign w:val="center"/>
          </w:tcPr>
          <w:p>
            <w:pPr>
              <w:spacing w:before="0" w:after="0" w:line="240" w:lineRule="auto"/>
              <w:jc w:val="center"/>
            </w:pPr>
            <w:r>
              <w:rPr>
                <w:sz w:val="15"/>
              </w:rPr>
              <w:t>IC-b</w:t>
            </w:r>
          </w:p>
        </w:tc>
        <w:tc>
          <w:tcPr>
            <w:tcW w:type="dxa" w:w="1368"/>
            <w:vAlign w:val="center"/>
          </w:tcPr>
          <w:p>
            <w:pPr>
              <w:spacing w:before="0" w:after="0" w:line="240" w:lineRule="auto"/>
              <w:jc w:val="center"/>
            </w:pPr>
            <w:r>
              <w:rPr>
                <w:sz w:val="15"/>
              </w:rPr>
              <w:t>IC-a</w:t>
            </w:r>
          </w:p>
        </w:tc>
        <w:tc>
          <w:tcPr>
            <w:tcW w:type="dxa" w:w="720"/>
            <w:vAlign w:val="center"/>
          </w:tcPr>
          <w:p>
            <w:pPr>
              <w:spacing w:before="0" w:after="0" w:line="240" w:lineRule="auto"/>
              <w:jc w:val="center"/>
            </w:pPr>
            <w:r>
              <w:rPr>
                <w:sz w:val="15"/>
              </w:rPr>
              <w:t>575</w:t>
            </w:r>
          </w:p>
        </w:tc>
        <w:tc>
          <w:tcPr>
            <w:tcW w:type="dxa" w:w="1224"/>
            <w:vAlign w:val="center"/>
          </w:tcPr>
          <w:p>
            <w:pPr>
              <w:spacing w:before="0" w:after="0" w:line="240" w:lineRule="auto"/>
              <w:jc w:val="center"/>
            </w:pPr>
            <w:r>
              <w:rPr>
                <w:sz w:val="15"/>
              </w:rPr>
              <w:t>-0.016574</w:t>
            </w:r>
          </w:p>
        </w:tc>
        <w:tc>
          <w:tcPr>
            <w:tcW w:type="dxa" w:w="1224"/>
            <w:vAlign w:val="center"/>
          </w:tcPr>
          <w:p>
            <w:pPr>
              <w:spacing w:before="0" w:after="0" w:line="240" w:lineRule="auto"/>
              <w:jc w:val="center"/>
            </w:pPr>
            <w:r>
              <w:rPr>
                <w:sz w:val="15"/>
              </w:rPr>
              <w:t>-0.051325</w:t>
            </w:r>
          </w:p>
        </w:tc>
        <w:tc>
          <w:tcPr>
            <w:tcW w:type="dxa" w:w="1224"/>
            <w:vAlign w:val="center"/>
          </w:tcPr>
          <w:p>
            <w:pPr>
              <w:spacing w:before="0" w:after="0" w:line="240" w:lineRule="auto"/>
              <w:jc w:val="center"/>
            </w:pPr>
            <w:r>
              <w:rPr>
                <w:sz w:val="15"/>
              </w:rPr>
              <w:t>0.017386</w:t>
            </w:r>
          </w:p>
        </w:tc>
        <w:tc>
          <w:tcPr>
            <w:tcW w:type="dxa" w:w="1080"/>
            <w:vAlign w:val="center"/>
          </w:tcPr>
          <w:p>
            <w:pPr>
              <w:spacing w:before="0" w:after="0" w:line="240" w:lineRule="auto"/>
              <w:jc w:val="center"/>
            </w:pPr>
            <w:r>
              <w:rPr>
                <w:sz w:val="15"/>
              </w:rPr>
              <w:t>0.564744</w:t>
            </w:r>
          </w:p>
        </w:tc>
      </w:tr>
      <w:tr>
        <w:trPr>
          <w:cantSplit/>
        </w:trPr>
        <w:tc>
          <w:tcPr>
            <w:tcW w:type="dxa" w:w="1080"/>
            <w:vAlign w:val="center"/>
          </w:tcPr>
          <w:p>
            <w:pPr>
              <w:spacing w:before="0" w:after="0" w:line="240" w:lineRule="auto"/>
              <w:jc w:val="center"/>
            </w:pPr>
            <w:r>
              <w:rPr>
                <w:sz w:val="15"/>
              </w:rPr>
              <w:t>RQ5</w:t>
            </w:r>
          </w:p>
        </w:tc>
        <w:tc>
          <w:tcPr>
            <w:tcW w:type="dxa" w:w="1080"/>
            <w:vAlign w:val="center"/>
          </w:tcPr>
          <w:p>
            <w:pPr>
              <w:spacing w:before="0" w:after="0" w:line="240" w:lineRule="auto"/>
              <w:jc w:val="center"/>
            </w:pPr>
            <w:r>
              <w:rPr>
                <w:sz w:val="15"/>
              </w:rPr>
              <w:t>GPT</w:t>
            </w:r>
          </w:p>
        </w:tc>
        <w:tc>
          <w:tcPr>
            <w:tcW w:type="dxa" w:w="792"/>
            <w:vAlign w:val="center"/>
          </w:tcPr>
          <w:p>
            <w:pPr>
              <w:spacing w:before="0" w:after="0" w:line="240" w:lineRule="auto"/>
              <w:jc w:val="center"/>
            </w:pPr>
            <w:r>
              <w:rPr>
                <w:sz w:val="15"/>
              </w:rPr>
              <w:t>γ</w:t>
            </w:r>
          </w:p>
        </w:tc>
        <w:tc>
          <w:tcPr>
            <w:tcW w:type="dxa" w:w="1008"/>
            <w:vAlign w:val="center"/>
          </w:tcPr>
          <w:p>
            <w:pPr>
              <w:spacing w:before="0" w:after="0" w:line="240" w:lineRule="auto"/>
              <w:jc w:val="center"/>
            </w:pPr>
            <w:r>
              <w:rPr>
                <w:sz w:val="15"/>
              </w:rPr>
              <w:t>IC-c</w:t>
            </w:r>
          </w:p>
        </w:tc>
        <w:tc>
          <w:tcPr>
            <w:tcW w:type="dxa" w:w="1368"/>
            <w:vAlign w:val="center"/>
          </w:tcPr>
          <w:p>
            <w:pPr>
              <w:spacing w:before="0" w:after="0" w:line="240" w:lineRule="auto"/>
              <w:jc w:val="center"/>
            </w:pPr>
            <w:r>
              <w:rPr>
                <w:sz w:val="15"/>
              </w:rPr>
              <w:t>IC-b</w:t>
            </w:r>
          </w:p>
        </w:tc>
        <w:tc>
          <w:tcPr>
            <w:tcW w:type="dxa" w:w="720"/>
            <w:vAlign w:val="center"/>
          </w:tcPr>
          <w:p>
            <w:pPr>
              <w:spacing w:before="0" w:after="0" w:line="240" w:lineRule="auto"/>
              <w:jc w:val="center"/>
            </w:pPr>
            <w:r>
              <w:rPr>
                <w:sz w:val="15"/>
              </w:rPr>
              <w:t>575</w:t>
            </w:r>
          </w:p>
        </w:tc>
        <w:tc>
          <w:tcPr>
            <w:tcW w:type="dxa" w:w="1224"/>
            <w:vAlign w:val="center"/>
          </w:tcPr>
          <w:p>
            <w:pPr>
              <w:spacing w:before="0" w:after="0" w:line="240" w:lineRule="auto"/>
              <w:jc w:val="center"/>
            </w:pPr>
            <w:r>
              <w:rPr>
                <w:sz w:val="15"/>
              </w:rPr>
              <w:t>0.019366</w:t>
            </w:r>
          </w:p>
        </w:tc>
        <w:tc>
          <w:tcPr>
            <w:tcW w:type="dxa" w:w="1224"/>
            <w:vAlign w:val="center"/>
          </w:tcPr>
          <w:p>
            <w:pPr>
              <w:spacing w:before="0" w:after="0" w:line="240" w:lineRule="auto"/>
              <w:jc w:val="center"/>
            </w:pPr>
            <w:r>
              <w:rPr>
                <w:sz w:val="15"/>
              </w:rPr>
              <w:t>-0.014948</w:t>
            </w:r>
          </w:p>
        </w:tc>
        <w:tc>
          <w:tcPr>
            <w:tcW w:type="dxa" w:w="1224"/>
            <w:vAlign w:val="center"/>
          </w:tcPr>
          <w:p>
            <w:pPr>
              <w:spacing w:before="0" w:after="0" w:line="240" w:lineRule="auto"/>
              <w:jc w:val="center"/>
            </w:pPr>
            <w:r>
              <w:rPr>
                <w:sz w:val="15"/>
              </w:rPr>
              <w:t>0.054883</w:t>
            </w:r>
          </w:p>
        </w:tc>
        <w:tc>
          <w:tcPr>
            <w:tcW w:type="dxa" w:w="1080"/>
            <w:vAlign w:val="center"/>
          </w:tcPr>
          <w:p>
            <w:pPr>
              <w:spacing w:before="0" w:after="0" w:line="240" w:lineRule="auto"/>
              <w:jc w:val="center"/>
            </w:pPr>
            <w:r>
              <w:rPr>
                <w:sz w:val="15"/>
              </w:rPr>
              <w:t>0.564744</w:t>
            </w:r>
          </w:p>
        </w:tc>
      </w:tr>
    </w:tbl>
    <w:p>
      <w:pPr>
        <w:jc w:val="left"/>
      </w:pPr>
      <w:r>
        <w:t>표의 전체 V1.3 결과와 firm-level 재계산 경로는 THESIS_REPRO_KIT_v1.3/canonical_v13/V13_SUPPLEMENTAL_RESULTS.csv 및 contracts/V13_STATISTICAL_CONTRACT.md에 보존한다. PP는 strict usable 교집합으로만 보고하며, RQ4와 RQ5는 575개 ITT로 계산한다.</w:t>
      </w:r>
    </w:p>
    <w:sectPr w:rsidR="004D0855" w:rsidRPr="005A5373" w:rsidSect="00A34AFA">
      <w:headerReference w:type="default" r:id="rId31"/>
      <w:footerReference w:type="default" r:id="rId32"/>
      <w:pgSz w:w="16834" w:h="11909" w:orient="landscape"/>
      <w:pgMar w:top="936" w:right="936" w:bottom="936" w:left="936" w:header="850" w:footer="2041" w:gutter="0"/>
      <w:pgNumType w:start="124" w:fmt="decimal"/>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9DE1D" w14:textId="77777777" w:rsidR="0066113A" w:rsidRDefault="0066113A">
      <w:pPr>
        <w:spacing w:line="240" w:lineRule="auto"/>
      </w:pPr>
      <w:r>
        <w:separator/>
      </w:r>
    </w:p>
  </w:endnote>
  <w:endnote w:type="continuationSeparator" w:id="0">
    <w:p w14:paraId="2D155FE0" w14:textId="77777777" w:rsidR="0066113A" w:rsidRDefault="006611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Unicode MS">
    <w:panose1 w:val="020B0604020202020204"/>
    <w:charset w:val="00"/>
    <w:family w:val="swiss"/>
    <w:pitch w:val="variable"/>
  </w:font>
  <w:font w:name="맑은 고딕">
    <w:panose1 w:val="020B0503020000020004"/>
    <w:charset w:val="81"/>
    <w:family w:val="modern"/>
    <w:pitch w:val="variable"/>
    <w:sig w:usb0="9000002F" w:usb1="29D77CFB" w:usb2="00000012" w:usb3="00000000" w:csb0="00080001" w:csb1="00000000"/>
  </w:font>
  <w:font w:name="MS Gothic;ＭＳ ゴシック">
    <w:panose1 w:val="00000000000000000000"/>
    <w:charset w:val="81"/>
    <w:family w:val="roman"/>
    <w:notTrueType/>
    <w:pitch w:val="default"/>
  </w:font>
  <w:font w:name="Cambria Math">
    <w:panose1 w:val="02040503050406030204"/>
    <w:charset w:val="00"/>
    <w:family w:val="roman"/>
    <w:pitch w:val="variable"/>
    <w:sig w:usb0="E00006FF" w:usb1="420024FF" w:usb2="02000000" w:usb3="00000000" w:csb0="0000019F" w:csb1="00000000"/>
  </w:font>
  <w:font w:name="KoPubWorldBatang">
    <w:altName w:val="Cambria"/>
    <w:panose1 w:val="00000000000000000000"/>
    <w:charset w:val="00"/>
    <w:family w:val="roman"/>
    <w:notTrueType/>
    <w:pitch w:val="default"/>
  </w:font>
  <w:font w:name="Noto Sans Mono CJK K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ECD57" w14:textId="77777777" w:rsidR="00445C7C" w:rsidRDefault="00445C7C">
    <w:pPr>
      <w:pStyle w:val="af3"/>
      <w:jc w:val="center"/>
    </w:pPr>
    <w:r>
      <w:fldChar w:fldCharType="begin"/>
    </w:r>
    <w:r>
      <w:instrText xml:space="preserve"> PAGE </w:instrText>
    </w:r>
    <w:r>
      <w:fldChar w:fldCharType="separate"/>
    </w:r>
    <w:r>
      <w:t>117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98D31" w14:textId="77777777" w:rsidR="00445C7C" w:rsidRDefault="00445C7C">
    <w:pPr>
      <w:pStyle w:val="af3"/>
      <w:jc w:val="center"/>
    </w:pPr>
    <w:r>
      <w:fldChar w:fldCharType="begin"/>
    </w:r>
    <w:r>
      <w:instrText xml:space="preserve"> PAGE </w:instrText>
    </w:r>
    <w:r>
      <w:fldChar w:fldCharType="separate"/>
    </w:r>
    <w:r>
      <w:t>117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DE53D" w14:textId="77777777" w:rsidR="00445C7C" w:rsidRDefault="00445C7C">
    <w:pPr>
      <w:pStyle w:val="af3"/>
      <w:jc w:val="center"/>
    </w:pPr>
    <w:r>
      <w:fldChar w:fldCharType="begin"/>
    </w:r>
    <w:r>
      <w:instrText xml:space="preserve"> PAGE </w:instrText>
    </w:r>
    <w:r>
      <w:fldChar w:fldCharType="separate"/>
    </w:r>
    <w:r>
      <w:t>117</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3D621" w14:textId="77777777" w:rsidR="00445C7C" w:rsidRDefault="00445C7C">
    <w:pPr>
      <w:pStyle w:val="af3"/>
      <w:jc w:val="center"/>
    </w:pPr>
    <w:r>
      <w:fldChar w:fldCharType="begin"/>
    </w:r>
    <w:r>
      <w:instrText xml:space="preserve"> PAGE </w:instrText>
    </w:r>
    <w:r>
      <w:fldChar w:fldCharType="separate"/>
    </w:r>
    <w:r>
      <w:t>117</w:t>
    </w:r>
    <w: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PAGE </w:instrTex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CE32A" w14:textId="77777777" w:rsidR="0066113A" w:rsidRDefault="0066113A">
      <w:pPr>
        <w:spacing w:line="240" w:lineRule="auto"/>
      </w:pPr>
      <w:r>
        <w:separator/>
      </w:r>
    </w:p>
  </w:footnote>
  <w:footnote w:type="continuationSeparator" w:id="0">
    <w:p w14:paraId="2AF08119" w14:textId="77777777" w:rsidR="0066113A" w:rsidRDefault="0066113A">
      <w:pPr>
        <w:spacing w:line="240" w:lineRule="auto"/>
      </w:pPr>
      <w:r>
        <w:continuationSeparator/>
      </w:r>
    </w:p>
  </w:footnote>
  <w:footnote w:id="1">
    <w:p w14:paraId="49B884C6" w14:textId="77777777" w:rsidR="0057412C" w:rsidRDefault="0057412C">
      <w:pPr>
        <w:pStyle w:val="af0"/>
      </w:pPr>
      <w:r>
        <w:rPr>
          <w:rStyle w:val="ab"/>
        </w:rPr>
        <w:footnoteRef/>
      </w:r>
      <w:r>
        <w:t xml:space="preserve"> </w:t>
      </w:r>
      <w:r w:rsidRPr="0057412C">
        <w:t>반사실</w:t>
      </w:r>
      <w:r w:rsidRPr="0057412C">
        <w:t>(counterfactual)</w:t>
      </w:r>
      <w:r w:rsidRPr="0057412C">
        <w:t>은</w:t>
      </w:r>
      <w:r w:rsidRPr="0057412C">
        <w:t xml:space="preserve"> </w:t>
      </w:r>
      <w:r w:rsidRPr="0057412C">
        <w:t>실제로</w:t>
      </w:r>
      <w:r w:rsidRPr="0057412C">
        <w:t xml:space="preserve"> </w:t>
      </w:r>
      <w:r w:rsidRPr="0057412C">
        <w:t>일어난</w:t>
      </w:r>
      <w:r w:rsidRPr="0057412C">
        <w:t xml:space="preserve"> </w:t>
      </w:r>
      <w:r w:rsidRPr="0057412C">
        <w:t>사실에</w:t>
      </w:r>
      <w:r w:rsidRPr="0057412C">
        <w:t xml:space="preserve"> </w:t>
      </w:r>
      <w:r w:rsidRPr="0057412C">
        <w:t>반하는</w:t>
      </w:r>
      <w:r w:rsidRPr="0057412C">
        <w:t xml:space="preserve"> </w:t>
      </w:r>
      <w:r w:rsidRPr="0057412C">
        <w:t>가정적</w:t>
      </w:r>
      <w:r w:rsidRPr="0057412C">
        <w:t xml:space="preserve"> </w:t>
      </w:r>
      <w:r w:rsidRPr="0057412C">
        <w:t>상황</w:t>
      </w:r>
      <w:r w:rsidRPr="0057412C">
        <w:t xml:space="preserve">, </w:t>
      </w:r>
      <w:r w:rsidRPr="0057412C">
        <w:t>즉</w:t>
      </w:r>
      <w:r w:rsidRPr="0057412C">
        <w:t xml:space="preserve"> "</w:t>
      </w:r>
      <w:r w:rsidRPr="0057412C">
        <w:t>그</w:t>
      </w:r>
      <w:r w:rsidRPr="0057412C">
        <w:t xml:space="preserve"> </w:t>
      </w:r>
      <w:r w:rsidRPr="0057412C">
        <w:t>행동을</w:t>
      </w:r>
      <w:r w:rsidRPr="0057412C">
        <w:t xml:space="preserve"> </w:t>
      </w:r>
      <w:r w:rsidRPr="0057412C">
        <w:t>했더라면</w:t>
      </w:r>
      <w:r w:rsidRPr="0057412C">
        <w:t xml:space="preserve"> </w:t>
      </w:r>
      <w:r w:rsidRPr="0057412C">
        <w:t>결과가</w:t>
      </w:r>
      <w:r w:rsidRPr="0057412C">
        <w:t xml:space="preserve"> </w:t>
      </w:r>
      <w:r w:rsidRPr="0057412C">
        <w:t>어떠했을</w:t>
      </w:r>
      <w:r w:rsidRPr="0057412C">
        <w:t xml:space="preserve"> </w:t>
      </w:r>
      <w:r w:rsidRPr="0057412C">
        <w:t>것인가</w:t>
      </w:r>
      <w:r w:rsidRPr="0057412C">
        <w:t>"</w:t>
      </w:r>
      <w:r w:rsidRPr="0057412C">
        <w:t>를</w:t>
      </w:r>
      <w:r w:rsidRPr="0057412C">
        <w:t xml:space="preserve"> </w:t>
      </w:r>
      <w:r w:rsidRPr="0057412C">
        <w:t>뜻한다</w:t>
      </w:r>
      <w:r w:rsidRPr="0057412C">
        <w:t xml:space="preserve">. </w:t>
      </w:r>
      <w:r w:rsidRPr="0057412C">
        <w:t>본</w:t>
      </w:r>
      <w:r w:rsidRPr="0057412C">
        <w:t xml:space="preserve"> </w:t>
      </w:r>
      <w:r w:rsidRPr="0057412C">
        <w:t>논문에서</w:t>
      </w:r>
      <w:r w:rsidRPr="0057412C">
        <w:t xml:space="preserve"> </w:t>
      </w:r>
      <w:r w:rsidRPr="0057412C">
        <w:t>반사실적</w:t>
      </w:r>
      <w:r w:rsidRPr="0057412C">
        <w:t xml:space="preserve"> </w:t>
      </w:r>
      <w:r w:rsidRPr="0057412C">
        <w:t>재무상태는</w:t>
      </w:r>
      <w:r w:rsidRPr="0057412C">
        <w:t xml:space="preserve"> </w:t>
      </w:r>
      <w:r w:rsidRPr="0057412C">
        <w:t>특정</w:t>
      </w:r>
      <w:r w:rsidRPr="0057412C">
        <w:t xml:space="preserve"> </w:t>
      </w:r>
      <w:r w:rsidRPr="0057412C">
        <w:t>재무행동을</w:t>
      </w:r>
      <w:r w:rsidRPr="0057412C">
        <w:t xml:space="preserve"> </w:t>
      </w:r>
      <w:r w:rsidRPr="0057412C">
        <w:t>가정하고</w:t>
      </w:r>
      <w:r w:rsidRPr="0057412C">
        <w:t xml:space="preserve"> Simulator</w:t>
      </w:r>
      <w:r w:rsidRPr="0057412C">
        <w:t>로</w:t>
      </w:r>
      <w:r w:rsidRPr="0057412C">
        <w:t xml:space="preserve"> </w:t>
      </w:r>
      <w:r w:rsidRPr="0057412C">
        <w:t>산출한</w:t>
      </w:r>
      <w:r w:rsidRPr="0057412C">
        <w:t xml:space="preserve"> 1</w:t>
      </w:r>
      <w:r w:rsidRPr="0057412C">
        <w:t>년</w:t>
      </w:r>
      <w:r w:rsidRPr="0057412C">
        <w:t xml:space="preserve"> </w:t>
      </w:r>
      <w:r w:rsidRPr="0057412C">
        <w:t>후의</w:t>
      </w:r>
      <w:r w:rsidRPr="0057412C">
        <w:t xml:space="preserve"> </w:t>
      </w:r>
      <w:r w:rsidRPr="0057412C">
        <w:t>가상적</w:t>
      </w:r>
      <w:r w:rsidRPr="0057412C">
        <w:t xml:space="preserve"> </w:t>
      </w:r>
      <w:r w:rsidRPr="0057412C">
        <w:t>재무상태를</w:t>
      </w:r>
      <w:r w:rsidRPr="0057412C">
        <w:t xml:space="preserve"> </w:t>
      </w:r>
      <w:r w:rsidRPr="0057412C">
        <w:t>가리키며</w:t>
      </w:r>
      <w:r w:rsidRPr="0057412C">
        <w:t xml:space="preserve">, </w:t>
      </w:r>
      <w:r w:rsidRPr="0057412C">
        <w:t>실제로</w:t>
      </w:r>
      <w:r w:rsidRPr="0057412C">
        <w:t xml:space="preserve"> </w:t>
      </w:r>
      <w:r w:rsidRPr="0057412C">
        <w:t>관측된</w:t>
      </w:r>
      <w:r w:rsidRPr="0057412C">
        <w:t xml:space="preserve"> </w:t>
      </w:r>
      <w:r w:rsidRPr="0057412C">
        <w:t>상태가</w:t>
      </w:r>
      <w:r w:rsidRPr="0057412C">
        <w:t xml:space="preserve"> </w:t>
      </w:r>
      <w:r w:rsidRPr="0057412C">
        <w:t>아니다</w:t>
      </w:r>
      <w:r w:rsidRPr="0057412C">
        <w:t xml:space="preserve">. </w:t>
      </w:r>
      <w:r w:rsidRPr="0057412C">
        <w:t>이</w:t>
      </w:r>
      <w:r w:rsidRPr="0057412C">
        <w:t xml:space="preserve"> </w:t>
      </w:r>
      <w:r w:rsidRPr="0057412C">
        <w:t>용어는</w:t>
      </w:r>
      <w:r w:rsidRPr="0057412C">
        <w:t xml:space="preserve"> </w:t>
      </w:r>
      <w:r w:rsidRPr="0057412C">
        <w:t>기계학습</w:t>
      </w:r>
      <w:r w:rsidRPr="0057412C">
        <w:t xml:space="preserve"> </w:t>
      </w:r>
      <w:r w:rsidRPr="0057412C">
        <w:t>설명가능성</w:t>
      </w:r>
      <w:r w:rsidRPr="0057412C">
        <w:t xml:space="preserve"> </w:t>
      </w:r>
      <w:r w:rsidRPr="0057412C">
        <w:t>문헌의</w:t>
      </w:r>
      <w:r w:rsidRPr="0057412C">
        <w:t xml:space="preserve"> </w:t>
      </w:r>
      <w:r w:rsidRPr="0057412C">
        <w:t>반사실적</w:t>
      </w:r>
      <w:r w:rsidRPr="0057412C">
        <w:t xml:space="preserve"> </w:t>
      </w:r>
      <w:r w:rsidRPr="0057412C">
        <w:t>설명</w:t>
      </w:r>
      <w:r w:rsidRPr="0057412C">
        <w:t>(counterfactual explanation)</w:t>
      </w:r>
      <w:r w:rsidRPr="0057412C">
        <w:t>과</w:t>
      </w:r>
      <w:r w:rsidRPr="0057412C">
        <w:t xml:space="preserve"> </w:t>
      </w:r>
      <w:r w:rsidRPr="0057412C">
        <w:t>인과추론의</w:t>
      </w:r>
      <w:r w:rsidRPr="0057412C">
        <w:t xml:space="preserve"> </w:t>
      </w:r>
      <w:r w:rsidRPr="0057412C">
        <w:t>반사실</w:t>
      </w:r>
      <w:r w:rsidRPr="0057412C">
        <w:t xml:space="preserve"> </w:t>
      </w:r>
      <w:r w:rsidRPr="0057412C">
        <w:t>개념</w:t>
      </w:r>
      <w:r w:rsidRPr="0057412C">
        <w:t>(Pearl, 2009)</w:t>
      </w:r>
      <w:r w:rsidRPr="0057412C">
        <w:t>에서</w:t>
      </w:r>
      <w:r w:rsidRPr="0057412C">
        <w:t xml:space="preserve"> </w:t>
      </w:r>
      <w:r w:rsidRPr="0057412C">
        <w:t>통용되는</w:t>
      </w:r>
      <w:r w:rsidRPr="0057412C">
        <w:t xml:space="preserve"> </w:t>
      </w:r>
      <w:r w:rsidRPr="0057412C">
        <w:t>용례를</w:t>
      </w:r>
      <w:r w:rsidRPr="0057412C">
        <w:t xml:space="preserve"> </w:t>
      </w:r>
      <w:r w:rsidRPr="0057412C">
        <w:t>따른다</w:t>
      </w:r>
      <w:r w:rsidRPr="0057412C">
        <w:t>.</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978"/>
    <w:rsid w:val="0000149E"/>
    <w:rsid w:val="00002351"/>
    <w:rsid w:val="00002573"/>
    <w:rsid w:val="00004207"/>
    <w:rsid w:val="00011C04"/>
    <w:rsid w:val="000222EC"/>
    <w:rsid w:val="00023C44"/>
    <w:rsid w:val="000241BB"/>
    <w:rsid w:val="00024B6D"/>
    <w:rsid w:val="00033DCB"/>
    <w:rsid w:val="0005460A"/>
    <w:rsid w:val="00070442"/>
    <w:rsid w:val="00071D5E"/>
    <w:rsid w:val="00072169"/>
    <w:rsid w:val="00074D38"/>
    <w:rsid w:val="00074F58"/>
    <w:rsid w:val="000A0D9D"/>
    <w:rsid w:val="000A5FE4"/>
    <w:rsid w:val="000A69BC"/>
    <w:rsid w:val="000A7896"/>
    <w:rsid w:val="000B0219"/>
    <w:rsid w:val="000C72B2"/>
    <w:rsid w:val="000D0B2B"/>
    <w:rsid w:val="000D3794"/>
    <w:rsid w:val="000E58C0"/>
    <w:rsid w:val="001016EC"/>
    <w:rsid w:val="00105064"/>
    <w:rsid w:val="00111470"/>
    <w:rsid w:val="00112E42"/>
    <w:rsid w:val="00112F8B"/>
    <w:rsid w:val="0011611C"/>
    <w:rsid w:val="00130962"/>
    <w:rsid w:val="00135FDE"/>
    <w:rsid w:val="0013647E"/>
    <w:rsid w:val="00152CF5"/>
    <w:rsid w:val="00153AD0"/>
    <w:rsid w:val="001546A9"/>
    <w:rsid w:val="00155E6B"/>
    <w:rsid w:val="00157E60"/>
    <w:rsid w:val="00164CA8"/>
    <w:rsid w:val="00182D65"/>
    <w:rsid w:val="00187302"/>
    <w:rsid w:val="0019110E"/>
    <w:rsid w:val="00191A21"/>
    <w:rsid w:val="00193564"/>
    <w:rsid w:val="0019356A"/>
    <w:rsid w:val="001A0C4D"/>
    <w:rsid w:val="001A29AD"/>
    <w:rsid w:val="001B17CD"/>
    <w:rsid w:val="001B2040"/>
    <w:rsid w:val="001B72C0"/>
    <w:rsid w:val="001C3087"/>
    <w:rsid w:val="001C3DA1"/>
    <w:rsid w:val="001C4895"/>
    <w:rsid w:val="001C797D"/>
    <w:rsid w:val="001E662A"/>
    <w:rsid w:val="001E66B0"/>
    <w:rsid w:val="001F0CC8"/>
    <w:rsid w:val="001F14FF"/>
    <w:rsid w:val="001F1682"/>
    <w:rsid w:val="001F2F40"/>
    <w:rsid w:val="001F7325"/>
    <w:rsid w:val="00210B48"/>
    <w:rsid w:val="002129B6"/>
    <w:rsid w:val="00214E66"/>
    <w:rsid w:val="00220B10"/>
    <w:rsid w:val="00221480"/>
    <w:rsid w:val="0022429E"/>
    <w:rsid w:val="002313CB"/>
    <w:rsid w:val="00242C3C"/>
    <w:rsid w:val="00252155"/>
    <w:rsid w:val="00253F5F"/>
    <w:rsid w:val="00254152"/>
    <w:rsid w:val="0025748C"/>
    <w:rsid w:val="00261AA3"/>
    <w:rsid w:val="00273FA3"/>
    <w:rsid w:val="00276B42"/>
    <w:rsid w:val="00283A41"/>
    <w:rsid w:val="002955EF"/>
    <w:rsid w:val="002A0D07"/>
    <w:rsid w:val="002A0D09"/>
    <w:rsid w:val="002A3C2A"/>
    <w:rsid w:val="002A65B5"/>
    <w:rsid w:val="002C0712"/>
    <w:rsid w:val="002C3458"/>
    <w:rsid w:val="002C5481"/>
    <w:rsid w:val="002D78C7"/>
    <w:rsid w:val="002E4B07"/>
    <w:rsid w:val="002E5705"/>
    <w:rsid w:val="002E58C7"/>
    <w:rsid w:val="002E6867"/>
    <w:rsid w:val="003278A3"/>
    <w:rsid w:val="00343462"/>
    <w:rsid w:val="00343FE0"/>
    <w:rsid w:val="00355141"/>
    <w:rsid w:val="0036432C"/>
    <w:rsid w:val="00364872"/>
    <w:rsid w:val="0036586C"/>
    <w:rsid w:val="00371850"/>
    <w:rsid w:val="00391823"/>
    <w:rsid w:val="00394D20"/>
    <w:rsid w:val="00396E33"/>
    <w:rsid w:val="003A0E2B"/>
    <w:rsid w:val="003A0E49"/>
    <w:rsid w:val="003A1374"/>
    <w:rsid w:val="003A4ABA"/>
    <w:rsid w:val="003B21D9"/>
    <w:rsid w:val="003B344D"/>
    <w:rsid w:val="003D3AE0"/>
    <w:rsid w:val="003D5320"/>
    <w:rsid w:val="003D5F68"/>
    <w:rsid w:val="003D7D3E"/>
    <w:rsid w:val="003E1132"/>
    <w:rsid w:val="003E6E78"/>
    <w:rsid w:val="00400502"/>
    <w:rsid w:val="00401BDF"/>
    <w:rsid w:val="0040408A"/>
    <w:rsid w:val="00404EA7"/>
    <w:rsid w:val="004124AE"/>
    <w:rsid w:val="00431587"/>
    <w:rsid w:val="0043304E"/>
    <w:rsid w:val="00441AA1"/>
    <w:rsid w:val="00441E8E"/>
    <w:rsid w:val="0044527D"/>
    <w:rsid w:val="00445C7C"/>
    <w:rsid w:val="00466FDB"/>
    <w:rsid w:val="004738EB"/>
    <w:rsid w:val="00476D27"/>
    <w:rsid w:val="00481641"/>
    <w:rsid w:val="004841D5"/>
    <w:rsid w:val="004876B2"/>
    <w:rsid w:val="00491A63"/>
    <w:rsid w:val="00496010"/>
    <w:rsid w:val="004B71CE"/>
    <w:rsid w:val="004C132E"/>
    <w:rsid w:val="004C4CC3"/>
    <w:rsid w:val="004D0855"/>
    <w:rsid w:val="004D623D"/>
    <w:rsid w:val="004E242A"/>
    <w:rsid w:val="004F24B6"/>
    <w:rsid w:val="00500CA2"/>
    <w:rsid w:val="005030FD"/>
    <w:rsid w:val="00515AE6"/>
    <w:rsid w:val="0052098C"/>
    <w:rsid w:val="005246D7"/>
    <w:rsid w:val="00531BCD"/>
    <w:rsid w:val="00535A45"/>
    <w:rsid w:val="00537A8E"/>
    <w:rsid w:val="00537BCB"/>
    <w:rsid w:val="00541874"/>
    <w:rsid w:val="00541CD4"/>
    <w:rsid w:val="0054448E"/>
    <w:rsid w:val="005512A4"/>
    <w:rsid w:val="00562603"/>
    <w:rsid w:val="00562923"/>
    <w:rsid w:val="0056323F"/>
    <w:rsid w:val="00563B09"/>
    <w:rsid w:val="005669B9"/>
    <w:rsid w:val="00573014"/>
    <w:rsid w:val="0057412C"/>
    <w:rsid w:val="00574183"/>
    <w:rsid w:val="00576F05"/>
    <w:rsid w:val="00582FDD"/>
    <w:rsid w:val="005903E1"/>
    <w:rsid w:val="00593AC8"/>
    <w:rsid w:val="005A3F62"/>
    <w:rsid w:val="005A4536"/>
    <w:rsid w:val="005A4DEE"/>
    <w:rsid w:val="005A5373"/>
    <w:rsid w:val="005A6274"/>
    <w:rsid w:val="005A6864"/>
    <w:rsid w:val="005B1B41"/>
    <w:rsid w:val="005B1F9B"/>
    <w:rsid w:val="005C744E"/>
    <w:rsid w:val="005E02E0"/>
    <w:rsid w:val="005E4F54"/>
    <w:rsid w:val="006045C4"/>
    <w:rsid w:val="00604B35"/>
    <w:rsid w:val="00606BE4"/>
    <w:rsid w:val="0061294C"/>
    <w:rsid w:val="00630195"/>
    <w:rsid w:val="00634DE1"/>
    <w:rsid w:val="006370C3"/>
    <w:rsid w:val="006446ED"/>
    <w:rsid w:val="00657E64"/>
    <w:rsid w:val="00661100"/>
    <w:rsid w:val="0066113A"/>
    <w:rsid w:val="006626A2"/>
    <w:rsid w:val="00683008"/>
    <w:rsid w:val="00684377"/>
    <w:rsid w:val="00686862"/>
    <w:rsid w:val="00686DA6"/>
    <w:rsid w:val="006911E2"/>
    <w:rsid w:val="00692F3B"/>
    <w:rsid w:val="006B0878"/>
    <w:rsid w:val="006B1E33"/>
    <w:rsid w:val="006B410F"/>
    <w:rsid w:val="006B4A17"/>
    <w:rsid w:val="006B6EBA"/>
    <w:rsid w:val="006C04F2"/>
    <w:rsid w:val="006D68A7"/>
    <w:rsid w:val="006E2296"/>
    <w:rsid w:val="006E7BBF"/>
    <w:rsid w:val="00707C49"/>
    <w:rsid w:val="00711224"/>
    <w:rsid w:val="00713801"/>
    <w:rsid w:val="00715513"/>
    <w:rsid w:val="00721FBD"/>
    <w:rsid w:val="007269D6"/>
    <w:rsid w:val="007276A2"/>
    <w:rsid w:val="00732B05"/>
    <w:rsid w:val="00732EB3"/>
    <w:rsid w:val="0074598A"/>
    <w:rsid w:val="00756E77"/>
    <w:rsid w:val="00760B1D"/>
    <w:rsid w:val="007614E0"/>
    <w:rsid w:val="007732A5"/>
    <w:rsid w:val="00787312"/>
    <w:rsid w:val="0079678B"/>
    <w:rsid w:val="007A40C8"/>
    <w:rsid w:val="007A7961"/>
    <w:rsid w:val="007B31AE"/>
    <w:rsid w:val="007C6E3B"/>
    <w:rsid w:val="007D4239"/>
    <w:rsid w:val="007E7F53"/>
    <w:rsid w:val="007F0355"/>
    <w:rsid w:val="007F207D"/>
    <w:rsid w:val="00800541"/>
    <w:rsid w:val="0080703B"/>
    <w:rsid w:val="008115B5"/>
    <w:rsid w:val="00813B8E"/>
    <w:rsid w:val="00832C8C"/>
    <w:rsid w:val="00833BE7"/>
    <w:rsid w:val="00846A23"/>
    <w:rsid w:val="00846E45"/>
    <w:rsid w:val="00851DDA"/>
    <w:rsid w:val="00851FA2"/>
    <w:rsid w:val="00854759"/>
    <w:rsid w:val="00862DEE"/>
    <w:rsid w:val="00866A51"/>
    <w:rsid w:val="008719F6"/>
    <w:rsid w:val="0087575C"/>
    <w:rsid w:val="00881C7F"/>
    <w:rsid w:val="008862FA"/>
    <w:rsid w:val="00887407"/>
    <w:rsid w:val="008917E7"/>
    <w:rsid w:val="0089638E"/>
    <w:rsid w:val="008A2826"/>
    <w:rsid w:val="008A3D2B"/>
    <w:rsid w:val="008A4865"/>
    <w:rsid w:val="008A49F1"/>
    <w:rsid w:val="008B4901"/>
    <w:rsid w:val="008B6C57"/>
    <w:rsid w:val="008C2588"/>
    <w:rsid w:val="008C2BC3"/>
    <w:rsid w:val="008C4E5A"/>
    <w:rsid w:val="008C71A8"/>
    <w:rsid w:val="008D50F6"/>
    <w:rsid w:val="008E2F66"/>
    <w:rsid w:val="008F0073"/>
    <w:rsid w:val="008F5198"/>
    <w:rsid w:val="008F7768"/>
    <w:rsid w:val="00903A25"/>
    <w:rsid w:val="00905DAA"/>
    <w:rsid w:val="00910101"/>
    <w:rsid w:val="00922A02"/>
    <w:rsid w:val="00926119"/>
    <w:rsid w:val="00937E61"/>
    <w:rsid w:val="00945112"/>
    <w:rsid w:val="0094655B"/>
    <w:rsid w:val="009469A0"/>
    <w:rsid w:val="0095449C"/>
    <w:rsid w:val="009638D5"/>
    <w:rsid w:val="00963A5F"/>
    <w:rsid w:val="00970AC9"/>
    <w:rsid w:val="0097310F"/>
    <w:rsid w:val="009774E4"/>
    <w:rsid w:val="009817A6"/>
    <w:rsid w:val="009A738F"/>
    <w:rsid w:val="009B2038"/>
    <w:rsid w:val="009C0027"/>
    <w:rsid w:val="009C100A"/>
    <w:rsid w:val="009C1B0D"/>
    <w:rsid w:val="009C4D75"/>
    <w:rsid w:val="009D457A"/>
    <w:rsid w:val="00A1132A"/>
    <w:rsid w:val="00A16B4B"/>
    <w:rsid w:val="00A20065"/>
    <w:rsid w:val="00A22CD9"/>
    <w:rsid w:val="00A25CD7"/>
    <w:rsid w:val="00A34AFA"/>
    <w:rsid w:val="00A47B7B"/>
    <w:rsid w:val="00A5041C"/>
    <w:rsid w:val="00A52151"/>
    <w:rsid w:val="00A53A11"/>
    <w:rsid w:val="00A550C3"/>
    <w:rsid w:val="00A6433C"/>
    <w:rsid w:val="00A65A8B"/>
    <w:rsid w:val="00A740DF"/>
    <w:rsid w:val="00A75E0C"/>
    <w:rsid w:val="00A77CE7"/>
    <w:rsid w:val="00A81A89"/>
    <w:rsid w:val="00A911A2"/>
    <w:rsid w:val="00A9391B"/>
    <w:rsid w:val="00AA252F"/>
    <w:rsid w:val="00AA3FCC"/>
    <w:rsid w:val="00AA7543"/>
    <w:rsid w:val="00AB3390"/>
    <w:rsid w:val="00AB7336"/>
    <w:rsid w:val="00AC0D92"/>
    <w:rsid w:val="00AC45C1"/>
    <w:rsid w:val="00AD27D6"/>
    <w:rsid w:val="00AD77F4"/>
    <w:rsid w:val="00AD7F40"/>
    <w:rsid w:val="00B03E59"/>
    <w:rsid w:val="00B06A7A"/>
    <w:rsid w:val="00B10CB9"/>
    <w:rsid w:val="00B120C4"/>
    <w:rsid w:val="00B12DBA"/>
    <w:rsid w:val="00B152A8"/>
    <w:rsid w:val="00B17B08"/>
    <w:rsid w:val="00B25D92"/>
    <w:rsid w:val="00B33F6F"/>
    <w:rsid w:val="00B34A0C"/>
    <w:rsid w:val="00B37E8F"/>
    <w:rsid w:val="00B459DB"/>
    <w:rsid w:val="00B467EB"/>
    <w:rsid w:val="00B4693F"/>
    <w:rsid w:val="00B51BA9"/>
    <w:rsid w:val="00B7626A"/>
    <w:rsid w:val="00B84BE1"/>
    <w:rsid w:val="00B91F6C"/>
    <w:rsid w:val="00B972B3"/>
    <w:rsid w:val="00BA305A"/>
    <w:rsid w:val="00BA30C3"/>
    <w:rsid w:val="00BA6DB4"/>
    <w:rsid w:val="00BB2535"/>
    <w:rsid w:val="00BB36C9"/>
    <w:rsid w:val="00BB58B5"/>
    <w:rsid w:val="00BC2E37"/>
    <w:rsid w:val="00BC308B"/>
    <w:rsid w:val="00BD2C4A"/>
    <w:rsid w:val="00BE5096"/>
    <w:rsid w:val="00BE7EA5"/>
    <w:rsid w:val="00BF1A18"/>
    <w:rsid w:val="00BF3943"/>
    <w:rsid w:val="00BF5B4D"/>
    <w:rsid w:val="00C03461"/>
    <w:rsid w:val="00C03486"/>
    <w:rsid w:val="00C075CF"/>
    <w:rsid w:val="00C1117F"/>
    <w:rsid w:val="00C172B1"/>
    <w:rsid w:val="00C209B3"/>
    <w:rsid w:val="00C22BB5"/>
    <w:rsid w:val="00C33B8D"/>
    <w:rsid w:val="00C368DF"/>
    <w:rsid w:val="00C4011A"/>
    <w:rsid w:val="00C40DEF"/>
    <w:rsid w:val="00C40F6B"/>
    <w:rsid w:val="00C41204"/>
    <w:rsid w:val="00C439CE"/>
    <w:rsid w:val="00C5784C"/>
    <w:rsid w:val="00C61F30"/>
    <w:rsid w:val="00C64FD4"/>
    <w:rsid w:val="00C83A01"/>
    <w:rsid w:val="00C86978"/>
    <w:rsid w:val="00CA149A"/>
    <w:rsid w:val="00CA1CEF"/>
    <w:rsid w:val="00CA3E1F"/>
    <w:rsid w:val="00CA7DDE"/>
    <w:rsid w:val="00CB5E1A"/>
    <w:rsid w:val="00CD1A0B"/>
    <w:rsid w:val="00CD471D"/>
    <w:rsid w:val="00CD490D"/>
    <w:rsid w:val="00CD7818"/>
    <w:rsid w:val="00CF451D"/>
    <w:rsid w:val="00CF75CB"/>
    <w:rsid w:val="00D0412D"/>
    <w:rsid w:val="00D053DB"/>
    <w:rsid w:val="00D13CDB"/>
    <w:rsid w:val="00D273A9"/>
    <w:rsid w:val="00D30FC9"/>
    <w:rsid w:val="00D331D4"/>
    <w:rsid w:val="00D40F1A"/>
    <w:rsid w:val="00D446A0"/>
    <w:rsid w:val="00D507C2"/>
    <w:rsid w:val="00D56CFD"/>
    <w:rsid w:val="00D57FAE"/>
    <w:rsid w:val="00D622A9"/>
    <w:rsid w:val="00D64714"/>
    <w:rsid w:val="00D764F4"/>
    <w:rsid w:val="00D81F98"/>
    <w:rsid w:val="00D837EE"/>
    <w:rsid w:val="00D9122A"/>
    <w:rsid w:val="00D9318B"/>
    <w:rsid w:val="00D93871"/>
    <w:rsid w:val="00D959E5"/>
    <w:rsid w:val="00D95AB8"/>
    <w:rsid w:val="00DB36C0"/>
    <w:rsid w:val="00DB46AE"/>
    <w:rsid w:val="00DB50D7"/>
    <w:rsid w:val="00DC232F"/>
    <w:rsid w:val="00DC2B52"/>
    <w:rsid w:val="00DC6CF2"/>
    <w:rsid w:val="00DD0EF4"/>
    <w:rsid w:val="00DD1DB2"/>
    <w:rsid w:val="00DD1EAF"/>
    <w:rsid w:val="00DD1F32"/>
    <w:rsid w:val="00DD3AA4"/>
    <w:rsid w:val="00DD423E"/>
    <w:rsid w:val="00DD5E27"/>
    <w:rsid w:val="00DE13A0"/>
    <w:rsid w:val="00DE64CF"/>
    <w:rsid w:val="00DF56BD"/>
    <w:rsid w:val="00E023CF"/>
    <w:rsid w:val="00E05A12"/>
    <w:rsid w:val="00E13F35"/>
    <w:rsid w:val="00E16C79"/>
    <w:rsid w:val="00E2732C"/>
    <w:rsid w:val="00E27AAB"/>
    <w:rsid w:val="00E31B17"/>
    <w:rsid w:val="00E41677"/>
    <w:rsid w:val="00E43491"/>
    <w:rsid w:val="00E555B5"/>
    <w:rsid w:val="00E56F61"/>
    <w:rsid w:val="00E63257"/>
    <w:rsid w:val="00E67003"/>
    <w:rsid w:val="00E70925"/>
    <w:rsid w:val="00E72F29"/>
    <w:rsid w:val="00E81894"/>
    <w:rsid w:val="00E84165"/>
    <w:rsid w:val="00E85A6B"/>
    <w:rsid w:val="00E95D5C"/>
    <w:rsid w:val="00E95EA1"/>
    <w:rsid w:val="00EA69B1"/>
    <w:rsid w:val="00EB7B88"/>
    <w:rsid w:val="00EC7A7B"/>
    <w:rsid w:val="00ED2C98"/>
    <w:rsid w:val="00EE1B09"/>
    <w:rsid w:val="00EE3B09"/>
    <w:rsid w:val="00EE7EAC"/>
    <w:rsid w:val="00EF4F0D"/>
    <w:rsid w:val="00F01536"/>
    <w:rsid w:val="00F04673"/>
    <w:rsid w:val="00F05937"/>
    <w:rsid w:val="00F126B3"/>
    <w:rsid w:val="00F16776"/>
    <w:rsid w:val="00F2402A"/>
    <w:rsid w:val="00F265D8"/>
    <w:rsid w:val="00F37304"/>
    <w:rsid w:val="00F558B1"/>
    <w:rsid w:val="00F5648E"/>
    <w:rsid w:val="00F56E18"/>
    <w:rsid w:val="00F56EBF"/>
    <w:rsid w:val="00F610AA"/>
    <w:rsid w:val="00F66514"/>
    <w:rsid w:val="00F70E23"/>
    <w:rsid w:val="00F72102"/>
    <w:rsid w:val="00F72E50"/>
    <w:rsid w:val="00FA6E84"/>
    <w:rsid w:val="00FB0F3B"/>
    <w:rsid w:val="00FB31BF"/>
    <w:rsid w:val="00FD0539"/>
    <w:rsid w:val="00FD1C6B"/>
    <w:rsid w:val="00FD399A"/>
    <w:rsid w:val="00FD45C7"/>
    <w:rsid w:val="00FE0407"/>
    <w:rsid w:val="00FE2E32"/>
    <w:rsid w:val="00FE5A86"/>
    <w:rsid w:val="00FF0212"/>
    <w:rsid w:val="00FF4194"/>
    <w:rsid w:val="00FF4A7E"/>
    <w:rsid w:val="00FF5B36"/>
    <w:rsid w:val="00FF6B4C"/>
    <w:rsid w:val="00FF7A9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F71AB1"/>
  <w15:chartTrackingRefBased/>
  <w15:docId w15:val="{DBC9A438-2C9E-4A78-998E-833F2D72C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45C7C"/>
    <w:pPr>
      <w:suppressAutoHyphens/>
      <w:spacing w:after="80" w:line="384" w:lineRule="auto" w:before="0"/>
      <w:ind w:firstLine="198"/>
      <w:jc w:val="both"/>
    </w:pPr>
    <w:rPr>
      <w:rFonts w:ascii="NanumMyeongjo" w:eastAsia="NanumMyeongjo" w:hAnsi="NanumMyeongjo" w:cs="바탕"/>
      <w:color w:val="000000"/>
      <w:kern w:val="0"/>
      <w:sz w:val="20"/>
      <w:szCs w:val="22"/>
      <w:lang w:bidi="hi-IN"/>
      <w14:ligatures w14:val="none"/>
    </w:rPr>
  </w:style>
  <w:style w:type="paragraph" w:styleId="1">
    <w:name w:val="heading 1"/>
    <w:basedOn w:val="a"/>
    <w:next w:val="a"/>
    <w:link w:val="1Char"/>
    <w:uiPriority w:val="9"/>
    <w:qFormat/>
    <w:rsid w:val="00C86978"/>
    <w:pPr>
      <w:keepNext/>
      <w:keepLines/>
      <w:pageBreakBefore/>
      <w:widowControl w:val="0"/>
      <w:suppressAutoHyphens w:val="0"/>
      <w:wordWrap w:val="0"/>
      <w:autoSpaceDE w:val="0"/>
      <w:autoSpaceDN w:val="0"/>
      <w:spacing w:before="0" w:after="140" w:line="300" w:lineRule="auto"/>
      <w:ind w:firstLine="0"/>
      <w:jc w:val="left"/>
      <w:outlineLvl w:val="0"/>
    </w:pPr>
    <w:rPr>
      <w:rFonts w:asciiTheme="majorHAnsi" w:eastAsiaTheme="majorEastAsia" w:hAnsiTheme="majorHAnsi" w:cstheme="majorBidi" w:ascii="NanumMyeongjo" w:hAnsi="NanumMyeongjo" w:eastAsia="NanumMyeongjo"/>
      <w:b/>
      <w:color w:val="000000"/>
      <w:kern w:val="2"/>
      <w:sz w:val="32"/>
      <w:szCs w:val="32"/>
      <w:lang w:bidi="ar-SA"/>
      <w14:ligatures w14:val="standardContextual"/>
    </w:rPr>
  </w:style>
  <w:style w:type="paragraph" w:styleId="2">
    <w:name w:val="heading 2"/>
    <w:basedOn w:val="a"/>
    <w:next w:val="a"/>
    <w:link w:val="2Char"/>
    <w:uiPriority w:val="9"/>
    <w:unhideWhenUsed/>
    <w:qFormat/>
    <w:rsid w:val="00C86978"/>
    <w:pPr>
      <w:keepNext/>
      <w:keepLines/>
      <w:widowControl w:val="0"/>
      <w:suppressAutoHyphens w:val="0"/>
      <w:wordWrap w:val="0"/>
      <w:autoSpaceDE w:val="0"/>
      <w:autoSpaceDN w:val="0"/>
      <w:spacing w:before="200" w:after="140" w:line="300" w:lineRule="auto"/>
      <w:ind w:firstLine="0"/>
      <w:jc w:val="left"/>
      <w:outlineLvl w:val="1"/>
    </w:pPr>
    <w:rPr>
      <w:rFonts w:asciiTheme="majorHAnsi" w:eastAsiaTheme="majorEastAsia" w:hAnsiTheme="majorHAnsi" w:cstheme="majorBidi" w:ascii="NanumMyeongjo" w:hAnsi="NanumMyeongjo" w:eastAsia="NanumMyeongjo"/>
      <w:b/>
      <w:color w:val="000000"/>
      <w:kern w:val="2"/>
      <w:sz w:val="25"/>
      <w:szCs w:val="28"/>
      <w:lang w:bidi="ar-SA"/>
      <w14:ligatures w14:val="standardContextual"/>
    </w:rPr>
  </w:style>
  <w:style w:type="paragraph" w:styleId="3">
    <w:name w:val="heading 3"/>
    <w:basedOn w:val="a"/>
    <w:next w:val="a"/>
    <w:link w:val="3Char"/>
    <w:uiPriority w:val="9"/>
    <w:unhideWhenUsed/>
    <w:qFormat/>
    <w:rsid w:val="00C86978"/>
    <w:pPr>
      <w:keepNext/>
      <w:keepLines/>
      <w:widowControl w:val="0"/>
      <w:suppressAutoHyphens w:val="0"/>
      <w:wordWrap w:val="0"/>
      <w:autoSpaceDE w:val="0"/>
      <w:autoSpaceDN w:val="0"/>
      <w:spacing w:before="200" w:after="140" w:line="300" w:lineRule="auto"/>
      <w:ind w:firstLine="0"/>
      <w:jc w:val="left"/>
      <w:outlineLvl w:val="2"/>
    </w:pPr>
    <w:rPr>
      <w:rFonts w:asciiTheme="majorHAnsi" w:eastAsiaTheme="majorEastAsia" w:hAnsiTheme="majorHAnsi" w:cstheme="majorBidi" w:ascii="NanumMyeongjo" w:hAnsi="NanumMyeongjo" w:eastAsia="NanumMyeongjo"/>
      <w:b/>
      <w:color w:val="000000"/>
      <w:kern w:val="2"/>
      <w:sz w:val="22"/>
      <w:szCs w:val="24"/>
      <w:lang w:bidi="ar-SA"/>
      <w14:ligatures w14:val="standardContextual"/>
    </w:rPr>
  </w:style>
  <w:style w:type="paragraph" w:styleId="4">
    <w:name w:val="heading 4"/>
    <w:basedOn w:val="a"/>
    <w:next w:val="a"/>
    <w:link w:val="4Char"/>
    <w:uiPriority w:val="9"/>
    <w:semiHidden/>
    <w:unhideWhenUsed/>
    <w:qFormat/>
    <w:rsid w:val="00C86978"/>
    <w:pPr>
      <w:keepNext/>
      <w:keepLines/>
      <w:widowControl w:val="0"/>
      <w:suppressAutoHyphens w:val="0"/>
      <w:wordWrap w:val="0"/>
      <w:autoSpaceDE w:val="0"/>
      <w:autoSpaceDN w:val="0"/>
      <w:spacing w:before="80" w:after="40" w:line="240" w:lineRule="auto"/>
      <w:jc w:val="left"/>
      <w:outlineLvl w:val="3"/>
    </w:pPr>
    <w:rPr>
      <w:rFonts w:asciiTheme="majorHAnsi" w:eastAsiaTheme="majorEastAsia" w:hAnsiTheme="majorHAnsi" w:cstheme="majorBidi"/>
      <w:color w:val="000000" w:themeColor="text1"/>
      <w:kern w:val="2"/>
      <w:szCs w:val="24"/>
      <w:lang w:bidi="ar-SA"/>
      <w14:ligatures w14:val="standardContextual"/>
    </w:rPr>
  </w:style>
  <w:style w:type="paragraph" w:styleId="5">
    <w:name w:val="heading 5"/>
    <w:basedOn w:val="a"/>
    <w:next w:val="a"/>
    <w:link w:val="5Char"/>
    <w:uiPriority w:val="9"/>
    <w:semiHidden/>
    <w:unhideWhenUsed/>
    <w:qFormat/>
    <w:rsid w:val="00C86978"/>
    <w:pPr>
      <w:keepNext/>
      <w:keepLines/>
      <w:widowControl w:val="0"/>
      <w:suppressAutoHyphens w:val="0"/>
      <w:wordWrap w:val="0"/>
      <w:autoSpaceDE w:val="0"/>
      <w:autoSpaceDN w:val="0"/>
      <w:spacing w:before="80" w:after="40" w:line="240" w:lineRule="auto"/>
      <w:ind w:leftChars="100" w:left="100"/>
      <w:jc w:val="left"/>
      <w:outlineLvl w:val="4"/>
    </w:pPr>
    <w:rPr>
      <w:rFonts w:asciiTheme="majorHAnsi" w:eastAsiaTheme="majorEastAsia" w:hAnsiTheme="majorHAnsi" w:cstheme="majorBidi"/>
      <w:color w:val="000000" w:themeColor="text1"/>
      <w:kern w:val="2"/>
      <w:szCs w:val="24"/>
      <w:lang w:bidi="ar-SA"/>
      <w14:ligatures w14:val="standardContextual"/>
    </w:rPr>
  </w:style>
  <w:style w:type="paragraph" w:styleId="6">
    <w:name w:val="heading 6"/>
    <w:basedOn w:val="a"/>
    <w:next w:val="a"/>
    <w:link w:val="6Char"/>
    <w:uiPriority w:val="9"/>
    <w:semiHidden/>
    <w:unhideWhenUsed/>
    <w:qFormat/>
    <w:rsid w:val="00C86978"/>
    <w:pPr>
      <w:keepNext/>
      <w:keepLines/>
      <w:widowControl w:val="0"/>
      <w:suppressAutoHyphens w:val="0"/>
      <w:wordWrap w:val="0"/>
      <w:autoSpaceDE w:val="0"/>
      <w:autoSpaceDN w:val="0"/>
      <w:spacing w:before="80" w:after="40" w:line="240" w:lineRule="auto"/>
      <w:ind w:leftChars="200" w:left="200"/>
      <w:jc w:val="left"/>
      <w:outlineLvl w:val="5"/>
    </w:pPr>
    <w:rPr>
      <w:rFonts w:asciiTheme="majorHAnsi" w:eastAsiaTheme="majorEastAsia" w:hAnsiTheme="majorHAnsi" w:cstheme="majorBidi"/>
      <w:color w:val="000000" w:themeColor="text1"/>
      <w:kern w:val="2"/>
      <w:szCs w:val="24"/>
      <w:lang w:bidi="ar-SA"/>
      <w14:ligatures w14:val="standardContextual"/>
    </w:rPr>
  </w:style>
  <w:style w:type="paragraph" w:styleId="7">
    <w:name w:val="heading 7"/>
    <w:basedOn w:val="a"/>
    <w:next w:val="a"/>
    <w:link w:val="7Char"/>
    <w:uiPriority w:val="9"/>
    <w:semiHidden/>
    <w:unhideWhenUsed/>
    <w:qFormat/>
    <w:rsid w:val="00C86978"/>
    <w:pPr>
      <w:keepNext/>
      <w:keepLines/>
      <w:widowControl w:val="0"/>
      <w:suppressAutoHyphens w:val="0"/>
      <w:wordWrap w:val="0"/>
      <w:autoSpaceDE w:val="0"/>
      <w:autoSpaceDN w:val="0"/>
      <w:spacing w:before="80" w:after="40" w:line="240" w:lineRule="auto"/>
      <w:ind w:leftChars="300" w:left="300"/>
      <w:jc w:val="left"/>
      <w:outlineLvl w:val="6"/>
    </w:pPr>
    <w:rPr>
      <w:rFonts w:asciiTheme="majorHAnsi" w:eastAsiaTheme="majorEastAsia" w:hAnsiTheme="majorHAnsi" w:cstheme="majorBidi"/>
      <w:color w:val="000000" w:themeColor="text1"/>
      <w:kern w:val="2"/>
      <w:szCs w:val="24"/>
      <w:lang w:bidi="ar-SA"/>
      <w14:ligatures w14:val="standardContextual"/>
    </w:rPr>
  </w:style>
  <w:style w:type="paragraph" w:styleId="8">
    <w:name w:val="heading 8"/>
    <w:basedOn w:val="a"/>
    <w:next w:val="a"/>
    <w:link w:val="8Char"/>
    <w:uiPriority w:val="9"/>
    <w:semiHidden/>
    <w:unhideWhenUsed/>
    <w:qFormat/>
    <w:rsid w:val="00C86978"/>
    <w:pPr>
      <w:keepNext/>
      <w:keepLines/>
      <w:widowControl w:val="0"/>
      <w:suppressAutoHyphens w:val="0"/>
      <w:wordWrap w:val="0"/>
      <w:autoSpaceDE w:val="0"/>
      <w:autoSpaceDN w:val="0"/>
      <w:spacing w:before="80" w:after="40" w:line="240" w:lineRule="auto"/>
      <w:ind w:leftChars="400" w:left="400"/>
      <w:jc w:val="left"/>
      <w:outlineLvl w:val="7"/>
    </w:pPr>
    <w:rPr>
      <w:rFonts w:asciiTheme="majorHAnsi" w:eastAsiaTheme="majorEastAsia" w:hAnsiTheme="majorHAnsi" w:cstheme="majorBidi"/>
      <w:color w:val="000000" w:themeColor="text1"/>
      <w:kern w:val="2"/>
      <w:szCs w:val="24"/>
      <w:lang w:bidi="ar-SA"/>
      <w14:ligatures w14:val="standardContextual"/>
    </w:rPr>
  </w:style>
  <w:style w:type="paragraph" w:styleId="9">
    <w:name w:val="heading 9"/>
    <w:basedOn w:val="a"/>
    <w:next w:val="a"/>
    <w:link w:val="9Char"/>
    <w:uiPriority w:val="9"/>
    <w:semiHidden/>
    <w:unhideWhenUsed/>
    <w:qFormat/>
    <w:rsid w:val="00C86978"/>
    <w:pPr>
      <w:keepNext/>
      <w:keepLines/>
      <w:widowControl w:val="0"/>
      <w:suppressAutoHyphens w:val="0"/>
      <w:wordWrap w:val="0"/>
      <w:autoSpaceDE w:val="0"/>
      <w:autoSpaceDN w:val="0"/>
      <w:spacing w:before="80" w:after="40" w:line="240" w:lineRule="auto"/>
      <w:ind w:leftChars="500" w:left="500"/>
      <w:jc w:val="left"/>
      <w:outlineLvl w:val="8"/>
    </w:pPr>
    <w:rPr>
      <w:rFonts w:asciiTheme="majorHAnsi" w:eastAsiaTheme="majorEastAsia" w:hAnsiTheme="majorHAnsi" w:cstheme="majorBidi"/>
      <w:color w:val="000000" w:themeColor="text1"/>
      <w:kern w:val="2"/>
      <w:szCs w:val="24"/>
      <w:lang w:bidi="ar-SA"/>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8697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C8697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C8697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8697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8697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8697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8697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8697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8697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86978"/>
    <w:pPr>
      <w:widowControl w:val="0"/>
      <w:suppressAutoHyphens w:val="0"/>
      <w:wordWrap w:val="0"/>
      <w:autoSpaceDE w:val="0"/>
      <w:autoSpaceDN w:val="0"/>
      <w:spacing w:after="120" w:line="384" w:lineRule="auto" w:before="0"/>
      <w:contextualSpacing/>
      <w:jc w:val="center"/>
    </w:pPr>
    <w:rPr>
      <w:rFonts w:asciiTheme="majorHAnsi" w:eastAsiaTheme="majorEastAsia" w:hAnsiTheme="majorHAnsi" w:cstheme="majorBidi" w:ascii="NanumMyeongjo" w:hAnsi="NanumMyeongjo" w:eastAsia="NanumMyeongjo"/>
      <w:color w:val="000000"/>
      <w:spacing w:val="-10"/>
      <w:kern w:val="28"/>
      <w:sz w:val="56"/>
      <w:szCs w:val="56"/>
      <w:lang w:bidi="ar-SA"/>
      <w14:ligatures w14:val="standardContextual"/>
    </w:rPr>
  </w:style>
  <w:style w:type="character" w:customStyle="1" w:styleId="Char">
    <w:name w:val="제목 Char"/>
    <w:basedOn w:val="a0"/>
    <w:link w:val="a3"/>
    <w:uiPriority w:val="10"/>
    <w:rsid w:val="00C8697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86978"/>
    <w:pPr>
      <w:widowControl w:val="0"/>
      <w:numPr>
        <w:ilvl w:val="1"/>
      </w:numPr>
      <w:suppressAutoHyphens w:val="0"/>
      <w:wordWrap w:val="0"/>
      <w:autoSpaceDE w:val="0"/>
      <w:autoSpaceDN w:val="0"/>
      <w:spacing w:after="120" w:line="384" w:lineRule="auto" w:before="0"/>
      <w:jc w:val="center"/>
    </w:pPr>
    <w:rPr>
      <w:rFonts w:asciiTheme="majorHAnsi" w:eastAsiaTheme="majorEastAsia" w:hAnsiTheme="majorHAnsi" w:cstheme="majorBidi" w:ascii="NanumMyeongjo" w:hAnsi="NanumMyeongjo" w:eastAsia="NanumMyeongjo"/>
      <w:color w:val="000000"/>
      <w:spacing w:val="15"/>
      <w:kern w:val="2"/>
      <w:sz w:val="28"/>
      <w:szCs w:val="28"/>
      <w:lang w:bidi="ar-SA"/>
      <w14:ligatures w14:val="standardContextual"/>
    </w:rPr>
  </w:style>
  <w:style w:type="character" w:customStyle="1" w:styleId="Char0">
    <w:name w:val="부제 Char"/>
    <w:basedOn w:val="a0"/>
    <w:link w:val="a4"/>
    <w:uiPriority w:val="11"/>
    <w:rsid w:val="00C8697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86978"/>
    <w:pPr>
      <w:widowControl w:val="0"/>
      <w:suppressAutoHyphens w:val="0"/>
      <w:wordWrap w:val="0"/>
      <w:autoSpaceDE w:val="0"/>
      <w:autoSpaceDN w:val="0"/>
      <w:spacing w:before="160" w:after="160" w:line="240" w:lineRule="auto"/>
      <w:jc w:val="center"/>
    </w:pPr>
    <w:rPr>
      <w:rFonts w:asciiTheme="minorHAnsi" w:eastAsiaTheme="minorEastAsia" w:hAnsiTheme="minorHAnsi" w:cstheme="minorBidi"/>
      <w:i/>
      <w:iCs/>
      <w:color w:val="404040" w:themeColor="text1" w:themeTint="BF"/>
      <w:kern w:val="2"/>
      <w:szCs w:val="24"/>
      <w:lang w:bidi="ar-SA"/>
      <w14:ligatures w14:val="standardContextual"/>
    </w:rPr>
  </w:style>
  <w:style w:type="character" w:customStyle="1" w:styleId="Char1">
    <w:name w:val="인용 Char"/>
    <w:basedOn w:val="a0"/>
    <w:link w:val="a5"/>
    <w:uiPriority w:val="29"/>
    <w:rsid w:val="00C86978"/>
    <w:rPr>
      <w:i/>
      <w:iCs/>
      <w:color w:val="404040" w:themeColor="text1" w:themeTint="BF"/>
    </w:rPr>
  </w:style>
  <w:style w:type="paragraph" w:styleId="a6">
    <w:name w:val="List Paragraph"/>
    <w:basedOn w:val="a"/>
    <w:uiPriority w:val="34"/>
    <w:qFormat/>
    <w:rsid w:val="00C86978"/>
    <w:pPr>
      <w:widowControl w:val="0"/>
      <w:suppressAutoHyphens w:val="0"/>
      <w:wordWrap w:val="0"/>
      <w:autoSpaceDE w:val="0"/>
      <w:autoSpaceDN w:val="0"/>
      <w:spacing w:after="160" w:line="240" w:lineRule="auto"/>
      <w:ind w:left="720"/>
      <w:contextualSpacing/>
      <w:jc w:val="left"/>
    </w:pPr>
    <w:rPr>
      <w:rFonts w:asciiTheme="minorHAnsi" w:eastAsiaTheme="minorEastAsia" w:hAnsiTheme="minorHAnsi" w:cstheme="minorBidi"/>
      <w:kern w:val="2"/>
      <w:szCs w:val="24"/>
      <w:lang w:bidi="ar-SA"/>
      <w14:ligatures w14:val="standardContextual"/>
    </w:rPr>
  </w:style>
  <w:style w:type="character" w:styleId="a7">
    <w:name w:val="Intense Emphasis"/>
    <w:basedOn w:val="a0"/>
    <w:uiPriority w:val="21"/>
    <w:qFormat/>
    <w:rsid w:val="00C86978"/>
    <w:rPr>
      <w:i/>
      <w:iCs/>
      <w:color w:val="0F4761" w:themeColor="accent1" w:themeShade="BF"/>
    </w:rPr>
  </w:style>
  <w:style w:type="paragraph" w:styleId="a8">
    <w:name w:val="Intense Quote"/>
    <w:basedOn w:val="a"/>
    <w:next w:val="a"/>
    <w:link w:val="Char2"/>
    <w:uiPriority w:val="30"/>
    <w:qFormat/>
    <w:rsid w:val="00C86978"/>
    <w:pPr>
      <w:widowControl w:val="0"/>
      <w:pBdr>
        <w:top w:val="single" w:sz="4" w:space="10" w:color="0F4761" w:themeColor="accent1" w:themeShade="BF"/>
        <w:bottom w:val="single" w:sz="4" w:space="10" w:color="0F4761" w:themeColor="accent1" w:themeShade="BF"/>
      </w:pBdr>
      <w:suppressAutoHyphens w:val="0"/>
      <w:wordWrap w:val="0"/>
      <w:autoSpaceDE w:val="0"/>
      <w:autoSpaceDN w:val="0"/>
      <w:spacing w:before="360" w:after="360" w:line="240" w:lineRule="auto"/>
      <w:ind w:left="864" w:right="864"/>
      <w:jc w:val="center"/>
    </w:pPr>
    <w:rPr>
      <w:rFonts w:asciiTheme="minorHAnsi" w:eastAsiaTheme="minorEastAsia" w:hAnsiTheme="minorHAnsi" w:cstheme="minorBidi"/>
      <w:i/>
      <w:iCs/>
      <w:color w:val="0F4761" w:themeColor="accent1" w:themeShade="BF"/>
      <w:kern w:val="2"/>
      <w:szCs w:val="24"/>
      <w:lang w:bidi="ar-SA"/>
      <w14:ligatures w14:val="standardContextual"/>
    </w:rPr>
  </w:style>
  <w:style w:type="character" w:customStyle="1" w:styleId="Char2">
    <w:name w:val="강한 인용 Char"/>
    <w:basedOn w:val="a0"/>
    <w:link w:val="a8"/>
    <w:uiPriority w:val="30"/>
    <w:rsid w:val="00C86978"/>
    <w:rPr>
      <w:i/>
      <w:iCs/>
      <w:color w:val="0F4761" w:themeColor="accent1" w:themeShade="BF"/>
    </w:rPr>
  </w:style>
  <w:style w:type="character" w:styleId="a9">
    <w:name w:val="Intense Reference"/>
    <w:basedOn w:val="a0"/>
    <w:uiPriority w:val="32"/>
    <w:qFormat/>
    <w:rsid w:val="00C86978"/>
    <w:rPr>
      <w:b/>
      <w:bCs/>
      <w:smallCaps/>
      <w:color w:val="0F4761" w:themeColor="accent1" w:themeShade="BF"/>
      <w:spacing w:val="5"/>
    </w:rPr>
  </w:style>
  <w:style w:type="character" w:styleId="aa">
    <w:name w:val="Hyperlink"/>
    <w:rsid w:val="00445C7C"/>
    <w:rPr>
      <w:color w:val="000000"/>
      <w:u w:val="none"/>
    </w:rPr>
  </w:style>
  <w:style w:type="character" w:customStyle="1" w:styleId="FootnoteCharacters">
    <w:name w:val="Footnote Characters"/>
    <w:qFormat/>
    <w:rsid w:val="00445C7C"/>
    <w:rPr>
      <w:vertAlign w:val="superscript"/>
    </w:rPr>
  </w:style>
  <w:style w:type="character" w:customStyle="1" w:styleId="FootnoteCharactersuser">
    <w:name w:val="Footnote Characters (user)"/>
    <w:qFormat/>
    <w:rsid w:val="00445C7C"/>
    <w:rPr>
      <w:vertAlign w:val="superscript"/>
    </w:rPr>
  </w:style>
  <w:style w:type="character" w:styleId="ab">
    <w:name w:val="footnote reference"/>
    <w:rsid w:val="00445C7C"/>
    <w:rPr>
      <w:vertAlign w:val="superscript"/>
    </w:rPr>
  </w:style>
  <w:style w:type="character" w:customStyle="1" w:styleId="IndexLink">
    <w:name w:val="Index Link"/>
    <w:qFormat/>
    <w:rsid w:val="00445C7C"/>
  </w:style>
  <w:style w:type="character" w:customStyle="1" w:styleId="EndnoteCharacters">
    <w:name w:val="Endnote Characters"/>
    <w:qFormat/>
    <w:rsid w:val="00445C7C"/>
    <w:rPr>
      <w:vertAlign w:val="superscript"/>
    </w:rPr>
  </w:style>
  <w:style w:type="character" w:styleId="ac">
    <w:name w:val="endnote reference"/>
    <w:rsid w:val="00445C7C"/>
    <w:rPr>
      <w:vertAlign w:val="superscript"/>
    </w:rPr>
  </w:style>
  <w:style w:type="character" w:customStyle="1" w:styleId="EndnoteCharactersuser">
    <w:name w:val="Endnote Characters (user)"/>
    <w:qFormat/>
    <w:rsid w:val="00445C7C"/>
  </w:style>
  <w:style w:type="paragraph" w:customStyle="1" w:styleId="Heading">
    <w:name w:val="Heading"/>
    <w:basedOn w:val="a"/>
    <w:next w:val="ad"/>
    <w:qFormat/>
    <w:rsid w:val="00445C7C"/>
    <w:pPr>
      <w:keepNext/>
      <w:spacing w:before="240" w:after="120"/>
    </w:pPr>
    <w:rPr>
      <w:rFonts w:ascii="Liberation Sans" w:eastAsia="Noto Sans CJK SC" w:hAnsi="Liberation Sans" w:cs="Lohit Devanagari"/>
      <w:sz w:val="28"/>
      <w:szCs w:val="28"/>
    </w:rPr>
  </w:style>
  <w:style w:type="paragraph" w:styleId="ad">
    <w:name w:val="Body Text"/>
    <w:basedOn w:val="a"/>
    <w:link w:val="Char3"/>
    <w:qFormat/>
    <w:rsid w:val="00445C7C"/>
    <w:pPr>
      <w:spacing w:after="120" w:before="0" w:line="384" w:lineRule="auto"/>
      <w:ind w:firstLine="440"/>
    </w:pPr>
    <w:rPr>
      <w:rFonts w:ascii="NanumMyeongjo" w:hAnsi="NanumMyeongjo" w:eastAsia="NanumMyeongjo"/>
      <w:color w:val="000000"/>
    </w:rPr>
  </w:style>
  <w:style w:type="character" w:customStyle="1" w:styleId="Char3">
    <w:name w:val="본문 Char"/>
    <w:basedOn w:val="a0"/>
    <w:link w:val="ad"/>
    <w:rsid w:val="00445C7C"/>
    <w:rPr>
      <w:rFonts w:ascii="Times New Roman" w:eastAsia="바탕" w:hAnsi="Times New Roman" w:cs="바탕"/>
      <w:kern w:val="0"/>
      <w:szCs w:val="22"/>
      <w:lang w:bidi="hi-IN"/>
      <w14:ligatures w14:val="none"/>
    </w:rPr>
  </w:style>
  <w:style w:type="paragraph" w:styleId="ae">
    <w:name w:val="List"/>
    <w:basedOn w:val="ad"/>
    <w:rsid w:val="00445C7C"/>
    <w:rPr>
      <w:rFonts w:cs="Lohit Devanagari"/>
    </w:rPr>
  </w:style>
  <w:style w:type="paragraph" w:styleId="af">
    <w:name w:val="caption"/>
    <w:basedOn w:val="a"/>
    <w:qFormat/>
    <w:rsid w:val="00445C7C"/>
    <w:pPr>
      <w:keepNext/>
      <w:keepLines/>
      <w:spacing w:before="0" w:after="120" w:line="276" w:lineRule="auto"/>
      <w:ind w:firstLine="0"/>
    </w:pPr>
    <w:rPr>
      <w:rFonts w:ascii="NanumMyeongjo" w:hAnsi="NanumMyeongjo" w:eastAsia="NanumMyeongjo"/>
      <w:b/>
      <w:bCs/>
      <w:color w:val="000000"/>
      <w:sz w:val="19"/>
      <w:szCs w:val="20"/>
    </w:rPr>
  </w:style>
  <w:style w:type="paragraph" w:customStyle="1" w:styleId="Index">
    <w:name w:val="Index"/>
    <w:basedOn w:val="a"/>
    <w:qFormat/>
    <w:rsid w:val="00445C7C"/>
    <w:pPr>
      <w:suppressLineNumbers/>
    </w:pPr>
    <w:rPr>
      <w:rFonts w:cs="Lohit Devanagari"/>
    </w:rPr>
  </w:style>
  <w:style w:type="paragraph" w:customStyle="1" w:styleId="FrontTitle">
    <w:name w:val="Front Title"/>
    <w:basedOn w:val="a"/>
    <w:qFormat/>
    <w:rsid w:val="00445C7C"/>
    <w:pPr>
      <w:keepNext/>
      <w:spacing w:after="280" w:line="288" w:lineRule="auto"/>
      <w:ind w:firstLine="0"/>
      <w:jc w:val="center"/>
    </w:pPr>
    <w:rPr>
      <w:rFonts w:ascii="NanumMyeongjo" w:hAnsi="NanumMyeongjo" w:eastAsia="NanumMyeongjo"/>
      <w:b/>
      <w:bCs/>
      <w:sz w:val="32"/>
      <w:szCs w:val="32"/>
    </w:rPr>
  </w:style>
  <w:style w:type="paragraph" w:customStyle="1" w:styleId="TOCBody">
    <w:name w:val="TOC Body"/>
    <w:basedOn w:val="a"/>
    <w:qFormat/>
    <w:rsid w:val="00445C7C"/>
    <w:pPr>
      <w:spacing w:line="360" w:lineRule="auto"/>
    </w:pPr>
  </w:style>
  <w:style w:type="paragraph" w:customStyle="1" w:styleId="CaptionNote">
    <w:name w:val="Caption Note"/>
    <w:basedOn w:val="a"/>
    <w:qFormat/>
    <w:rsid w:val="00445C7C"/>
    <w:pPr>
      <w:keepNext/>
      <w:spacing w:after="120" w:line="300" w:lineRule="auto"/>
    </w:pPr>
    <w:rPr>
      <w:sz w:val="18"/>
      <w:szCs w:val="18"/>
    </w:rPr>
  </w:style>
  <w:style w:type="paragraph" w:customStyle="1" w:styleId="TableText">
    <w:name w:val="Table Text"/>
    <w:basedOn w:val="a"/>
    <w:qFormat/>
    <w:rsid w:val="00445C7C"/>
    <w:pPr>
      <w:spacing w:before="20" w:after="40" w:line="288" w:lineRule="auto"/>
      <w:ind w:firstLine="0"/>
    </w:pPr>
    <w:rPr>
      <w:rFonts w:ascii="NanumMyeongjo" w:hAnsi="NanumMyeongjo" w:eastAsia="NanumMyeongjo"/>
      <w:sz w:val="18"/>
      <w:szCs w:val="18"/>
    </w:rPr>
  </w:style>
  <w:style w:type="paragraph" w:customStyle="1" w:styleId="ReferenceEntry">
    <w:name w:val="Reference Entry"/>
    <w:basedOn w:val="a"/>
    <w:qFormat/>
    <w:rsid w:val="00445C7C"/>
    <w:pPr>
      <w:spacing w:after="80" w:line="240" w:lineRule="auto"/>
      <w:ind w:left="425" w:hanging="425"/>
    </w:pPr>
    <w:rPr>
      <w:sz w:val="20"/>
      <w:szCs w:val="20"/>
    </w:rPr>
  </w:style>
  <w:style w:type="paragraph" w:customStyle="1" w:styleId="Verbatim">
    <w:name w:val="Verbatim"/>
    <w:basedOn w:val="a"/>
    <w:qFormat/>
    <w:rsid w:val="00445C7C"/>
    <w:pPr>
      <w:spacing w:before="60" w:after="60" w:line="262" w:lineRule="auto"/>
      <w:ind w:left="440"/>
      <w:jc w:val="left"/>
    </w:pPr>
    <w:rPr>
      <w:rFonts w:ascii="Courier New" w:hAnsi="Courier New"/>
      <w:sz w:val="18"/>
      <w:szCs w:val="18"/>
    </w:rPr>
  </w:style>
  <w:style w:type="paragraph" w:styleId="af0">
    <w:name w:val="footnote text"/>
    <w:basedOn w:val="a"/>
    <w:link w:val="Char4"/>
    <w:rsid w:val="00445C7C"/>
    <w:pPr>
      <w:spacing w:line="240" w:lineRule="auto"/>
    </w:pPr>
    <w:rPr>
      <w:sz w:val="18"/>
      <w:szCs w:val="18"/>
    </w:rPr>
  </w:style>
  <w:style w:type="character" w:customStyle="1" w:styleId="Char4">
    <w:name w:val="각주 텍스트 Char"/>
    <w:basedOn w:val="a0"/>
    <w:link w:val="af0"/>
    <w:rsid w:val="00445C7C"/>
    <w:rPr>
      <w:rFonts w:ascii="Times New Roman" w:eastAsia="바탕" w:hAnsi="Times New Roman" w:cs="바탕"/>
      <w:kern w:val="0"/>
      <w:sz w:val="18"/>
      <w:szCs w:val="18"/>
      <w:lang w:bidi="hi-IN"/>
      <w14:ligatures w14:val="none"/>
    </w:rPr>
  </w:style>
  <w:style w:type="paragraph" w:styleId="10">
    <w:name w:val="toc 1"/>
    <w:basedOn w:val="a"/>
    <w:rsid w:val="00445C7C"/>
    <w:pPr>
      <w:spacing w:before="60" w:line="341" w:lineRule="auto"/>
      <w:jc w:val="left"/>
    </w:pPr>
    <w:rPr>
      <w:b/>
      <w:sz w:val="20"/>
      <w:szCs w:val="20"/>
    </w:rPr>
  </w:style>
  <w:style w:type="paragraph" w:styleId="20">
    <w:name w:val="toc 2"/>
    <w:basedOn w:val="a"/>
    <w:rsid w:val="00445C7C"/>
    <w:pPr>
      <w:spacing w:line="341" w:lineRule="auto"/>
      <w:ind w:left="300"/>
      <w:jc w:val="left"/>
    </w:pPr>
    <w:rPr>
      <w:sz w:val="20"/>
      <w:szCs w:val="20"/>
    </w:rPr>
  </w:style>
  <w:style w:type="paragraph" w:styleId="30">
    <w:name w:val="toc 3"/>
    <w:basedOn w:val="a"/>
    <w:rsid w:val="00445C7C"/>
    <w:pPr>
      <w:spacing w:line="341" w:lineRule="auto"/>
      <w:ind w:left="600"/>
      <w:jc w:val="left"/>
    </w:pPr>
    <w:rPr>
      <w:sz w:val="20"/>
      <w:szCs w:val="20"/>
    </w:rPr>
  </w:style>
  <w:style w:type="paragraph" w:styleId="af1">
    <w:name w:val="table of figures"/>
    <w:basedOn w:val="a"/>
    <w:rsid w:val="00445C7C"/>
    <w:pPr>
      <w:spacing w:line="341" w:lineRule="auto"/>
      <w:jc w:val="left"/>
    </w:pPr>
    <w:rPr>
      <w:sz w:val="20"/>
      <w:szCs w:val="20"/>
    </w:rPr>
  </w:style>
  <w:style w:type="paragraph" w:customStyle="1" w:styleId="HeaderandFooter">
    <w:name w:val="Header and Footer"/>
    <w:basedOn w:val="a"/>
    <w:qFormat/>
    <w:rsid w:val="00445C7C"/>
  </w:style>
  <w:style w:type="paragraph" w:styleId="af2">
    <w:name w:val="header"/>
    <w:basedOn w:val="HeaderandFooter"/>
    <w:link w:val="Char5"/>
    <w:rsid w:val="00445C7C"/>
  </w:style>
  <w:style w:type="character" w:customStyle="1" w:styleId="Char5">
    <w:name w:val="머리글 Char"/>
    <w:basedOn w:val="a0"/>
    <w:link w:val="af2"/>
    <w:rsid w:val="00445C7C"/>
    <w:rPr>
      <w:rFonts w:ascii="Times New Roman" w:eastAsia="바탕" w:hAnsi="Times New Roman" w:cs="바탕"/>
      <w:kern w:val="0"/>
      <w:szCs w:val="22"/>
      <w:lang w:bidi="hi-IN"/>
      <w14:ligatures w14:val="none"/>
    </w:rPr>
  </w:style>
  <w:style w:type="paragraph" w:styleId="af3">
    <w:name w:val="footer"/>
    <w:basedOn w:val="HeaderandFooter"/>
    <w:link w:val="Char6"/>
    <w:rsid w:val="00445C7C"/>
  </w:style>
  <w:style w:type="character" w:customStyle="1" w:styleId="Char6">
    <w:name w:val="바닥글 Char"/>
    <w:basedOn w:val="a0"/>
    <w:link w:val="af3"/>
    <w:rsid w:val="00445C7C"/>
    <w:rPr>
      <w:rFonts w:ascii="Times New Roman" w:eastAsia="바탕" w:hAnsi="Times New Roman" w:cs="바탕"/>
      <w:kern w:val="0"/>
      <w:szCs w:val="22"/>
      <w:lang w:bidi="hi-IN"/>
      <w14:ligatures w14:val="none"/>
    </w:rPr>
  </w:style>
  <w:style w:type="paragraph" w:customStyle="1" w:styleId="FrameContents">
    <w:name w:val="Frame Contents"/>
    <w:basedOn w:val="a"/>
    <w:qFormat/>
    <w:rsid w:val="00445C7C"/>
  </w:style>
  <w:style w:type="paragraph" w:styleId="af4">
    <w:name w:val="Date"/>
    <w:basedOn w:val="a"/>
    <w:next w:val="a"/>
    <w:link w:val="Char7"/>
    <w:uiPriority w:val="99"/>
    <w:semiHidden/>
    <w:unhideWhenUsed/>
    <w:rsid w:val="00E31B17"/>
    <w:rPr>
      <w:rFonts w:cs="Mangal"/>
      <w:szCs w:val="20"/>
    </w:rPr>
  </w:style>
  <w:style w:type="character" w:customStyle="1" w:styleId="Char7">
    <w:name w:val="날짜 Char"/>
    <w:basedOn w:val="a0"/>
    <w:link w:val="af4"/>
    <w:uiPriority w:val="99"/>
    <w:semiHidden/>
    <w:rsid w:val="00E31B17"/>
    <w:rPr>
      <w:rFonts w:ascii="Times New Roman" w:eastAsia="바탕" w:hAnsi="Times New Roman" w:cs="Mangal"/>
      <w:kern w:val="0"/>
      <w:szCs w:val="20"/>
      <w:lang w:bidi="hi-IN"/>
      <w14:ligatures w14:val="none"/>
    </w:rPr>
  </w:style>
  <w:style w:type="paragraph" w:customStyle="1" w:styleId="af5">
    <w:name w:val="바탕글"/>
    <w:qFormat/>
    <w:rsid w:val="002313CB"/>
    <w:pPr>
      <w:widowControl w:val="0"/>
      <w:wordWrap w:val="0"/>
      <w:autoSpaceDE w:val="0"/>
      <w:autoSpaceDN w:val="0"/>
      <w:spacing w:after="0" w:line="249" w:lineRule="auto"/>
      <w:jc w:val="both"/>
    </w:pPr>
    <w:rPr>
      <w:rFonts w:ascii="바탕" w:eastAsia="바탕" w:hAnsi="Arial Unicode MS" w:cs="바탕"/>
      <w:color w:val="000000"/>
      <w:kern w:val="0"/>
      <w:sz w:val="20"/>
      <w:szCs w:val="20"/>
      <w:lang w:eastAsia="en-US"/>
      <w14:ligatures w14:val="none"/>
    </w:rPr>
  </w:style>
  <w:style w:type="table" w:styleId="af6">
    <w:name w:val="Table Grid"/>
    <w:basedOn w:val="a1"/>
    <w:uiPriority w:val="39"/>
    <w:rsid w:val="00D9122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ticTOC1">
    <w:name w:val="Static TOC 1"/>
    <w:rsid w:val="00033DCB"/>
    <w:pPr>
      <w:tabs>
        <w:tab w:val="right" w:leader="dot" w:pos="7848"/>
      </w:tabs>
      <w:spacing w:after="10"/>
    </w:pPr>
    <w:rPr>
      <w:sz w:val="18"/>
    </w:rPr>
  </w:style>
  <w:style w:type="paragraph" w:customStyle="1" w:styleId="StaticTOC2">
    <w:name w:val="Static TOC 2"/>
    <w:rsid w:val="00033DCB"/>
    <w:pPr>
      <w:tabs>
        <w:tab w:val="right" w:leader="dot" w:pos="7848"/>
      </w:tabs>
      <w:spacing w:after="0"/>
      <w:ind w:left="317"/>
    </w:pPr>
    <w:rPr>
      <w:sz w:val="18"/>
    </w:rPr>
  </w:style>
  <w:style w:type="paragraph" w:customStyle="1" w:styleId="StaticTOC3">
    <w:name w:val="Static TOC 3"/>
    <w:rsid w:val="00033DCB"/>
    <w:pPr>
      <w:tabs>
        <w:tab w:val="right" w:leader="dot" w:pos="7848"/>
      </w:tabs>
      <w:spacing w:after="0"/>
      <w:ind w:left="662"/>
    </w:pPr>
    <w:rPr>
      <w:sz w:val="17"/>
    </w:rPr>
  </w:style>
  <w:style w:type="paragraph" w:customStyle="1" w:styleId="StaticTOCTable">
    <w:name w:val="Static TOC Table"/>
    <w:rsid w:val="00033DCB"/>
    <w:pPr>
      <w:tabs>
        <w:tab w:val="right" w:leader="dot" w:pos="7848"/>
      </w:tabs>
      <w:spacing w:after="0"/>
    </w:pPr>
    <w:rPr>
      <w:sz w:val="17"/>
    </w:rPr>
  </w:style>
  <w:style w:type="paragraph" w:customStyle="1" w:styleId="StaticTOCFigure">
    <w:name w:val="Static TOC Figure"/>
    <w:rsid w:val="00033DCB"/>
    <w:pPr>
      <w:tabs>
        <w:tab w:val="right" w:leader="dot" w:pos="7848"/>
      </w:tabs>
      <w:spacing w:after="0"/>
    </w:pPr>
    <w:rPr>
      <w:sz w:val="17"/>
    </w:rPr>
  </w:style>
  <w:style w:type="table" w:styleId="af7">
    <w:name w:val="Grid Table Light"/>
    <w:basedOn w:val="a1"/>
    <w:uiPriority w:val="40"/>
    <w:rsid w:val="000A0D9D"/>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ourceNote">
    <w:name w:val="Source Note"/>
    <w:basedOn w:val="a"/>
    <w:pPr>
      <w:spacing w:line="288" w:lineRule="auto" w:after="100"/>
      <w:ind w:firstLine="0"/>
    </w:pPr>
    <w:rPr>
      <w:rFonts w:ascii="NanumMyeongjo" w:hAnsi="NanumMyeongjo" w:eastAsia="NanumMyeongjo"/>
      <w:sz w:val="17"/>
    </w:rPr>
  </w:style>
  <w:style w:type="paragraph" w:customStyle="1" w:styleId="ThesisTOC">
    <w:name w:val="Thesis TOC"/>
    <w:basedOn w:val="a"/>
    <w:pPr>
      <w:spacing w:line="288" w:lineRule="auto" w:after="100"/>
      <w:ind w:firstLine="0"/>
    </w:pPr>
    <w:rPr>
      <w:rFonts w:ascii="NanumMyeongjo" w:hAnsi="NanumMyeongjo" w:eastAsia="NanumMyeongjo"/>
      <w:sz w:val="19"/>
    </w:rPr>
  </w:style>
  <w:style w:type="paragraph" w:customStyle="1" w:styleId="CodeExtract">
    <w:name w:val="Code Extract"/>
    <w:basedOn w:val="a"/>
    <w:pPr>
      <w:spacing w:line="252" w:lineRule="auto" w:after="100"/>
      <w:ind w:firstLine="0"/>
    </w:pPr>
    <w:rPr>
      <w:rFonts w:ascii="DejaVu Sans Mono" w:hAnsi="DejaVu Sans Mono" w:eastAsia="NanumMyeongjo"/>
      <w:sz w:val="16"/>
    </w:rPr>
  </w:style>
  <w:style w:type="paragraph" w:customStyle="1" w:styleId="Equation">
    <w:name w:val="Equation"/>
    <w:basedOn w:val="a"/>
    <w:pPr>
      <w:spacing w:line="288" w:lineRule="auto" w:after="100"/>
      <w:ind w:firstLine="0"/>
      <w:jc w:val="center"/>
    </w:pPr>
    <w:rPr>
      <w:rFonts w:ascii="NanumMyeongjo" w:hAnsi="NanumMyeongjo" w:eastAsia="NanumMyeongjo"/>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28" Type="http://schemas.openxmlformats.org/officeDocument/2006/relationships/footer" Target="footer5.xml"/><Relationship Id="rId29" Type="http://schemas.openxmlformats.org/officeDocument/2006/relationships/header" Target="header2.xml"/><Relationship Id="rId30" Type="http://schemas.openxmlformats.org/officeDocument/2006/relationships/footer" Target="footer6.xml"/><Relationship Id="rId31" Type="http://schemas.openxmlformats.org/officeDocument/2006/relationships/header" Target="header3.xml"/><Relationship Id="rId32" Type="http://schemas.openxmlformats.org/officeDocument/2006/relationships/footer" Target="footer7.xml"/><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image" Target="media/image2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사용자 지정 2">
      <a:majorFont>
        <a:latin typeface="Times New Roman"/>
        <a:ea typeface="바탕"/>
        <a:cs typeface=""/>
      </a:majorFont>
      <a:minorFont>
        <a:latin typeface="Times New Roman"/>
        <a:ea typeface="바탕"/>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079BCC-8604-478C-818B-A72EF03857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1973</TotalTime>
  <Pages>156</Pages>
  <Words>23719</Words>
  <Characters>135200</Characters>
  <Application>Microsoft Office Word</Application>
  <DocSecurity>0</DocSecurity>
  <Lines>1126</Lines>
  <Paragraphs>317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158602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검증 우선 평가 프레임워크를 통한 LLM 생성 기업 신용등급 개선권고 평가: 신용평가모형–강화학습–LLM 파이프라인</dc:title>
  <dc:subject>V4.3 실험결과 통합 개정본</dc:subject>
  <dc:creator>조종선</dc:creator>
  <cp:keywords>대규모 언어모형; 기업 신용등급; 알고리즘적 권고; 반사실 시뮬레이션; 오프라인 강화학습; 모형 검증; 정책 하네스</cp:keywords>
  <dc:description>Original documents preserved. Revised from frozen research artifacts; see revision log for evidence limitations.</dc:description>
  <cp:lastModifiedBy>조종선</cp:lastModifiedBy>
  <cp:revision>374</cp:revision>
  <dcterms:created xsi:type="dcterms:W3CDTF">2026-07-19T02:11:00Z</dcterms:created>
  <dcterms:modified xsi:type="dcterms:W3CDTF">2026-08-29T03:01:00Z</dcterms:modified>
</cp:coreProperties>
</file>