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0"/>
        </w:rPr>
        <w:t>Boss Clinician Platform</w:t>
      </w:r>
    </w:p>
    <w:p>
      <w:pPr>
        <w:jc w:val="center"/>
      </w:pPr>
      <w:r>
        <w:rPr>
          <w:color w:val="8A5A2B"/>
          <w:sz w:val="19"/>
        </w:rPr>
        <w:t>System Design &amp; Requirements Brief  ·  v1.0  ·  28 Aug 2026</w:t>
      </w:r>
    </w:p>
    <w:p>
      <w:r>
        <w:rPr>
          <w:i w:val="0"/>
          <w:sz w:val="18"/>
        </w:rPr>
        <w:t>Scale target: 100 concurrent users / ~5,000 contacts. Single business, single tenant. The public marketing website already exists and is OUT of scope — including all website, page-builder, landing-page, funnel and blog tooling in the admin portal. Long-term product target is Kajabi parity.</w:t>
      </w:r>
    </w:p>
    <w:p>
      <w:pPr>
        <w:pStyle w:val="Heading1"/>
      </w:pPr>
      <w:r>
        <w:t>1. What it is</w:t>
      </w:r>
    </w:p>
    <w:p>
      <w:r>
        <w:rPr>
          <w:i w:val="0"/>
        </w:rPr>
        <w:t>A self-hosted platform that sells and delivers digital products for one business: courses, downloadable files, a community, live coaching, private podcasts and newsletters. It takes payment, creates customer accounts, delivers content, runs the email marketing behind the sales, pays affiliates, and reports on all of it. It replaces a Kajabi subscription.</w:t>
      </w:r>
    </w:p>
    <w:p>
      <w:pPr>
        <w:pStyle w:val="Heading2"/>
      </w:pPr>
      <w:r>
        <w:t>Vocabulary you must not confuse</w:t>
      </w:r>
    </w:p>
    <w:tbl>
      <w:tblPr>
        <w:tblStyle w:val="TableGrid"/>
        <w:tblW w:type="auto" w:w="0"/>
        <w:jc w:val="center"/>
        <w:tblLook w:firstColumn="1" w:firstRow="1" w:lastColumn="0" w:lastRow="0" w:noHBand="0" w:noVBand="1" w:val="04A0"/>
      </w:tblPr>
      <w:tblGrid>
        <w:gridCol w:w="5112"/>
        <w:gridCol w:w="5112"/>
      </w:tblGrid>
      <w:tr>
        <w:tc>
          <w:tcPr>
            <w:tcW w:type="dxa" w:w="1440"/>
            <w:shd w:val="clear" w:color="auto" w:fill="1F3B57"/>
          </w:tcPr>
          <w:p>
            <w:r/>
            <w:r>
              <w:rPr>
                <w:b/>
                <w:color w:val="FFFFFF"/>
                <w:sz w:val="17"/>
              </w:rPr>
              <w:t>Term</w:t>
            </w:r>
          </w:p>
        </w:tc>
        <w:tc>
          <w:tcPr>
            <w:tcW w:type="dxa" w:w="8784"/>
            <w:shd w:val="clear" w:color="auto" w:fill="1F3B57"/>
          </w:tcPr>
          <w:p>
            <w:r/>
            <w:r>
              <w:rPr>
                <w:b/>
                <w:color w:val="FFFFFF"/>
                <w:sz w:val="17"/>
              </w:rPr>
              <w:t>Meaning</w:t>
            </w:r>
          </w:p>
        </w:tc>
      </w:tr>
      <w:tr>
        <w:tc>
          <w:tcPr>
            <w:tcW w:type="dxa" w:w="1440"/>
          </w:tcPr>
          <w:p>
            <w:pPr>
              <w:spacing w:after="20"/>
            </w:pPr>
            <w:r/>
            <w:r>
              <w:rPr>
                <w:sz w:val="17"/>
              </w:rPr>
              <w:t>Contact</w:t>
            </w:r>
          </w:p>
        </w:tc>
        <w:tc>
          <w:tcPr>
            <w:tcW w:type="dxa" w:w="8784"/>
          </w:tcPr>
          <w:p>
            <w:pPr>
              <w:spacing w:after="20"/>
            </w:pPr>
            <w:r/>
            <w:r>
              <w:rPr>
                <w:sz w:val="17"/>
              </w:rPr>
              <w:t>One person, keyed by email. Leads, subscribers, customers, members and affiliates are roles on ONE contact record. Never duplicate a person.</w:t>
            </w:r>
          </w:p>
        </w:tc>
      </w:tr>
      <w:tr>
        <w:tc>
          <w:tcPr>
            <w:tcW w:type="dxa" w:w="1440"/>
          </w:tcPr>
          <w:p>
            <w:pPr>
              <w:spacing w:after="20"/>
            </w:pPr>
            <w:r/>
            <w:r>
              <w:rPr>
                <w:sz w:val="17"/>
              </w:rPr>
              <w:t>Member</w:t>
            </w:r>
          </w:p>
        </w:tc>
        <w:tc>
          <w:tcPr>
            <w:tcW w:type="dxa" w:w="8784"/>
          </w:tcPr>
          <w:p>
            <w:pPr>
              <w:spacing w:after="20"/>
            </w:pPr>
            <w:r/>
            <w:r>
              <w:rPr>
                <w:sz w:val="17"/>
              </w:rPr>
              <w:t>A contact with a password who can sign in.</w:t>
            </w:r>
          </w:p>
        </w:tc>
      </w:tr>
      <w:tr>
        <w:tc>
          <w:tcPr>
            <w:tcW w:type="dxa" w:w="1440"/>
          </w:tcPr>
          <w:p>
            <w:pPr>
              <w:spacing w:after="20"/>
            </w:pPr>
            <w:r/>
            <w:r>
              <w:rPr>
                <w:sz w:val="17"/>
              </w:rPr>
              <w:t>Product</w:t>
            </w:r>
          </w:p>
        </w:tc>
        <w:tc>
          <w:tcPr>
            <w:tcW w:type="dxa" w:w="8784"/>
          </w:tcPr>
          <w:p>
            <w:pPr>
              <w:spacing w:after="20"/>
            </w:pPr>
            <w:r/>
            <w:r>
              <w:rPr>
                <w:sz w:val="17"/>
              </w:rPr>
              <w:t>The thing that grants access (course / download / community / coaching / podcast / newsletter / bundle). Has NO price.</w:t>
            </w:r>
          </w:p>
        </w:tc>
      </w:tr>
      <w:tr>
        <w:tc>
          <w:tcPr>
            <w:tcW w:type="dxa" w:w="1440"/>
          </w:tcPr>
          <w:p>
            <w:pPr>
              <w:spacing w:after="20"/>
            </w:pPr>
            <w:r/>
            <w:r>
              <w:rPr>
                <w:sz w:val="17"/>
              </w:rPr>
              <w:t>Offer</w:t>
            </w:r>
          </w:p>
        </w:tc>
        <w:tc>
          <w:tcPr>
            <w:tcW w:type="dxa" w:w="8784"/>
          </w:tcPr>
          <w:p>
            <w:pPr>
              <w:spacing w:after="20"/>
            </w:pPr>
            <w:r/>
            <w:r>
              <w:rPr>
                <w:sz w:val="17"/>
              </w:rPr>
              <w:t>A sellable package: products + price + checkout config. Price lives here. One product may have many offers.</w:t>
            </w:r>
          </w:p>
        </w:tc>
      </w:tr>
      <w:tr>
        <w:tc>
          <w:tcPr>
            <w:tcW w:type="dxa" w:w="1440"/>
          </w:tcPr>
          <w:p>
            <w:pPr>
              <w:spacing w:after="20"/>
            </w:pPr>
            <w:r/>
            <w:r>
              <w:rPr>
                <w:sz w:val="17"/>
              </w:rPr>
              <w:t>Access grant</w:t>
            </w:r>
          </w:p>
        </w:tc>
        <w:tc>
          <w:tcPr>
            <w:tcW w:type="dxa" w:w="8784"/>
          </w:tcPr>
          <w:p>
            <w:pPr>
              <w:spacing w:after="20"/>
            </w:pPr>
            <w:r/>
            <w:r>
              <w:rPr>
                <w:sz w:val="17"/>
              </w:rPr>
              <w:t>The row that says a contact may consume a product. Every entitlement check reads this — never an order or a subscription.</w:t>
            </w:r>
          </w:p>
        </w:tc>
      </w:tr>
      <w:tr>
        <w:tc>
          <w:tcPr>
            <w:tcW w:type="dxa" w:w="1440"/>
          </w:tcPr>
          <w:p>
            <w:pPr>
              <w:spacing w:after="20"/>
            </w:pPr>
            <w:r/>
            <w:r>
              <w:rPr>
                <w:sz w:val="17"/>
              </w:rPr>
              <w:t>Payment plan</w:t>
            </w:r>
          </w:p>
        </w:tc>
        <w:tc>
          <w:tcPr>
            <w:tcW w:type="dxa" w:w="8784"/>
          </w:tcPr>
          <w:p>
            <w:pPr>
              <w:spacing w:after="20"/>
            </w:pPr>
            <w:r/>
            <w:r>
              <w:rPr>
                <w:sz w:val="17"/>
              </w:rPr>
              <w:t>Fixed number of instalments that ends itself (3 × $1,250). NOT a subscription.</w:t>
            </w:r>
          </w:p>
        </w:tc>
      </w:tr>
      <w:tr>
        <w:tc>
          <w:tcPr>
            <w:tcW w:type="dxa" w:w="1440"/>
          </w:tcPr>
          <w:p>
            <w:pPr>
              <w:spacing w:after="20"/>
            </w:pPr>
            <w:r/>
            <w:r>
              <w:rPr>
                <w:sz w:val="17"/>
              </w:rPr>
              <w:t>Tag / Segment</w:t>
            </w:r>
          </w:p>
        </w:tc>
        <w:tc>
          <w:tcPr>
            <w:tcW w:type="dxa" w:w="8784"/>
          </w:tcPr>
          <w:p>
            <w:pPr>
              <w:spacing w:after="20"/>
            </w:pPr>
            <w:r/>
            <w:r>
              <w:rPr>
                <w:sz w:val="17"/>
              </w:rPr>
              <w:t>Label on a contact / saved filter over contacts. Drives email and automations.</w:t>
            </w:r>
          </w:p>
        </w:tc>
      </w:tr>
      <w:tr>
        <w:tc>
          <w:tcPr>
            <w:tcW w:type="dxa" w:w="1440"/>
          </w:tcPr>
          <w:p>
            <w:pPr>
              <w:spacing w:after="20"/>
            </w:pPr>
            <w:r/>
            <w:r>
              <w:rPr>
                <w:sz w:val="17"/>
              </w:rPr>
              <w:t>Automation</w:t>
            </w:r>
          </w:p>
        </w:tc>
        <w:tc>
          <w:tcPr>
            <w:tcW w:type="dxa" w:w="8784"/>
          </w:tcPr>
          <w:p>
            <w:pPr>
              <w:spacing w:after="20"/>
            </w:pPr>
            <w:r/>
            <w:r>
              <w:rPr>
                <w:sz w:val="17"/>
              </w:rPr>
              <w:t>Stored rule: When (trigger) → If (condition) → Then (actions).</w:t>
            </w:r>
          </w:p>
        </w:tc>
      </w:tr>
    </w:tbl>
    <w:p>
      <w:pPr>
        <w:spacing w:after="20"/>
      </w:pPr>
    </w:p>
    <w:p>
      <w:pPr>
        <w:pStyle w:val="Heading1"/>
      </w:pPr>
      <w:r>
        <w:t>2.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368"/>
            <w:shd w:val="clear" w:color="auto" w:fill="1F3B57"/>
          </w:tcPr>
          <w:p>
            <w:r/>
            <w:r>
              <w:rPr>
                <w:b/>
                <w:color w:val="FFFFFF"/>
                <w:sz w:val="17"/>
              </w:rPr>
              <w:t>Component</w:t>
            </w:r>
          </w:p>
        </w:tc>
        <w:tc>
          <w:tcPr>
            <w:tcW w:type="dxa" w:w="2664"/>
            <w:shd w:val="clear" w:color="auto" w:fill="1F3B57"/>
          </w:tcPr>
          <w:p>
            <w:r/>
            <w:r>
              <w:rPr>
                <w:b/>
                <w:color w:val="FFFFFF"/>
                <w:sz w:val="17"/>
              </w:rPr>
              <w:t>Tech</w:t>
            </w:r>
          </w:p>
        </w:tc>
        <w:tc>
          <w:tcPr>
            <w:tcW w:type="dxa" w:w="4752"/>
            <w:shd w:val="clear" w:color="auto" w:fill="1F3B57"/>
          </w:tcPr>
          <w:p>
            <w:r/>
            <w:r>
              <w:rPr>
                <w:b/>
                <w:color w:val="FFFFFF"/>
                <w:sz w:val="17"/>
              </w:rPr>
              <w:t>Responsibility</w:t>
            </w:r>
          </w:p>
        </w:tc>
      </w:tr>
      <w:tr>
        <w:tc>
          <w:tcPr>
            <w:tcW w:type="dxa" w:w="1368"/>
          </w:tcPr>
          <w:p>
            <w:pPr>
              <w:spacing w:after="20"/>
            </w:pPr>
            <w:r/>
            <w:r>
              <w:rPr>
                <w:sz w:val="17"/>
              </w:rPr>
              <w:t>API</w:t>
            </w:r>
          </w:p>
        </w:tc>
        <w:tc>
          <w:tcPr>
            <w:tcW w:type="dxa" w:w="2664"/>
          </w:tcPr>
          <w:p>
            <w:pPr>
              <w:spacing w:after="20"/>
            </w:pPr>
            <w:r/>
            <w:r>
              <w:rPr>
                <w:sz w:val="17"/>
              </w:rPr>
              <w:t>Node + TypeScript (strict) + Express</w:t>
            </w:r>
          </w:p>
        </w:tc>
        <w:tc>
          <w:tcPr>
            <w:tcW w:type="dxa" w:w="4752"/>
          </w:tcPr>
          <w:p>
            <w:pPr>
              <w:spacing w:after="20"/>
            </w:pPr>
            <w:r/>
            <w:r>
              <w:rPr>
                <w:sz w:val="17"/>
              </w:rPr>
              <w:t>All business logic, auth, commerce, delivery, webhooks.</w:t>
            </w:r>
          </w:p>
        </w:tc>
      </w:tr>
      <w:tr>
        <w:tc>
          <w:tcPr>
            <w:tcW w:type="dxa" w:w="1368"/>
          </w:tcPr>
          <w:p>
            <w:pPr>
              <w:spacing w:after="20"/>
            </w:pPr>
            <w:r/>
            <w:r>
              <w:rPr>
                <w:sz w:val="17"/>
              </w:rPr>
              <w:t>Web client</w:t>
            </w:r>
          </w:p>
        </w:tc>
        <w:tc>
          <w:tcPr>
            <w:tcW w:type="dxa" w:w="2664"/>
          </w:tcPr>
          <w:p>
            <w:pPr>
              <w:spacing w:after="20"/>
            </w:pPr>
            <w:r/>
            <w:r>
              <w:rPr>
                <w:sz w:val="17"/>
              </w:rPr>
              <w:t>React + TypeScript + Vite</w:t>
            </w:r>
          </w:p>
        </w:tc>
        <w:tc>
          <w:tcPr>
            <w:tcW w:type="dxa" w:w="4752"/>
          </w:tcPr>
          <w:p>
            <w:pPr>
              <w:spacing w:after="20"/>
            </w:pPr>
            <w:r/>
            <w:r>
              <w:rPr>
                <w:sz w:val="17"/>
              </w:rPr>
              <w:t>Member app + admin portal (signed-in surfaces only).</w:t>
            </w:r>
          </w:p>
        </w:tc>
      </w:tr>
      <w:tr>
        <w:tc>
          <w:tcPr>
            <w:tcW w:type="dxa" w:w="1368"/>
          </w:tcPr>
          <w:p>
            <w:pPr>
              <w:spacing w:after="20"/>
            </w:pPr>
            <w:r/>
            <w:r>
              <w:rPr>
                <w:sz w:val="17"/>
              </w:rPr>
              <w:t>Worker</w:t>
            </w:r>
          </w:p>
        </w:tc>
        <w:tc>
          <w:tcPr>
            <w:tcW w:type="dxa" w:w="2664"/>
          </w:tcPr>
          <w:p>
            <w:pPr>
              <w:spacing w:after="20"/>
            </w:pPr>
            <w:r/>
            <w:r>
              <w:rPr>
                <w:sz w:val="17"/>
              </w:rPr>
              <w:t>Same image, separate process</w:t>
            </w:r>
          </w:p>
        </w:tc>
        <w:tc>
          <w:tcPr>
            <w:tcW w:type="dxa" w:w="4752"/>
          </w:tcPr>
          <w:p>
            <w:pPr>
              <w:spacing w:after="20"/>
            </w:pPr>
            <w:r/>
            <w:r>
              <w:rPr>
                <w:sz w:val="17"/>
              </w:rPr>
              <w:t>Queue: email, reminders, automations, dunning, rollups, webhooks.</w:t>
            </w:r>
          </w:p>
        </w:tc>
      </w:tr>
      <w:tr>
        <w:tc>
          <w:tcPr>
            <w:tcW w:type="dxa" w:w="1368"/>
          </w:tcPr>
          <w:p>
            <w:pPr>
              <w:spacing w:after="20"/>
            </w:pPr>
            <w:r/>
            <w:r>
              <w:rPr>
                <w:sz w:val="17"/>
              </w:rPr>
              <w:t>Database</w:t>
            </w:r>
          </w:p>
        </w:tc>
        <w:tc>
          <w:tcPr>
            <w:tcW w:type="dxa" w:w="2664"/>
          </w:tcPr>
          <w:p>
            <w:pPr>
              <w:spacing w:after="20"/>
            </w:pPr>
            <w:r/>
            <w:r>
              <w:rPr>
                <w:sz w:val="17"/>
              </w:rPr>
              <w:t>PostgreSQL 16</w:t>
            </w:r>
          </w:p>
        </w:tc>
        <w:tc>
          <w:tcPr>
            <w:tcW w:type="dxa" w:w="4752"/>
          </w:tcPr>
          <w:p>
            <w:pPr>
              <w:spacing w:after="20"/>
            </w:pPr>
            <w:r/>
            <w:r>
              <w:rPr>
                <w:sz w:val="17"/>
              </w:rPr>
              <w:t>Single source of truth — including the job queue.</w:t>
            </w:r>
          </w:p>
        </w:tc>
      </w:tr>
      <w:tr>
        <w:tc>
          <w:tcPr>
            <w:tcW w:type="dxa" w:w="1368"/>
          </w:tcPr>
          <w:p>
            <w:pPr>
              <w:spacing w:after="20"/>
            </w:pPr>
            <w:r/>
            <w:r>
              <w:rPr>
                <w:sz w:val="17"/>
              </w:rPr>
              <w:t>Storage</w:t>
            </w:r>
          </w:p>
        </w:tc>
        <w:tc>
          <w:tcPr>
            <w:tcW w:type="dxa" w:w="2664"/>
          </w:tcPr>
          <w:p>
            <w:pPr>
              <w:spacing w:after="20"/>
            </w:pPr>
            <w:r/>
            <w:r>
              <w:rPr>
                <w:sz w:val="17"/>
              </w:rPr>
              <w:t>Local volumes behind an S3-shaped interface</w:t>
            </w:r>
          </w:p>
        </w:tc>
        <w:tc>
          <w:tcPr>
            <w:tcW w:type="dxa" w:w="4752"/>
          </w:tcPr>
          <w:p>
            <w:pPr>
              <w:spacing w:after="20"/>
            </w:pPr>
            <w:r/>
            <w:r>
              <w:rPr>
                <w:sz w:val="17"/>
              </w:rPr>
              <w:t>Two roots: public media, protected paid content.</w:t>
            </w:r>
          </w:p>
        </w:tc>
      </w:tr>
      <w:tr>
        <w:tc>
          <w:tcPr>
            <w:tcW w:type="dxa" w:w="1368"/>
          </w:tcPr>
          <w:p>
            <w:pPr>
              <w:spacing w:after="20"/>
            </w:pPr>
            <w:r/>
            <w:r>
              <w:rPr>
                <w:sz w:val="17"/>
              </w:rPr>
              <w:t>Proxy</w:t>
            </w:r>
          </w:p>
        </w:tc>
        <w:tc>
          <w:tcPr>
            <w:tcW w:type="dxa" w:w="2664"/>
          </w:tcPr>
          <w:p>
            <w:pPr>
              <w:spacing w:after="20"/>
            </w:pPr>
            <w:r/>
            <w:r>
              <w:rPr>
                <w:sz w:val="17"/>
              </w:rPr>
              <w:t>nginx</w:t>
            </w:r>
          </w:p>
        </w:tc>
        <w:tc>
          <w:tcPr>
            <w:tcW w:type="dxa" w:w="4752"/>
          </w:tcPr>
          <w:p>
            <w:pPr>
              <w:spacing w:after="20"/>
            </w:pPr>
            <w:r/>
            <w:r>
              <w:rPr>
                <w:sz w:val="17"/>
              </w:rPr>
              <w:t>TLS, routing, body-size limit, security headers.</w:t>
            </w:r>
          </w:p>
        </w:tc>
      </w:tr>
      <w:tr>
        <w:tc>
          <w:tcPr>
            <w:tcW w:type="dxa" w:w="1368"/>
          </w:tcPr>
          <w:p>
            <w:pPr>
              <w:spacing w:after="20"/>
            </w:pPr>
            <w:r/>
            <w:r>
              <w:rPr>
                <w:sz w:val="17"/>
              </w:rPr>
              <w:t>Email</w:t>
            </w:r>
          </w:p>
        </w:tc>
        <w:tc>
          <w:tcPr>
            <w:tcW w:type="dxa" w:w="2664"/>
          </w:tcPr>
          <w:p>
            <w:pPr>
              <w:spacing w:after="20"/>
            </w:pPr>
            <w:r/>
            <w:r>
              <w:rPr>
                <w:sz w:val="17"/>
              </w:rPr>
              <w:t>Provider with event webhooks (SES / Resend / Postmark)</w:t>
            </w:r>
          </w:p>
        </w:tc>
        <w:tc>
          <w:tcPr>
            <w:tcW w:type="dxa" w:w="4752"/>
          </w:tcPr>
          <w:p>
            <w:pPr>
              <w:spacing w:after="20"/>
            </w:pPr>
            <w:r/>
            <w:r>
              <w:rPr>
                <w:sz w:val="17"/>
              </w:rPr>
              <w:t>Delivery + bounce/complaint/open/click feedback.</w:t>
            </w:r>
          </w:p>
        </w:tc>
      </w:tr>
      <w:tr>
        <w:tc>
          <w:tcPr>
            <w:tcW w:type="dxa" w:w="1368"/>
          </w:tcPr>
          <w:p>
            <w:pPr>
              <w:spacing w:after="20"/>
            </w:pPr>
            <w:r/>
            <w:r>
              <w:rPr>
                <w:sz w:val="17"/>
              </w:rPr>
              <w:t>Payments</w:t>
            </w:r>
          </w:p>
        </w:tc>
        <w:tc>
          <w:tcPr>
            <w:tcW w:type="dxa" w:w="2664"/>
          </w:tcPr>
          <w:p>
            <w:pPr>
              <w:spacing w:after="20"/>
            </w:pPr>
            <w:r/>
            <w:r>
              <w:rPr>
                <w:sz w:val="17"/>
              </w:rPr>
              <w:t>Stripe</w:t>
            </w:r>
          </w:p>
        </w:tc>
        <w:tc>
          <w:tcPr>
            <w:tcW w:type="dxa" w:w="4752"/>
          </w:tcPr>
          <w:p>
            <w:pPr>
              <w:spacing w:after="20"/>
            </w:pPr>
            <w:r/>
            <w:r>
              <w:rPr>
                <w:sz w:val="17"/>
              </w:rPr>
              <w:t>Cards, 3DS, subscriptions, invoices, refunds, disputes.</w:t>
            </w:r>
          </w:p>
        </w:tc>
      </w:tr>
      <w:tr>
        <w:tc>
          <w:tcPr>
            <w:tcW w:type="dxa" w:w="1368"/>
          </w:tcPr>
          <w:p>
            <w:pPr>
              <w:spacing w:after="20"/>
            </w:pPr>
            <w:r/>
            <w:r>
              <w:rPr>
                <w:sz w:val="17"/>
              </w:rPr>
              <w:t>AI (optional)</w:t>
            </w:r>
          </w:p>
        </w:tc>
        <w:tc>
          <w:tcPr>
            <w:tcW w:type="dxa" w:w="2664"/>
          </w:tcPr>
          <w:p>
            <w:pPr>
              <w:spacing w:after="20"/>
            </w:pPr>
            <w:r/>
            <w:r>
              <w:rPr>
                <w:sz w:val="17"/>
              </w:rPr>
              <w:t>Python + FastAPI, server-side only</w:t>
            </w:r>
          </w:p>
        </w:tc>
        <w:tc>
          <w:tcPr>
            <w:tcW w:type="dxa" w:w="4752"/>
          </w:tcPr>
          <w:p>
            <w:pPr>
              <w:spacing w:after="20"/>
            </w:pPr>
            <w:r/>
            <w:r>
              <w:rPr>
                <w:sz w:val="17"/>
              </w:rPr>
              <w:t>Chat assistant, drafting help.</w:t>
            </w:r>
          </w:p>
        </w:tc>
      </w:tr>
    </w:tbl>
    <w:p>
      <w:pPr>
        <w:spacing w:after="20"/>
      </w:pPr>
    </w:p>
    <w:p>
      <w:pPr>
        <w:pStyle w:val="Heading2"/>
      </w:pPr>
      <w:r>
        <w:t>Hard rules</w:t>
      </w:r>
    </w:p>
    <w:p>
      <w:pPr>
        <w:pStyle w:val="ListBullet"/>
      </w:pPr>
      <w:r>
        <w:t>Postgres only. No Redis, no message broker, no cache tier at 100 users. Job queue = a Postgres table with row-level claim.</w:t>
      </w:r>
    </w:p>
    <w:p>
      <w:pPr>
        <w:pStyle w:val="ListBullet"/>
      </w:pPr>
      <w:r>
        <w:t>API is stateless; all session state in DB or signed tokens.</w:t>
      </w:r>
    </w:p>
    <w:p>
      <w:pPr>
        <w:pStyle w:val="ListBullet"/>
      </w:pPr>
      <w:r>
        <w:t>Every money/webhook write is idempotent by an explicit key. Replaying a Stripe event must change nothing.</w:t>
      </w:r>
    </w:p>
    <w:p>
      <w:pPr>
        <w:pStyle w:val="ListBullet"/>
      </w:pPr>
      <w:r>
        <w:t>Entitlement is read from access_grants only. Nothing infers access from an order or a tag directly.</w:t>
      </w:r>
    </w:p>
    <w:p>
      <w:pPr>
        <w:pStyle w:val="ListBullet"/>
      </w:pPr>
      <w:r>
        <w:t>Protected content is never on a public path. Served via authorising endpoint or short-lived signed URL. Protected root must not be nested in the public root — refuse to boot if it is.</w:t>
      </w:r>
    </w:p>
    <w:p>
      <w:pPr>
        <w:pStyle w:val="ListBullet"/>
      </w:pPr>
      <w:r>
        <w:t>Anything that emails, calls a third party, or takes &gt;200ms of CPU goes on the queue, never in a request.</w:t>
      </w:r>
    </w:p>
    <w:p>
      <w:pPr>
        <w:pStyle w:val="ListBullet"/>
      </w:pPr>
      <w:r>
        <w:t>Migrations are forward-only, numbered, applied automatically on deploy.</w:t>
      </w:r>
    </w:p>
    <w:p>
      <w:pPr>
        <w:pStyle w:val="Heading2"/>
      </w:pPr>
      <w:r>
        <w:t>API shape</w:t>
      </w:r>
    </w:p>
    <w:p>
      <w:pPr>
        <w:spacing w:after="20"/>
        <w:ind w:left="216"/>
      </w:pPr>
      <w:r>
        <w:rPr>
          <w:rFonts w:ascii="Consolas" w:hAnsi="Consolas"/>
          <w:sz w:val="17"/>
        </w:rPr>
        <w:t>/api/public/*   no auth      website, checkout, forms, assessments, events, webhooks in</w:t>
      </w:r>
    </w:p>
    <w:p>
      <w:pPr>
        <w:spacing w:after="20"/>
        <w:ind w:left="216"/>
      </w:pPr>
      <w:r>
        <w:rPr>
          <w:rFonts w:ascii="Consolas" w:hAnsi="Consolas"/>
          <w:sz w:val="17"/>
        </w:rPr>
        <w:t>/api/auth/*     member       register, login, refresh, verify, reset, me</w:t>
      </w:r>
    </w:p>
    <w:p>
      <w:pPr>
        <w:spacing w:after="20"/>
        <w:ind w:left="216"/>
      </w:pPr>
      <w:r>
        <w:rPr>
          <w:rFonts w:ascii="Consolas" w:hAnsi="Consolas"/>
          <w:sz w:val="17"/>
        </w:rPr>
        <w:t>/api/member/*   member JWT   library, player, downloads, community, coaching, billing, affiliate</w:t>
      </w:r>
    </w:p>
    <w:p>
      <w:pPr>
        <w:spacing w:after="20"/>
        <w:ind w:left="216"/>
      </w:pPr>
      <w:r>
        <w:rPr>
          <w:rFonts w:ascii="Consolas" w:hAnsi="Consolas"/>
          <w:sz w:val="17"/>
        </w:rPr>
        <w:t>/api/admin/*    staff JWT    every back-office module, permission-gated per route</w:t>
      </w:r>
    </w:p>
    <w:p>
      <w:pPr>
        <w:spacing w:after="20"/>
        <w:ind w:left="216"/>
      </w:pPr>
      <w:r>
        <w:rPr>
          <w:rFonts w:ascii="Consolas" w:hAnsi="Consolas"/>
          <w:sz w:val="17"/>
        </w:rPr>
        <w:t>/api/v1/*       API key      versioned public integration API (later)</w:t>
      </w:r>
    </w:p>
    <w:p>
      <w:r>
        <w:rPr>
          <w:i w:val="0"/>
          <w:sz w:val="18"/>
        </w:rPr>
        <w:t>JSON, camelCase, paginated lists, error envelope { error: { code, message } }, correlation ID on every request, schema validation before any handler logic.</w:t>
      </w:r>
    </w:p>
    <w:p>
      <w:pPr>
        <w:pStyle w:val="Heading1"/>
      </w:pPr>
      <w:r>
        <w:t>3. Data model (core tables)</w:t>
      </w:r>
    </w:p>
    <w:tbl>
      <w:tblPr>
        <w:tblStyle w:val="TableGrid"/>
        <w:tblW w:type="auto" w:w="0"/>
        <w:jc w:val="center"/>
        <w:tblLook w:firstColumn="1" w:firstRow="1" w:lastColumn="0" w:lastRow="0" w:noHBand="0" w:noVBand="1" w:val="04A0"/>
      </w:tblPr>
      <w:tblGrid>
        <w:gridCol w:w="5112"/>
        <w:gridCol w:w="5112"/>
      </w:tblGrid>
      <w:tr>
        <w:tc>
          <w:tcPr>
            <w:tcW w:type="dxa" w:w="1224"/>
            <w:shd w:val="clear" w:color="auto" w:fill="1F3B57"/>
          </w:tcPr>
          <w:p>
            <w:r/>
            <w:r>
              <w:rPr>
                <w:b/>
                <w:color w:val="FFFFFF"/>
                <w:sz w:val="17"/>
              </w:rPr>
              <w:t>Group</w:t>
            </w:r>
          </w:p>
        </w:tc>
        <w:tc>
          <w:tcPr>
            <w:tcW w:type="dxa" w:w="9000"/>
            <w:shd w:val="clear" w:color="auto" w:fill="1F3B57"/>
          </w:tcPr>
          <w:p>
            <w:r/>
            <w:r>
              <w:rPr>
                <w:b/>
                <w:color w:val="FFFFFF"/>
                <w:sz w:val="17"/>
              </w:rPr>
              <w:t>Tables</w:t>
            </w:r>
          </w:p>
        </w:tc>
      </w:tr>
      <w:tr>
        <w:tc>
          <w:tcPr>
            <w:tcW w:type="dxa" w:w="1224"/>
          </w:tcPr>
          <w:p>
            <w:pPr>
              <w:spacing w:after="20"/>
            </w:pPr>
            <w:r/>
            <w:r>
              <w:rPr>
                <w:sz w:val="17"/>
              </w:rPr>
              <w:t>Identity</w:t>
            </w:r>
          </w:p>
        </w:tc>
        <w:tc>
          <w:tcPr>
            <w:tcW w:type="dxa" w:w="9000"/>
          </w:tcPr>
          <w:p>
            <w:pPr>
              <w:spacing w:after="20"/>
            </w:pPr>
            <w:r/>
            <w:r>
              <w:rPr>
                <w:sz w:val="17"/>
              </w:rPr>
              <w:t>contacts · members · member_sessions · tags · contact_tags · segments · contact_activity · access_grants</w:t>
            </w:r>
          </w:p>
        </w:tc>
      </w:tr>
      <w:tr>
        <w:tc>
          <w:tcPr>
            <w:tcW w:type="dxa" w:w="1224"/>
          </w:tcPr>
          <w:p>
            <w:pPr>
              <w:spacing w:after="20"/>
            </w:pPr>
            <w:r/>
            <w:r>
              <w:rPr>
                <w:sz w:val="17"/>
              </w:rPr>
              <w:t>Catalogue</w:t>
            </w:r>
          </w:p>
        </w:tc>
        <w:tc>
          <w:tcPr>
            <w:tcW w:type="dxa" w:w="9000"/>
          </w:tcPr>
          <w:p>
            <w:pPr>
              <w:spacing w:after="20"/>
            </w:pPr>
            <w:r/>
            <w:r>
              <w:rPr>
                <w:sz w:val="17"/>
              </w:rPr>
              <w:t>products · product_bundle_items · product_files · offers · offer_products · offer_bumps · offer_upsells · coupons · coupon_redemptions</w:t>
            </w:r>
          </w:p>
        </w:tc>
      </w:tr>
      <w:tr>
        <w:tc>
          <w:tcPr>
            <w:tcW w:type="dxa" w:w="1224"/>
          </w:tcPr>
          <w:p>
            <w:pPr>
              <w:spacing w:after="20"/>
            </w:pPr>
            <w:r/>
            <w:r>
              <w:rPr>
                <w:sz w:val="17"/>
              </w:rPr>
              <w:t>Money</w:t>
            </w:r>
          </w:p>
        </w:tc>
        <w:tc>
          <w:tcPr>
            <w:tcW w:type="dxa" w:w="9000"/>
          </w:tcPr>
          <w:p>
            <w:pPr>
              <w:spacing w:after="20"/>
            </w:pPr>
            <w:r/>
            <w:r>
              <w:rPr>
                <w:sz w:val="17"/>
              </w:rPr>
              <w:t>orders · order_items · transactions · subscriptions · payment_plans · payment_plan_installments · invoices · refunds · tax_records · abandoned_checkouts · stripe_events</w:t>
            </w:r>
          </w:p>
        </w:tc>
      </w:tr>
      <w:tr>
        <w:tc>
          <w:tcPr>
            <w:tcW w:type="dxa" w:w="1224"/>
          </w:tcPr>
          <w:p>
            <w:pPr>
              <w:spacing w:after="20"/>
            </w:pPr>
            <w:r/>
            <w:r>
              <w:rPr>
                <w:sz w:val="17"/>
              </w:rPr>
              <w:t>Delivery</w:t>
            </w:r>
          </w:p>
        </w:tc>
        <w:tc>
          <w:tcPr>
            <w:tcW w:type="dxa" w:w="9000"/>
          </w:tcPr>
          <w:p>
            <w:pPr>
              <w:spacing w:after="20"/>
            </w:pPr>
            <w:r/>
            <w:r>
              <w:rPr>
                <w:sz w:val="17"/>
              </w:rPr>
              <w:t>courses · course_modules · course_lessons · lesson_progress · lesson_comments · lesson_notes · certificates · certificate_templates · download_events</w:t>
            </w:r>
          </w:p>
        </w:tc>
      </w:tr>
      <w:tr>
        <w:tc>
          <w:tcPr>
            <w:tcW w:type="dxa" w:w="1224"/>
          </w:tcPr>
          <w:p>
            <w:pPr>
              <w:spacing w:after="20"/>
            </w:pPr>
            <w:r/>
            <w:r>
              <w:rPr>
                <w:sz w:val="17"/>
              </w:rPr>
              <w:t>Community</w:t>
            </w:r>
          </w:p>
        </w:tc>
        <w:tc>
          <w:tcPr>
            <w:tcW w:type="dxa" w:w="9000"/>
          </w:tcPr>
          <w:p>
            <w:pPr>
              <w:spacing w:after="20"/>
            </w:pPr>
            <w:r/>
            <w:r>
              <w:rPr>
                <w:sz w:val="17"/>
              </w:rPr>
              <w:t>communities · community_channels · community_posts · community_comments · community_reactions · community_polls · challenges · badges · community_events · community_reports</w:t>
            </w:r>
          </w:p>
        </w:tc>
      </w:tr>
      <w:tr>
        <w:tc>
          <w:tcPr>
            <w:tcW w:type="dxa" w:w="1224"/>
          </w:tcPr>
          <w:p>
            <w:pPr>
              <w:spacing w:after="20"/>
            </w:pPr>
            <w:r/>
            <w:r>
              <w:rPr>
                <w:sz w:val="17"/>
              </w:rPr>
              <w:t>Coaching</w:t>
            </w:r>
          </w:p>
        </w:tc>
        <w:tc>
          <w:tcPr>
            <w:tcW w:type="dxa" w:w="9000"/>
          </w:tcPr>
          <w:p>
            <w:pPr>
              <w:spacing w:after="20"/>
            </w:pPr>
            <w:r/>
            <w:r>
              <w:rPr>
                <w:sz w:val="17"/>
              </w:rPr>
              <w:t>coaching_offers · coaching_sessions · coaching_credits · coach_availability · coach_availability_overrides</w:t>
            </w:r>
          </w:p>
        </w:tc>
      </w:tr>
      <w:tr>
        <w:tc>
          <w:tcPr>
            <w:tcW w:type="dxa" w:w="1224"/>
          </w:tcPr>
          <w:p>
            <w:pPr>
              <w:spacing w:after="20"/>
            </w:pPr>
            <w:r/>
            <w:r>
              <w:rPr>
                <w:sz w:val="17"/>
              </w:rPr>
              <w:t>Marketing</w:t>
            </w:r>
          </w:p>
        </w:tc>
        <w:tc>
          <w:tcPr>
            <w:tcW w:type="dxa" w:w="9000"/>
          </w:tcPr>
          <w:p>
            <w:pPr>
              <w:spacing w:after="20"/>
            </w:pPr>
            <w:r/>
            <w:r>
              <w:rPr>
                <w:sz w:val="17"/>
              </w:rPr>
              <w:t>forms · form_submissions · assessments · assessment_questions · assessment_attempts · events · event_registrations · email_sequences · sequence_emails · sequence_subscriptions · email_campaigns · email_sends · email_events · email_suppressions · email_templates · automations · automation_actions · automation_runs</w:t>
            </w:r>
          </w:p>
        </w:tc>
      </w:tr>
      <w:tr>
        <w:tc>
          <w:tcPr>
            <w:tcW w:type="dxa" w:w="1224"/>
          </w:tcPr>
          <w:p>
            <w:pPr>
              <w:spacing w:after="20"/>
            </w:pPr>
            <w:r/>
            <w:r>
              <w:rPr>
                <w:sz w:val="17"/>
              </w:rPr>
              <w:t>Affiliates</w:t>
            </w:r>
          </w:p>
        </w:tc>
        <w:tc>
          <w:tcPr>
            <w:tcW w:type="dxa" w:w="9000"/>
          </w:tcPr>
          <w:p>
            <w:pPr>
              <w:spacing w:after="20"/>
            </w:pPr>
            <w:r/>
            <w:r>
              <w:rPr>
                <w:sz w:val="17"/>
              </w:rPr>
              <w:t>affiliates · affiliate_links · affiliate_clicks · affiliate_commission_rules · affiliate_commissions · affiliate_payouts</w:t>
            </w:r>
          </w:p>
        </w:tc>
      </w:tr>
      <w:tr>
        <w:tc>
          <w:tcPr>
            <w:tcW w:type="dxa" w:w="1224"/>
          </w:tcPr>
          <w:p>
            <w:pPr>
              <w:spacing w:after="20"/>
            </w:pPr>
            <w:r/>
            <w:r>
              <w:rPr>
                <w:sz w:val="17"/>
              </w:rPr>
              <w:t>Platform</w:t>
            </w:r>
          </w:p>
        </w:tc>
        <w:tc>
          <w:tcPr>
            <w:tcW w:type="dxa" w:w="9000"/>
          </w:tcPr>
          <w:p>
            <w:pPr>
              <w:spacing w:after="20"/>
            </w:pPr>
            <w:r/>
            <w:r>
              <w:rPr>
                <w:sz w:val="17"/>
              </w:rPr>
              <w:t>admin_users · admin_sessions · admin_invites · admin_audit_log · settings · api_keys · webhook_endpoints · webhook_deliveries · jobs · job_schedules · media_assets · report_daily</w:t>
            </w:r>
          </w:p>
        </w:tc>
      </w:tr>
    </w:tbl>
    <w:p>
      <w:pPr>
        <w:spacing w:after="20"/>
      </w:pPr>
    </w:p>
    <w:p>
      <w:pPr>
        <w:pStyle w:val="Heading1"/>
      </w:pPr>
      <w:r>
        <w:t>4. Functional requirements</w:t>
      </w:r>
    </w:p>
    <w:p>
      <w:r>
        <w:rPr>
          <w:i/>
          <w:sz w:val="18"/>
        </w:rPr>
        <w:t>M = must ship. S = should, next release. C = design for it, do not build (Kajabi parity).</w:t>
      </w:r>
    </w:p>
    <w:p>
      <w:pPr>
        <w:pStyle w:val="Heading2"/>
      </w:pPr>
      <w:r>
        <w:t>FR-1  Member accounts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1.1</w:t>
            </w:r>
          </w:p>
        </w:tc>
        <w:tc>
          <w:tcPr>
            <w:tcW w:type="dxa" w:w="8424"/>
          </w:tcPr>
          <w:p>
            <w:pPr>
              <w:spacing w:after="20"/>
            </w:pPr>
            <w:r/>
            <w:r>
              <w:rPr>
                <w:sz w:val="17"/>
              </w:rPr>
              <w:t>Register / verify email / sign in / sign out / forgot + reset password. Resolves to the single contact for that email.</w:t>
            </w:r>
          </w:p>
        </w:tc>
        <w:tc>
          <w:tcPr>
            <w:tcW w:type="dxa" w:w="648"/>
          </w:tcPr>
          <w:p>
            <w:pPr>
              <w:spacing w:after="20"/>
            </w:pPr>
            <w:r/>
            <w:r>
              <w:rPr>
                <w:sz w:val="17"/>
              </w:rPr>
              <w:t>M</w:t>
            </w:r>
          </w:p>
        </w:tc>
      </w:tr>
      <w:tr>
        <w:tc>
          <w:tcPr>
            <w:tcW w:type="dxa" w:w="936"/>
          </w:tcPr>
          <w:p>
            <w:pPr>
              <w:spacing w:after="20"/>
            </w:pPr>
            <w:r/>
            <w:r>
              <w:rPr>
                <w:sz w:val="17"/>
              </w:rPr>
              <w:t>1.2</w:t>
            </w:r>
          </w:p>
        </w:tc>
        <w:tc>
          <w:tcPr>
            <w:tcW w:type="dxa" w:w="8424"/>
          </w:tcPr>
          <w:p>
            <w:pPr>
              <w:spacing w:after="20"/>
            </w:pPr>
            <w:r/>
            <w:r>
              <w:rPr>
                <w:sz w:val="17"/>
              </w:rPr>
              <w:t>Argon2id or bcrypt ≥12. 15-min access token + rotating HttpOnly refresh cookie; reuse kills the session family.</w:t>
            </w:r>
          </w:p>
        </w:tc>
        <w:tc>
          <w:tcPr>
            <w:tcW w:type="dxa" w:w="648"/>
          </w:tcPr>
          <w:p>
            <w:pPr>
              <w:spacing w:after="20"/>
            </w:pPr>
            <w:r/>
            <w:r>
              <w:rPr>
                <w:sz w:val="17"/>
              </w:rPr>
              <w:t>M</w:t>
            </w:r>
          </w:p>
        </w:tc>
      </w:tr>
      <w:tr>
        <w:tc>
          <w:tcPr>
            <w:tcW w:type="dxa" w:w="936"/>
          </w:tcPr>
          <w:p>
            <w:pPr>
              <w:spacing w:after="20"/>
            </w:pPr>
            <w:r/>
            <w:r>
              <w:rPr>
                <w:sz w:val="17"/>
              </w:rPr>
              <w:t>1.3</w:t>
            </w:r>
          </w:p>
        </w:tc>
        <w:tc>
          <w:tcPr>
            <w:tcW w:type="dxa" w:w="8424"/>
          </w:tcPr>
          <w:p>
            <w:pPr>
              <w:spacing w:after="20"/>
            </w:pPr>
            <w:r/>
            <w:r>
              <w:rPr>
                <w:sz w:val="17"/>
              </w:rPr>
              <w:t>Rate limit 5 attempts / 15 min per IP+email. Responses never reveal whether an email exists.</w:t>
            </w:r>
          </w:p>
        </w:tc>
        <w:tc>
          <w:tcPr>
            <w:tcW w:type="dxa" w:w="648"/>
          </w:tcPr>
          <w:p>
            <w:pPr>
              <w:spacing w:after="20"/>
            </w:pPr>
            <w:r/>
            <w:r>
              <w:rPr>
                <w:sz w:val="17"/>
              </w:rPr>
              <w:t>M</w:t>
            </w:r>
          </w:p>
        </w:tc>
      </w:tr>
      <w:tr>
        <w:tc>
          <w:tcPr>
            <w:tcW w:type="dxa" w:w="936"/>
          </w:tcPr>
          <w:p>
            <w:pPr>
              <w:spacing w:after="20"/>
            </w:pPr>
            <w:r/>
            <w:r>
              <w:rPr>
                <w:sz w:val="17"/>
              </w:rPr>
              <w:t>1.4</w:t>
            </w:r>
          </w:p>
        </w:tc>
        <w:tc>
          <w:tcPr>
            <w:tcW w:type="dxa" w:w="8424"/>
          </w:tcPr>
          <w:p>
            <w:pPr>
              <w:spacing w:after="20"/>
            </w:pPr>
            <w:r/>
            <w:r>
              <w:rPr>
                <w:sz w:val="17"/>
              </w:rPr>
              <w:t>Profile edit (name, avatar, timezone), password change (revokes other sessions), session list + revoke.</w:t>
            </w:r>
          </w:p>
        </w:tc>
        <w:tc>
          <w:tcPr>
            <w:tcW w:type="dxa" w:w="648"/>
          </w:tcPr>
          <w:p>
            <w:pPr>
              <w:spacing w:after="20"/>
            </w:pPr>
            <w:r/>
            <w:r>
              <w:rPr>
                <w:sz w:val="17"/>
              </w:rPr>
              <w:t>M</w:t>
            </w:r>
          </w:p>
        </w:tc>
      </w:tr>
      <w:tr>
        <w:tc>
          <w:tcPr>
            <w:tcW w:type="dxa" w:w="936"/>
          </w:tcPr>
          <w:p>
            <w:pPr>
              <w:spacing w:after="20"/>
            </w:pPr>
            <w:r/>
            <w:r>
              <w:rPr>
                <w:sz w:val="17"/>
              </w:rPr>
              <w:t>1.5</w:t>
            </w:r>
          </w:p>
        </w:tc>
        <w:tc>
          <w:tcPr>
            <w:tcW w:type="dxa" w:w="8424"/>
          </w:tcPr>
          <w:p>
            <w:pPr>
              <w:spacing w:after="20"/>
            </w:pPr>
            <w:r/>
            <w:r>
              <w:rPr>
                <w:sz w:val="17"/>
              </w:rPr>
              <w:t>Magic-link sign-in behind a setting.</w:t>
            </w:r>
          </w:p>
        </w:tc>
        <w:tc>
          <w:tcPr>
            <w:tcW w:type="dxa" w:w="648"/>
          </w:tcPr>
          <w:p>
            <w:pPr>
              <w:spacing w:after="20"/>
            </w:pPr>
            <w:r/>
            <w:r>
              <w:rPr>
                <w:sz w:val="17"/>
              </w:rPr>
              <w:t>S</w:t>
            </w:r>
          </w:p>
        </w:tc>
      </w:tr>
      <w:tr>
        <w:tc>
          <w:tcPr>
            <w:tcW w:type="dxa" w:w="936"/>
          </w:tcPr>
          <w:p>
            <w:pPr>
              <w:spacing w:after="20"/>
            </w:pPr>
            <w:r/>
            <w:r>
              <w:rPr>
                <w:sz w:val="17"/>
              </w:rPr>
              <w:t>1.6</w:t>
            </w:r>
          </w:p>
        </w:tc>
        <w:tc>
          <w:tcPr>
            <w:tcW w:type="dxa" w:w="8424"/>
          </w:tcPr>
          <w:p>
            <w:pPr>
              <w:spacing w:after="20"/>
            </w:pPr>
            <w:r/>
            <w:r>
              <w:rPr>
                <w:sz w:val="17"/>
              </w:rPr>
              <w:t>Admin: search, suspend, delete (GDPR), manual grant/revoke, CSV import/export, audited impersonation.</w:t>
            </w:r>
          </w:p>
        </w:tc>
        <w:tc>
          <w:tcPr>
            <w:tcW w:type="dxa" w:w="648"/>
          </w:tcPr>
          <w:p>
            <w:pPr>
              <w:spacing w:after="20"/>
            </w:pPr>
            <w:r/>
            <w:r>
              <w:rPr>
                <w:sz w:val="17"/>
              </w:rPr>
              <w:t>M</w:t>
            </w:r>
          </w:p>
        </w:tc>
      </w:tr>
    </w:tbl>
    <w:p>
      <w:pPr>
        <w:spacing w:after="20"/>
      </w:pPr>
    </w:p>
    <w:p>
      <w:pPr>
        <w:pStyle w:val="Heading2"/>
      </w:pPr>
      <w:r>
        <w:t>FR-2  Contacts, tags, segments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2.1</w:t>
            </w:r>
          </w:p>
        </w:tc>
        <w:tc>
          <w:tcPr>
            <w:tcW w:type="dxa" w:w="8424"/>
          </w:tcPr>
          <w:p>
            <w:pPr>
              <w:spacing w:after="20"/>
            </w:pPr>
            <w:r/>
            <w:r>
              <w:rPr>
                <w:sz w:val="17"/>
              </w:rPr>
              <w:t>One contact per email (case-insensitive unique constraint). One resolution function used everywhere.</w:t>
            </w:r>
          </w:p>
        </w:tc>
        <w:tc>
          <w:tcPr>
            <w:tcW w:type="dxa" w:w="648"/>
          </w:tcPr>
          <w:p>
            <w:pPr>
              <w:spacing w:after="20"/>
            </w:pPr>
            <w:r/>
            <w:r>
              <w:rPr>
                <w:sz w:val="17"/>
              </w:rPr>
              <w:t>M</w:t>
            </w:r>
          </w:p>
        </w:tc>
      </w:tr>
      <w:tr>
        <w:tc>
          <w:tcPr>
            <w:tcW w:type="dxa" w:w="936"/>
          </w:tcPr>
          <w:p>
            <w:pPr>
              <w:spacing w:after="20"/>
            </w:pPr>
            <w:r/>
            <w:r>
              <w:rPr>
                <w:sz w:val="17"/>
              </w:rPr>
              <w:t>2.2</w:t>
            </w:r>
          </w:p>
        </w:tc>
        <w:tc>
          <w:tcPr>
            <w:tcW w:type="dxa" w:w="8424"/>
          </w:tcPr>
          <w:p>
            <w:pPr>
              <w:spacing w:after="20"/>
            </w:pPr>
            <w:r/>
            <w:r>
              <w:rPr>
                <w:sz w:val="17"/>
              </w:rPr>
              <w:t>Fields: name, email, phone, timezone, source, marketing status, lifetime value, last activity, custom fields.</w:t>
            </w:r>
          </w:p>
        </w:tc>
        <w:tc>
          <w:tcPr>
            <w:tcW w:type="dxa" w:w="648"/>
          </w:tcPr>
          <w:p>
            <w:pPr>
              <w:spacing w:after="20"/>
            </w:pPr>
            <w:r/>
            <w:r>
              <w:rPr>
                <w:sz w:val="17"/>
              </w:rPr>
              <w:t>M</w:t>
            </w:r>
          </w:p>
        </w:tc>
      </w:tr>
      <w:tr>
        <w:tc>
          <w:tcPr>
            <w:tcW w:type="dxa" w:w="936"/>
          </w:tcPr>
          <w:p>
            <w:pPr>
              <w:spacing w:after="20"/>
            </w:pPr>
            <w:r/>
            <w:r>
              <w:rPr>
                <w:sz w:val="17"/>
              </w:rPr>
              <w:t>2.3</w:t>
            </w:r>
          </w:p>
        </w:tc>
        <w:tc>
          <w:tcPr>
            <w:tcW w:type="dxa" w:w="8424"/>
          </w:tcPr>
          <w:p>
            <w:pPr>
              <w:spacing w:after="20"/>
            </w:pPr>
            <w:r/>
            <w:r>
              <w:rPr>
                <w:sz w:val="17"/>
              </w:rPr>
              <w:t>Lifetime value derived from settled transactions net of refunds. Never hand-edited.</w:t>
            </w:r>
          </w:p>
        </w:tc>
        <w:tc>
          <w:tcPr>
            <w:tcW w:type="dxa" w:w="648"/>
          </w:tcPr>
          <w:p>
            <w:pPr>
              <w:spacing w:after="20"/>
            </w:pPr>
            <w:r/>
            <w:r>
              <w:rPr>
                <w:sz w:val="17"/>
              </w:rPr>
              <w:t>M</w:t>
            </w:r>
          </w:p>
        </w:tc>
      </w:tr>
      <w:tr>
        <w:tc>
          <w:tcPr>
            <w:tcW w:type="dxa" w:w="936"/>
          </w:tcPr>
          <w:p>
            <w:pPr>
              <w:spacing w:after="20"/>
            </w:pPr>
            <w:r/>
            <w:r>
              <w:rPr>
                <w:sz w:val="17"/>
              </w:rPr>
              <w:t>2.4</w:t>
            </w:r>
          </w:p>
        </w:tc>
        <w:tc>
          <w:tcPr>
            <w:tcW w:type="dxa" w:w="8424"/>
          </w:tcPr>
          <w:p>
            <w:pPr>
              <w:spacing w:after="20"/>
            </w:pPr>
            <w:r/>
            <w:r>
              <w:rPr>
                <w:sz w:val="17"/>
              </w:rPr>
              <w:t>Tags: CRUD, bulk apply/remove, optional access grant on tag.</w:t>
            </w:r>
          </w:p>
        </w:tc>
        <w:tc>
          <w:tcPr>
            <w:tcW w:type="dxa" w:w="648"/>
          </w:tcPr>
          <w:p>
            <w:pPr>
              <w:spacing w:after="20"/>
            </w:pPr>
            <w:r/>
            <w:r>
              <w:rPr>
                <w:sz w:val="17"/>
              </w:rPr>
              <w:t>M</w:t>
            </w:r>
          </w:p>
        </w:tc>
      </w:tr>
      <w:tr>
        <w:tc>
          <w:tcPr>
            <w:tcW w:type="dxa" w:w="936"/>
          </w:tcPr>
          <w:p>
            <w:pPr>
              <w:spacing w:after="20"/>
            </w:pPr>
            <w:r/>
            <w:r>
              <w:rPr>
                <w:sz w:val="17"/>
              </w:rPr>
              <w:t>2.5</w:t>
            </w:r>
          </w:p>
        </w:tc>
        <w:tc>
          <w:tcPr>
            <w:tcW w:type="dxa" w:w="8424"/>
          </w:tcPr>
          <w:p>
            <w:pPr>
              <w:spacing w:after="20"/>
            </w:pPr>
            <w:r/>
            <w:r>
              <w:rPr>
                <w:sz w:val="17"/>
              </w:rPr>
              <w:t>Segments: saved filters over attributes / tags / purchases / access / engagement, AND-OR-NOT, evaluated at use time, with count preview.</w:t>
            </w:r>
          </w:p>
        </w:tc>
        <w:tc>
          <w:tcPr>
            <w:tcW w:type="dxa" w:w="648"/>
          </w:tcPr>
          <w:p>
            <w:pPr>
              <w:spacing w:after="20"/>
            </w:pPr>
            <w:r/>
            <w:r>
              <w:rPr>
                <w:sz w:val="17"/>
              </w:rPr>
              <w:t>M</w:t>
            </w:r>
          </w:p>
        </w:tc>
      </w:tr>
      <w:tr>
        <w:tc>
          <w:tcPr>
            <w:tcW w:type="dxa" w:w="936"/>
          </w:tcPr>
          <w:p>
            <w:pPr>
              <w:spacing w:after="20"/>
            </w:pPr>
            <w:r/>
            <w:r>
              <w:rPr>
                <w:sz w:val="17"/>
              </w:rPr>
              <w:t>2.6</w:t>
            </w:r>
          </w:p>
        </w:tc>
        <w:tc>
          <w:tcPr>
            <w:tcW w:type="dxa" w:w="8424"/>
          </w:tcPr>
          <w:p>
            <w:pPr>
              <w:spacing w:after="20"/>
            </w:pPr>
            <w:r/>
            <w:r>
              <w:rPr>
                <w:sz w:val="17"/>
              </w:rPr>
              <w:t>Activity timeline per contact: forms, assessments, purchases, refunds, access, lessons, emails, community, bookings, tag changes, staff actions.</w:t>
            </w:r>
          </w:p>
        </w:tc>
        <w:tc>
          <w:tcPr>
            <w:tcW w:type="dxa" w:w="648"/>
          </w:tcPr>
          <w:p>
            <w:pPr>
              <w:spacing w:after="20"/>
            </w:pPr>
            <w:r/>
            <w:r>
              <w:rPr>
                <w:sz w:val="17"/>
              </w:rPr>
              <w:t>M</w:t>
            </w:r>
          </w:p>
        </w:tc>
      </w:tr>
      <w:tr>
        <w:tc>
          <w:tcPr>
            <w:tcW w:type="dxa" w:w="936"/>
          </w:tcPr>
          <w:p>
            <w:pPr>
              <w:spacing w:after="20"/>
            </w:pPr>
            <w:r/>
            <w:r>
              <w:rPr>
                <w:sz w:val="17"/>
              </w:rPr>
              <w:t>2.7</w:t>
            </w:r>
          </w:p>
        </w:tc>
        <w:tc>
          <w:tcPr>
            <w:tcW w:type="dxa" w:w="8424"/>
          </w:tcPr>
          <w:p>
            <w:pPr>
              <w:spacing w:after="20"/>
            </w:pPr>
            <w:r/>
            <w:r>
              <w:rPr>
                <w:sz w:val="17"/>
              </w:rPr>
              <w:t>CSV import with mapping, dedupe by email, dry-run and error report. Filtered CSV export.</w:t>
            </w:r>
          </w:p>
        </w:tc>
        <w:tc>
          <w:tcPr>
            <w:tcW w:type="dxa" w:w="648"/>
          </w:tcPr>
          <w:p>
            <w:pPr>
              <w:spacing w:after="20"/>
            </w:pPr>
            <w:r/>
            <w:r>
              <w:rPr>
                <w:sz w:val="17"/>
              </w:rPr>
              <w:t>M</w:t>
            </w:r>
          </w:p>
        </w:tc>
      </w:tr>
    </w:tbl>
    <w:p>
      <w:pPr>
        <w:spacing w:after="20"/>
      </w:pPr>
    </w:p>
    <w:p>
      <w:pPr>
        <w:pStyle w:val="Heading2"/>
      </w:pPr>
      <w:r>
        <w:t>FR-3  Products &amp; access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3.1</w:t>
            </w:r>
          </w:p>
        </w:tc>
        <w:tc>
          <w:tcPr>
            <w:tcW w:type="dxa" w:w="8424"/>
          </w:tcPr>
          <w:p>
            <w:pPr>
              <w:spacing w:after="20"/>
            </w:pPr>
            <w:r/>
            <w:r>
              <w:rPr>
                <w:sz w:val="17"/>
              </w:rPr>
              <w:t>Types: course, download, community, coaching, podcast, newsletter, bundle. Draft/published/archived.</w:t>
            </w:r>
          </w:p>
        </w:tc>
        <w:tc>
          <w:tcPr>
            <w:tcW w:type="dxa" w:w="648"/>
          </w:tcPr>
          <w:p>
            <w:pPr>
              <w:spacing w:after="20"/>
            </w:pPr>
            <w:r/>
            <w:r>
              <w:rPr>
                <w:sz w:val="17"/>
              </w:rPr>
              <w:t>M</w:t>
            </w:r>
          </w:p>
        </w:tc>
      </w:tr>
      <w:tr>
        <w:tc>
          <w:tcPr>
            <w:tcW w:type="dxa" w:w="936"/>
          </w:tcPr>
          <w:p>
            <w:pPr>
              <w:spacing w:after="20"/>
            </w:pPr>
            <w:r/>
            <w:r>
              <w:rPr>
                <w:sz w:val="17"/>
              </w:rPr>
              <w:t>3.2</w:t>
            </w:r>
          </w:p>
        </w:tc>
        <w:tc>
          <w:tcPr>
            <w:tcW w:type="dxa" w:w="8424"/>
          </w:tcPr>
          <w:p>
            <w:pPr>
              <w:spacing w:after="20"/>
            </w:pPr>
            <w:r/>
            <w:r>
              <w:rPr>
                <w:sz w:val="17"/>
              </w:rPr>
              <w:t>No price on a product, ever.</w:t>
            </w:r>
          </w:p>
        </w:tc>
        <w:tc>
          <w:tcPr>
            <w:tcW w:type="dxa" w:w="648"/>
          </w:tcPr>
          <w:p>
            <w:pPr>
              <w:spacing w:after="20"/>
            </w:pPr>
            <w:r/>
            <w:r>
              <w:rPr>
                <w:sz w:val="17"/>
              </w:rPr>
              <w:t>M</w:t>
            </w:r>
          </w:p>
        </w:tc>
      </w:tr>
      <w:tr>
        <w:tc>
          <w:tcPr>
            <w:tcW w:type="dxa" w:w="936"/>
          </w:tcPr>
          <w:p>
            <w:pPr>
              <w:spacing w:after="20"/>
            </w:pPr>
            <w:r/>
            <w:r>
              <w:rPr>
                <w:sz w:val="17"/>
              </w:rPr>
              <w:t>3.3</w:t>
            </w:r>
          </w:p>
        </w:tc>
        <w:tc>
          <w:tcPr>
            <w:tcW w:type="dxa" w:w="8424"/>
          </w:tcPr>
          <w:p>
            <w:pPr>
              <w:spacing w:after="20"/>
            </w:pPr>
            <w:r/>
            <w:r>
              <w:rPr>
                <w:sz w:val="17"/>
              </w:rPr>
              <w:t>Grants record source (purchase / manual / automation / tag) and support absolute or relative expiry and revocation.</w:t>
            </w:r>
          </w:p>
        </w:tc>
        <w:tc>
          <w:tcPr>
            <w:tcW w:type="dxa" w:w="648"/>
          </w:tcPr>
          <w:p>
            <w:pPr>
              <w:spacing w:after="20"/>
            </w:pPr>
            <w:r/>
            <w:r>
              <w:rPr>
                <w:sz w:val="17"/>
              </w:rPr>
              <w:t>M</w:t>
            </w:r>
          </w:p>
        </w:tc>
      </w:tr>
      <w:tr>
        <w:tc>
          <w:tcPr>
            <w:tcW w:type="dxa" w:w="936"/>
          </w:tcPr>
          <w:p>
            <w:pPr>
              <w:spacing w:after="20"/>
            </w:pPr>
            <w:r/>
            <w:r>
              <w:rPr>
                <w:sz w:val="17"/>
              </w:rPr>
              <w:t>3.4</w:t>
            </w:r>
          </w:p>
        </w:tc>
        <w:tc>
          <w:tcPr>
            <w:tcW w:type="dxa" w:w="8424"/>
          </w:tcPr>
          <w:p>
            <w:pPr>
              <w:spacing w:after="20"/>
            </w:pPr>
            <w:r/>
            <w:r>
              <w:rPr>
                <w:sz w:val="17"/>
              </w:rPr>
              <w:t>One canAccess(contact, product) function used by every route, job and screen.</w:t>
            </w:r>
          </w:p>
        </w:tc>
        <w:tc>
          <w:tcPr>
            <w:tcW w:type="dxa" w:w="648"/>
          </w:tcPr>
          <w:p>
            <w:pPr>
              <w:spacing w:after="20"/>
            </w:pPr>
            <w:r/>
            <w:r>
              <w:rPr>
                <w:sz w:val="17"/>
              </w:rPr>
              <w:t>M</w:t>
            </w:r>
          </w:p>
        </w:tc>
      </w:tr>
      <w:tr>
        <w:tc>
          <w:tcPr>
            <w:tcW w:type="dxa" w:w="936"/>
          </w:tcPr>
          <w:p>
            <w:pPr>
              <w:spacing w:after="20"/>
            </w:pPr>
            <w:r/>
            <w:r>
              <w:rPr>
                <w:sz w:val="17"/>
              </w:rPr>
              <w:t>3.5</w:t>
            </w:r>
          </w:p>
        </w:tc>
        <w:tc>
          <w:tcPr>
            <w:tcW w:type="dxa" w:w="8424"/>
          </w:tcPr>
          <w:p>
            <w:pPr>
              <w:spacing w:after="20"/>
            </w:pPr>
            <w:r/>
            <w:r>
              <w:rPr>
                <w:sz w:val="17"/>
              </w:rPr>
              <w:t>Bundles grant constituents transitively; revoking a bundle leaves independent grants intact.</w:t>
            </w:r>
          </w:p>
        </w:tc>
        <w:tc>
          <w:tcPr>
            <w:tcW w:type="dxa" w:w="648"/>
          </w:tcPr>
          <w:p>
            <w:pPr>
              <w:spacing w:after="20"/>
            </w:pPr>
            <w:r/>
            <w:r>
              <w:rPr>
                <w:sz w:val="17"/>
              </w:rPr>
              <w:t>M</w:t>
            </w:r>
          </w:p>
        </w:tc>
      </w:tr>
      <w:tr>
        <w:tc>
          <w:tcPr>
            <w:tcW w:type="dxa" w:w="936"/>
          </w:tcPr>
          <w:p>
            <w:pPr>
              <w:spacing w:after="20"/>
            </w:pPr>
            <w:r/>
            <w:r>
              <w:rPr>
                <w:sz w:val="17"/>
              </w:rPr>
              <w:t>3.6</w:t>
            </w:r>
          </w:p>
        </w:tc>
        <w:tc>
          <w:tcPr>
            <w:tcW w:type="dxa" w:w="8424"/>
          </w:tcPr>
          <w:p>
            <w:pPr>
              <w:spacing w:after="20"/>
            </w:pPr>
            <w:r/>
            <w:r>
              <w:rPr>
                <w:sz w:val="17"/>
              </w:rPr>
              <w:t>Expiry badge in library + reminder email before expiry.</w:t>
            </w:r>
          </w:p>
        </w:tc>
        <w:tc>
          <w:tcPr>
            <w:tcW w:type="dxa" w:w="648"/>
          </w:tcPr>
          <w:p>
            <w:pPr>
              <w:spacing w:after="20"/>
            </w:pPr>
            <w:r/>
            <w:r>
              <w:rPr>
                <w:sz w:val="17"/>
              </w:rPr>
              <w:t>S</w:t>
            </w:r>
          </w:p>
        </w:tc>
      </w:tr>
    </w:tbl>
    <w:p>
      <w:pPr>
        <w:spacing w:after="20"/>
      </w:pPr>
    </w:p>
    <w:p>
      <w:pPr>
        <w:pStyle w:val="Heading2"/>
      </w:pPr>
      <w:r>
        <w:t>FR-4  Offers, checkout &amp; payments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4.1</w:t>
            </w:r>
          </w:p>
        </w:tc>
        <w:tc>
          <w:tcPr>
            <w:tcW w:type="dxa" w:w="8424"/>
          </w:tcPr>
          <w:p>
            <w:pPr>
              <w:spacing w:after="20"/>
            </w:pPr>
            <w:r/>
            <w:r>
              <w:rPr>
                <w:sz w:val="17"/>
              </w:rPr>
              <w:t>Pricing types: one-time, subscription, payment plan, free, pay-what-you-want (with minimum).</w:t>
            </w:r>
          </w:p>
        </w:tc>
        <w:tc>
          <w:tcPr>
            <w:tcW w:type="dxa" w:w="648"/>
          </w:tcPr>
          <w:p>
            <w:pPr>
              <w:spacing w:after="20"/>
            </w:pPr>
            <w:r/>
            <w:r>
              <w:rPr>
                <w:sz w:val="17"/>
              </w:rPr>
              <w:t>M</w:t>
            </w:r>
          </w:p>
        </w:tc>
      </w:tr>
      <w:tr>
        <w:tc>
          <w:tcPr>
            <w:tcW w:type="dxa" w:w="936"/>
          </w:tcPr>
          <w:p>
            <w:pPr>
              <w:spacing w:after="20"/>
            </w:pPr>
            <w:r/>
            <w:r>
              <w:rPr>
                <w:sz w:val="17"/>
              </w:rPr>
              <w:t>4.2</w:t>
            </w:r>
          </w:p>
        </w:tc>
        <w:tc>
          <w:tcPr>
            <w:tcW w:type="dxa" w:w="8424"/>
          </w:tcPr>
          <w:p>
            <w:pPr>
              <w:spacing w:after="20"/>
            </w:pPr>
            <w:r/>
            <w:r>
              <w:rPr>
                <w:sz w:val="17"/>
              </w:rPr>
              <w:t>Payment plan is finite and self-terminating. Do not model it as a subscription.</w:t>
            </w:r>
          </w:p>
        </w:tc>
        <w:tc>
          <w:tcPr>
            <w:tcW w:type="dxa" w:w="648"/>
          </w:tcPr>
          <w:p>
            <w:pPr>
              <w:spacing w:after="20"/>
            </w:pPr>
            <w:r/>
            <w:r>
              <w:rPr>
                <w:sz w:val="17"/>
              </w:rPr>
              <w:t>M</w:t>
            </w:r>
          </w:p>
        </w:tc>
      </w:tr>
      <w:tr>
        <w:tc>
          <w:tcPr>
            <w:tcW w:type="dxa" w:w="936"/>
          </w:tcPr>
          <w:p>
            <w:pPr>
              <w:spacing w:after="20"/>
            </w:pPr>
            <w:r/>
            <w:r>
              <w:rPr>
                <w:sz w:val="17"/>
              </w:rPr>
              <w:t>4.3</w:t>
            </w:r>
          </w:p>
        </w:tc>
        <w:tc>
          <w:tcPr>
            <w:tcW w:type="dxa" w:w="8424"/>
          </w:tcPr>
          <w:p>
            <w:pPr>
              <w:spacing w:after="20"/>
            </w:pPr>
            <w:r/>
            <w:r>
              <w:rPr>
                <w:sz w:val="17"/>
              </w:rPr>
              <w:t>Per-offer checkout config: fields collected, terms checkbox, post-purchase destination, access expiry, trial, tax.</w:t>
            </w:r>
          </w:p>
        </w:tc>
        <w:tc>
          <w:tcPr>
            <w:tcW w:type="dxa" w:w="648"/>
          </w:tcPr>
          <w:p>
            <w:pPr>
              <w:spacing w:after="20"/>
            </w:pPr>
            <w:r/>
            <w:r>
              <w:rPr>
                <w:sz w:val="17"/>
              </w:rPr>
              <w:t>M</w:t>
            </w:r>
          </w:p>
        </w:tc>
      </w:tr>
      <w:tr>
        <w:tc>
          <w:tcPr>
            <w:tcW w:type="dxa" w:w="936"/>
          </w:tcPr>
          <w:p>
            <w:pPr>
              <w:spacing w:after="20"/>
            </w:pPr>
            <w:r/>
            <w:r>
              <w:rPr>
                <w:sz w:val="17"/>
              </w:rPr>
              <w:t>4.4</w:t>
            </w:r>
          </w:p>
        </w:tc>
        <w:tc>
          <w:tcPr>
            <w:tcW w:type="dxa" w:w="8424"/>
          </w:tcPr>
          <w:p>
            <w:pPr>
              <w:spacing w:after="20"/>
            </w:pPr>
            <w:r/>
            <w:r>
              <w:rPr>
                <w:sz w:val="17"/>
              </w:rPr>
              <w:t>Order bumps on the checkout page; post-purchase upsells (with downsell) charged one-click on the stored card.</w:t>
            </w:r>
          </w:p>
        </w:tc>
        <w:tc>
          <w:tcPr>
            <w:tcW w:type="dxa" w:w="648"/>
          </w:tcPr>
          <w:p>
            <w:pPr>
              <w:spacing w:after="20"/>
            </w:pPr>
            <w:r/>
            <w:r>
              <w:rPr>
                <w:sz w:val="17"/>
              </w:rPr>
              <w:t>M</w:t>
            </w:r>
          </w:p>
        </w:tc>
      </w:tr>
      <w:tr>
        <w:tc>
          <w:tcPr>
            <w:tcW w:type="dxa" w:w="936"/>
          </w:tcPr>
          <w:p>
            <w:pPr>
              <w:spacing w:after="20"/>
            </w:pPr>
            <w:r/>
            <w:r>
              <w:rPr>
                <w:sz w:val="17"/>
              </w:rPr>
              <w:t>4.5</w:t>
            </w:r>
          </w:p>
        </w:tc>
        <w:tc>
          <w:tcPr>
            <w:tcW w:type="dxa" w:w="8424"/>
          </w:tcPr>
          <w:p>
            <w:pPr>
              <w:spacing w:after="20"/>
            </w:pPr>
            <w:r/>
            <w:r>
              <w:rPr>
                <w:sz w:val="17"/>
              </w:rPr>
              <w:t>Coupons: % or fixed, global or per-offer, redemption caps, dates, first-payment-only vs recurring. Revalidated server-side at charge.</w:t>
            </w:r>
          </w:p>
        </w:tc>
        <w:tc>
          <w:tcPr>
            <w:tcW w:type="dxa" w:w="648"/>
          </w:tcPr>
          <w:p>
            <w:pPr>
              <w:spacing w:after="20"/>
            </w:pPr>
            <w:r/>
            <w:r>
              <w:rPr>
                <w:sz w:val="17"/>
              </w:rPr>
              <w:t>M</w:t>
            </w:r>
          </w:p>
        </w:tc>
      </w:tr>
      <w:tr>
        <w:tc>
          <w:tcPr>
            <w:tcW w:type="dxa" w:w="936"/>
          </w:tcPr>
          <w:p>
            <w:pPr>
              <w:spacing w:after="20"/>
            </w:pPr>
            <w:r/>
            <w:r>
              <w:rPr>
                <w:sz w:val="17"/>
              </w:rPr>
              <w:t>4.6</w:t>
            </w:r>
          </w:p>
        </w:tc>
        <w:tc>
          <w:tcPr>
            <w:tcW w:type="dxa" w:w="8424"/>
          </w:tcPr>
          <w:p>
            <w:pPr>
              <w:spacing w:after="20"/>
            </w:pPr>
            <w:r/>
            <w:r>
              <w:rPr>
                <w:sz w:val="17"/>
              </w:rPr>
              <w:t>Hosted checkout per offer. Card + Apple/Google Pay + 3DS inline. Mobile-first.</w:t>
            </w:r>
          </w:p>
        </w:tc>
        <w:tc>
          <w:tcPr>
            <w:tcW w:type="dxa" w:w="648"/>
          </w:tcPr>
          <w:p>
            <w:pPr>
              <w:spacing w:after="20"/>
            </w:pPr>
            <w:r/>
            <w:r>
              <w:rPr>
                <w:sz w:val="17"/>
              </w:rPr>
              <w:t>M</w:t>
            </w:r>
          </w:p>
        </w:tc>
      </w:tr>
      <w:tr>
        <w:tc>
          <w:tcPr>
            <w:tcW w:type="dxa" w:w="936"/>
          </w:tcPr>
          <w:p>
            <w:pPr>
              <w:spacing w:after="20"/>
            </w:pPr>
            <w:r/>
            <w:r>
              <w:rPr>
                <w:sz w:val="17"/>
              </w:rPr>
              <w:t>4.7</w:t>
            </w:r>
          </w:p>
        </w:tc>
        <w:tc>
          <w:tcPr>
            <w:tcW w:type="dxa" w:w="8424"/>
          </w:tcPr>
          <w:p>
            <w:pPr>
              <w:spacing w:after="20"/>
            </w:pPr>
            <w:r/>
            <w:r>
              <w:rPr>
                <w:sz w:val="17"/>
              </w:rPr>
              <w:t>Email persisted as an abandoned checkout before payment; recovery emails at +1h / +24h / +72h, cancelled on purchase.</w:t>
            </w:r>
          </w:p>
        </w:tc>
        <w:tc>
          <w:tcPr>
            <w:tcW w:type="dxa" w:w="648"/>
          </w:tcPr>
          <w:p>
            <w:pPr>
              <w:spacing w:after="20"/>
            </w:pPr>
            <w:r/>
            <w:r>
              <w:rPr>
                <w:sz w:val="17"/>
              </w:rPr>
              <w:t>M</w:t>
            </w:r>
          </w:p>
        </w:tc>
      </w:tr>
      <w:tr>
        <w:tc>
          <w:tcPr>
            <w:tcW w:type="dxa" w:w="936"/>
          </w:tcPr>
          <w:p>
            <w:pPr>
              <w:spacing w:after="20"/>
            </w:pPr>
            <w:r/>
            <w:r>
              <w:rPr>
                <w:sz w:val="17"/>
              </w:rPr>
              <w:t>4.8</w:t>
            </w:r>
          </w:p>
        </w:tc>
        <w:tc>
          <w:tcPr>
            <w:tcW w:type="dxa" w:w="8424"/>
          </w:tcPr>
          <w:p>
            <w:pPr>
              <w:spacing w:after="20"/>
            </w:pPr>
            <w:r/>
            <w:r>
              <w:rPr>
                <w:sz w:val="17"/>
              </w:rPr>
              <w:t>Guest checkout provisions an account and emails a set-password link; existing email attaches to the existing account.</w:t>
            </w:r>
          </w:p>
        </w:tc>
        <w:tc>
          <w:tcPr>
            <w:tcW w:type="dxa" w:w="648"/>
          </w:tcPr>
          <w:p>
            <w:pPr>
              <w:spacing w:after="20"/>
            </w:pPr>
            <w:r/>
            <w:r>
              <w:rPr>
                <w:sz w:val="17"/>
              </w:rPr>
              <w:t>M</w:t>
            </w:r>
          </w:p>
        </w:tc>
      </w:tr>
      <w:tr>
        <w:tc>
          <w:tcPr>
            <w:tcW w:type="dxa" w:w="936"/>
          </w:tcPr>
          <w:p>
            <w:pPr>
              <w:spacing w:after="20"/>
            </w:pPr>
            <w:r/>
            <w:r>
              <w:rPr>
                <w:sz w:val="17"/>
              </w:rPr>
              <w:t>4.9</w:t>
            </w:r>
          </w:p>
        </w:tc>
        <w:tc>
          <w:tcPr>
            <w:tcW w:type="dxa" w:w="8424"/>
          </w:tcPr>
          <w:p>
            <w:pPr>
              <w:spacing w:after="20"/>
            </w:pPr>
            <w:r/>
            <w:r>
              <w:rPr>
                <w:sz w:val="17"/>
              </w:rPr>
              <w:t>Never trust client-supplied price, product list or discount.</w:t>
            </w:r>
          </w:p>
        </w:tc>
        <w:tc>
          <w:tcPr>
            <w:tcW w:type="dxa" w:w="648"/>
          </w:tcPr>
          <w:p>
            <w:pPr>
              <w:spacing w:after="20"/>
            </w:pPr>
            <w:r/>
            <w:r>
              <w:rPr>
                <w:sz w:val="17"/>
              </w:rPr>
              <w:t>M</w:t>
            </w:r>
          </w:p>
        </w:tc>
      </w:tr>
      <w:tr>
        <w:tc>
          <w:tcPr>
            <w:tcW w:type="dxa" w:w="936"/>
          </w:tcPr>
          <w:p>
            <w:pPr>
              <w:spacing w:after="20"/>
            </w:pPr>
            <w:r/>
            <w:r>
              <w:rPr>
                <w:sz w:val="17"/>
              </w:rPr>
              <w:t>4.10</w:t>
            </w:r>
          </w:p>
        </w:tc>
        <w:tc>
          <w:tcPr>
            <w:tcW w:type="dxa" w:w="8424"/>
          </w:tcPr>
          <w:p>
            <w:pPr>
              <w:spacing w:after="20"/>
            </w:pPr>
            <w:r/>
            <w:r>
              <w:rPr>
                <w:sz w:val="17"/>
              </w:rPr>
              <w:t>Stripe webhooks signature-verified, raw event stored first, every handler idempotent via a claim row.</w:t>
            </w:r>
          </w:p>
        </w:tc>
        <w:tc>
          <w:tcPr>
            <w:tcW w:type="dxa" w:w="648"/>
          </w:tcPr>
          <w:p>
            <w:pPr>
              <w:spacing w:after="20"/>
            </w:pPr>
            <w:r/>
            <w:r>
              <w:rPr>
                <w:sz w:val="17"/>
              </w:rPr>
              <w:t>M</w:t>
            </w:r>
          </w:p>
        </w:tc>
      </w:tr>
      <w:tr>
        <w:tc>
          <w:tcPr>
            <w:tcW w:type="dxa" w:w="936"/>
          </w:tcPr>
          <w:p>
            <w:pPr>
              <w:spacing w:after="20"/>
            </w:pPr>
            <w:r/>
            <w:r>
              <w:rPr>
                <w:sz w:val="17"/>
              </w:rPr>
              <w:t>4.11</w:t>
            </w:r>
          </w:p>
        </w:tc>
        <w:tc>
          <w:tcPr>
            <w:tcW w:type="dxa" w:w="8424"/>
          </w:tcPr>
          <w:p>
            <w:pPr>
              <w:spacing w:after="20"/>
            </w:pPr>
            <w:r/>
            <w:r>
              <w:rPr>
                <w:sz w:val="17"/>
              </w:rPr>
              <w:t>Handle: checkout completed, payment succeeded/failed, invoice paid/failed, subscription created/updated/deleted, charge refunded, dispute created.</w:t>
            </w:r>
          </w:p>
        </w:tc>
        <w:tc>
          <w:tcPr>
            <w:tcW w:type="dxa" w:w="648"/>
          </w:tcPr>
          <w:p>
            <w:pPr>
              <w:spacing w:after="20"/>
            </w:pPr>
            <w:r/>
            <w:r>
              <w:rPr>
                <w:sz w:val="17"/>
              </w:rPr>
              <w:t>M</w:t>
            </w:r>
          </w:p>
        </w:tc>
      </w:tr>
      <w:tr>
        <w:tc>
          <w:tcPr>
            <w:tcW w:type="dxa" w:w="936"/>
          </w:tcPr>
          <w:p>
            <w:pPr>
              <w:spacing w:after="20"/>
            </w:pPr>
            <w:r/>
            <w:r>
              <w:rPr>
                <w:sz w:val="17"/>
              </w:rPr>
              <w:t>4.12</w:t>
            </w:r>
          </w:p>
        </w:tc>
        <w:tc>
          <w:tcPr>
            <w:tcW w:type="dxa" w:w="8424"/>
          </w:tcPr>
          <w:p>
            <w:pPr>
              <w:spacing w:after="20"/>
            </w:pPr>
            <w:r/>
            <w:r>
              <w:rPr>
                <w:sz w:val="17"/>
              </w:rPr>
              <w:t>Grant access on first success; revoke on cancel/expiry per configurable grace. Dunning: retry schedule + escalating emails + suspension.</w:t>
            </w:r>
          </w:p>
        </w:tc>
        <w:tc>
          <w:tcPr>
            <w:tcW w:type="dxa" w:w="648"/>
          </w:tcPr>
          <w:p>
            <w:pPr>
              <w:spacing w:after="20"/>
            </w:pPr>
            <w:r/>
            <w:r>
              <w:rPr>
                <w:sz w:val="17"/>
              </w:rPr>
              <w:t>M</w:t>
            </w:r>
          </w:p>
        </w:tc>
      </w:tr>
      <w:tr>
        <w:tc>
          <w:tcPr>
            <w:tcW w:type="dxa" w:w="936"/>
          </w:tcPr>
          <w:p>
            <w:pPr>
              <w:spacing w:after="20"/>
            </w:pPr>
            <w:r/>
            <w:r>
              <w:rPr>
                <w:sz w:val="17"/>
              </w:rPr>
              <w:t>4.13</w:t>
            </w:r>
          </w:p>
        </w:tc>
        <w:tc>
          <w:tcPr>
            <w:tcW w:type="dxa" w:w="8424"/>
          </w:tcPr>
          <w:p>
            <w:pPr>
              <w:spacing w:after="20"/>
            </w:pPr>
            <w:r/>
            <w:r>
              <w:rPr>
                <w:sz w:val="17"/>
              </w:rPr>
              <w:t>Refunds (full/partial) recorded as transactions, adjust LTV and reports, and claw back affiliate commission.</w:t>
            </w:r>
          </w:p>
        </w:tc>
        <w:tc>
          <w:tcPr>
            <w:tcW w:type="dxa" w:w="648"/>
          </w:tcPr>
          <w:p>
            <w:pPr>
              <w:spacing w:after="20"/>
            </w:pPr>
            <w:r/>
            <w:r>
              <w:rPr>
                <w:sz w:val="17"/>
              </w:rPr>
              <w:t>M</w:t>
            </w:r>
          </w:p>
        </w:tc>
      </w:tr>
      <w:tr>
        <w:tc>
          <w:tcPr>
            <w:tcW w:type="dxa" w:w="936"/>
          </w:tcPr>
          <w:p>
            <w:pPr>
              <w:spacing w:after="20"/>
            </w:pPr>
            <w:r/>
            <w:r>
              <w:rPr>
                <w:sz w:val="17"/>
              </w:rPr>
              <w:t>4.14</w:t>
            </w:r>
          </w:p>
        </w:tc>
        <w:tc>
          <w:tcPr>
            <w:tcW w:type="dxa" w:w="8424"/>
          </w:tcPr>
          <w:p>
            <w:pPr>
              <w:spacing w:after="20"/>
            </w:pPr>
            <w:r/>
            <w:r>
              <w:rPr>
                <w:sz w:val="17"/>
              </w:rPr>
              <w:t>Money stored as integer minor units + currency. No floats.</w:t>
            </w:r>
          </w:p>
        </w:tc>
        <w:tc>
          <w:tcPr>
            <w:tcW w:type="dxa" w:w="648"/>
          </w:tcPr>
          <w:p>
            <w:pPr>
              <w:spacing w:after="20"/>
            </w:pPr>
            <w:r/>
            <w:r>
              <w:rPr>
                <w:sz w:val="17"/>
              </w:rPr>
              <w:t>M</w:t>
            </w:r>
          </w:p>
        </w:tc>
      </w:tr>
      <w:tr>
        <w:tc>
          <w:tcPr>
            <w:tcW w:type="dxa" w:w="936"/>
          </w:tcPr>
          <w:p>
            <w:pPr>
              <w:spacing w:after="20"/>
            </w:pPr>
            <w:r/>
            <w:r>
              <w:rPr>
                <w:sz w:val="17"/>
              </w:rPr>
              <w:t>4.15</w:t>
            </w:r>
          </w:p>
        </w:tc>
        <w:tc>
          <w:tcPr>
            <w:tcW w:type="dxa" w:w="8424"/>
          </w:tcPr>
          <w:p>
            <w:pPr>
              <w:spacing w:after="20"/>
            </w:pPr>
            <w:r/>
            <w:r>
              <w:rPr>
                <w:sz w:val="17"/>
              </w:rPr>
              <w:t>Member billing: invoices/receipts PDF, update card, next charge, remaining instalments, self-cancel with a reason from a configured list, pause.</w:t>
            </w:r>
          </w:p>
        </w:tc>
        <w:tc>
          <w:tcPr>
            <w:tcW w:type="dxa" w:w="648"/>
          </w:tcPr>
          <w:p>
            <w:pPr>
              <w:spacing w:after="20"/>
            </w:pPr>
            <w:r/>
            <w:r>
              <w:rPr>
                <w:sz w:val="17"/>
              </w:rPr>
              <w:t>M</w:t>
            </w:r>
          </w:p>
        </w:tc>
      </w:tr>
      <w:tr>
        <w:tc>
          <w:tcPr>
            <w:tcW w:type="dxa" w:w="936"/>
          </w:tcPr>
          <w:p>
            <w:pPr>
              <w:spacing w:after="20"/>
            </w:pPr>
            <w:r/>
            <w:r>
              <w:rPr>
                <w:sz w:val="17"/>
              </w:rPr>
              <w:t>4.16</w:t>
            </w:r>
          </w:p>
        </w:tc>
        <w:tc>
          <w:tcPr>
            <w:tcW w:type="dxa" w:w="8424"/>
          </w:tcPr>
          <w:p>
            <w:pPr>
              <w:spacing w:after="20"/>
            </w:pPr>
            <w:r/>
            <w:r>
              <w:rPr>
                <w:sz w:val="17"/>
              </w:rPr>
              <w:t>Staff: list/search all money objects, refund, resend receipt, manual grant/revoke, cancel on behalf. Support can only REQUEST a refund; approval is a separate permission.</w:t>
            </w:r>
          </w:p>
        </w:tc>
        <w:tc>
          <w:tcPr>
            <w:tcW w:type="dxa" w:w="648"/>
          </w:tcPr>
          <w:p>
            <w:pPr>
              <w:spacing w:after="20"/>
            </w:pPr>
            <w:r/>
            <w:r>
              <w:rPr>
                <w:sz w:val="17"/>
              </w:rPr>
              <w:t>M</w:t>
            </w:r>
          </w:p>
        </w:tc>
      </w:tr>
      <w:tr>
        <w:tc>
          <w:tcPr>
            <w:tcW w:type="dxa" w:w="936"/>
          </w:tcPr>
          <w:p>
            <w:pPr>
              <w:spacing w:after="20"/>
            </w:pPr>
            <w:r/>
            <w:r>
              <w:rPr>
                <w:sz w:val="17"/>
              </w:rPr>
              <w:t>4.17</w:t>
            </w:r>
          </w:p>
        </w:tc>
        <w:tc>
          <w:tcPr>
            <w:tcW w:type="dxa" w:w="8424"/>
          </w:tcPr>
          <w:p>
            <w:pPr>
              <w:spacing w:after="20"/>
            </w:pPr>
            <w:r/>
            <w:r>
              <w:rPr>
                <w:sz w:val="17"/>
              </w:rPr>
              <w:t>Tax calculated at checkout, itemised on invoice, exportable ledger by period.</w:t>
            </w:r>
          </w:p>
        </w:tc>
        <w:tc>
          <w:tcPr>
            <w:tcW w:type="dxa" w:w="648"/>
          </w:tcPr>
          <w:p>
            <w:pPr>
              <w:spacing w:after="20"/>
            </w:pPr>
            <w:r/>
            <w:r>
              <w:rPr>
                <w:sz w:val="17"/>
              </w:rPr>
              <w:t>S</w:t>
            </w:r>
          </w:p>
        </w:tc>
      </w:tr>
    </w:tbl>
    <w:p>
      <w:pPr>
        <w:spacing w:after="20"/>
      </w:pPr>
    </w:p>
    <w:p>
      <w:pPr>
        <w:pStyle w:val="Heading2"/>
      </w:pPr>
      <w:r>
        <w:t>FR-5  Course delivery</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5.1</w:t>
            </w:r>
          </w:p>
        </w:tc>
        <w:tc>
          <w:tcPr>
            <w:tcW w:type="dxa" w:w="8424"/>
          </w:tcPr>
          <w:p>
            <w:pPr>
              <w:spacing w:after="20"/>
            </w:pPr>
            <w:r/>
            <w:r>
              <w:rPr>
                <w:sz w:val="17"/>
              </w:rPr>
              <w:t>Modules → lessons, drag-reorder, draft/published at every level.</w:t>
            </w:r>
          </w:p>
        </w:tc>
        <w:tc>
          <w:tcPr>
            <w:tcW w:type="dxa" w:w="648"/>
          </w:tcPr>
          <w:p>
            <w:pPr>
              <w:spacing w:after="20"/>
            </w:pPr>
            <w:r/>
            <w:r>
              <w:rPr>
                <w:sz w:val="17"/>
              </w:rPr>
              <w:t>M</w:t>
            </w:r>
          </w:p>
        </w:tc>
      </w:tr>
      <w:tr>
        <w:tc>
          <w:tcPr>
            <w:tcW w:type="dxa" w:w="936"/>
          </w:tcPr>
          <w:p>
            <w:pPr>
              <w:spacing w:after="20"/>
            </w:pPr>
            <w:r/>
            <w:r>
              <w:rPr>
                <w:sz w:val="17"/>
              </w:rPr>
              <w:t>5.2</w:t>
            </w:r>
          </w:p>
        </w:tc>
        <w:tc>
          <w:tcPr>
            <w:tcW w:type="dxa" w:w="8424"/>
          </w:tcPr>
          <w:p>
            <w:pPr>
              <w:spacing w:after="20"/>
            </w:pPr>
            <w:r/>
            <w:r>
              <w:rPr>
                <w:sz w:val="17"/>
              </w:rPr>
              <w:t>Lesson bodies: video, audio, rich text, file, embed.</w:t>
            </w:r>
          </w:p>
        </w:tc>
        <w:tc>
          <w:tcPr>
            <w:tcW w:type="dxa" w:w="648"/>
          </w:tcPr>
          <w:p>
            <w:pPr>
              <w:spacing w:after="20"/>
            </w:pPr>
            <w:r/>
            <w:r>
              <w:rPr>
                <w:sz w:val="17"/>
              </w:rPr>
              <w:t>M</w:t>
            </w:r>
          </w:p>
        </w:tc>
      </w:tr>
      <w:tr>
        <w:tc>
          <w:tcPr>
            <w:tcW w:type="dxa" w:w="936"/>
          </w:tcPr>
          <w:p>
            <w:pPr>
              <w:spacing w:after="20"/>
            </w:pPr>
            <w:r/>
            <w:r>
              <w:rPr>
                <w:sz w:val="17"/>
              </w:rPr>
              <w:t>5.3</w:t>
            </w:r>
          </w:p>
        </w:tc>
        <w:tc>
          <w:tcPr>
            <w:tcW w:type="dxa" w:w="8424"/>
          </w:tcPr>
          <w:p>
            <w:pPr>
              <w:spacing w:after="20"/>
            </w:pPr>
            <w:r/>
            <w:r>
              <w:rPr>
                <w:sz w:val="17"/>
              </w:rPr>
              <w:t>Player: resume position (cross-device), speed control, captions, transcript panel.</w:t>
            </w:r>
          </w:p>
        </w:tc>
        <w:tc>
          <w:tcPr>
            <w:tcW w:type="dxa" w:w="648"/>
          </w:tcPr>
          <w:p>
            <w:pPr>
              <w:spacing w:after="20"/>
            </w:pPr>
            <w:r/>
            <w:r>
              <w:rPr>
                <w:sz w:val="17"/>
              </w:rPr>
              <w:t>M</w:t>
            </w:r>
          </w:p>
        </w:tc>
      </w:tr>
      <w:tr>
        <w:tc>
          <w:tcPr>
            <w:tcW w:type="dxa" w:w="936"/>
          </w:tcPr>
          <w:p>
            <w:pPr>
              <w:spacing w:after="20"/>
            </w:pPr>
            <w:r/>
            <w:r>
              <w:rPr>
                <w:sz w:val="17"/>
              </w:rPr>
              <w:t>5.4</w:t>
            </w:r>
          </w:p>
        </w:tc>
        <w:tc>
          <w:tcPr>
            <w:tcW w:type="dxa" w:w="8424"/>
          </w:tcPr>
          <w:p>
            <w:pPr>
              <w:spacing w:after="20"/>
            </w:pPr>
            <w:r/>
            <w:r>
              <w:rPr>
                <w:sz w:val="17"/>
              </w:rPr>
              <w:t>Complete manually or automatically at a configurable watched threshold (default 90%). Progress % in player and library.</w:t>
            </w:r>
          </w:p>
        </w:tc>
        <w:tc>
          <w:tcPr>
            <w:tcW w:type="dxa" w:w="648"/>
          </w:tcPr>
          <w:p>
            <w:pPr>
              <w:spacing w:after="20"/>
            </w:pPr>
            <w:r/>
            <w:r>
              <w:rPr>
                <w:sz w:val="17"/>
              </w:rPr>
              <w:t>M</w:t>
            </w:r>
          </w:p>
        </w:tc>
      </w:tr>
      <w:tr>
        <w:tc>
          <w:tcPr>
            <w:tcW w:type="dxa" w:w="936"/>
          </w:tcPr>
          <w:p>
            <w:pPr>
              <w:spacing w:after="20"/>
            </w:pPr>
            <w:r/>
            <w:r>
              <w:rPr>
                <w:sz w:val="17"/>
              </w:rPr>
              <w:t>5.5</w:t>
            </w:r>
          </w:p>
        </w:tc>
        <w:tc>
          <w:tcPr>
            <w:tcW w:type="dxa" w:w="8424"/>
          </w:tcPr>
          <w:p>
            <w:pPr>
              <w:spacing w:after="20"/>
            </w:pPr>
            <w:r/>
            <w:r>
              <w:rPr>
                <w:sz w:val="17"/>
              </w:rPr>
              <w:t>Drip: unlock N days after enrolment or on a fixed date. Locked items visible with their unlock date. Site-wide release time-of-day setting, applied in member timezone.</w:t>
            </w:r>
          </w:p>
        </w:tc>
        <w:tc>
          <w:tcPr>
            <w:tcW w:type="dxa" w:w="648"/>
          </w:tcPr>
          <w:p>
            <w:pPr>
              <w:spacing w:after="20"/>
            </w:pPr>
            <w:r/>
            <w:r>
              <w:rPr>
                <w:sz w:val="17"/>
              </w:rPr>
              <w:t>M</w:t>
            </w:r>
          </w:p>
        </w:tc>
      </w:tr>
      <w:tr>
        <w:tc>
          <w:tcPr>
            <w:tcW w:type="dxa" w:w="936"/>
          </w:tcPr>
          <w:p>
            <w:pPr>
              <w:spacing w:after="20"/>
            </w:pPr>
            <w:r/>
            <w:r>
              <w:rPr>
                <w:sz w:val="17"/>
              </w:rPr>
              <w:t>5.6</w:t>
            </w:r>
          </w:p>
        </w:tc>
        <w:tc>
          <w:tcPr>
            <w:tcW w:type="dxa" w:w="8424"/>
          </w:tcPr>
          <w:p>
            <w:pPr>
              <w:spacing w:after="20"/>
            </w:pPr>
            <w:r/>
            <w:r>
              <w:rPr>
                <w:sz w:val="17"/>
              </w:rPr>
              <w:t>Lesson comments with staff reply and moderation; private member notes.</w:t>
            </w:r>
          </w:p>
        </w:tc>
        <w:tc>
          <w:tcPr>
            <w:tcW w:type="dxa" w:w="648"/>
          </w:tcPr>
          <w:p>
            <w:pPr>
              <w:spacing w:after="20"/>
            </w:pPr>
            <w:r/>
            <w:r>
              <w:rPr>
                <w:sz w:val="17"/>
              </w:rPr>
              <w:t>M/S</w:t>
            </w:r>
          </w:p>
        </w:tc>
      </w:tr>
      <w:tr>
        <w:tc>
          <w:tcPr>
            <w:tcW w:type="dxa" w:w="936"/>
          </w:tcPr>
          <w:p>
            <w:pPr>
              <w:spacing w:after="20"/>
            </w:pPr>
            <w:r/>
            <w:r>
              <w:rPr>
                <w:sz w:val="17"/>
              </w:rPr>
              <w:t>5.7</w:t>
            </w:r>
          </w:p>
        </w:tc>
        <w:tc>
          <w:tcPr>
            <w:tcW w:type="dxa" w:w="8424"/>
          </w:tcPr>
          <w:p>
            <w:pPr>
              <w:spacing w:after="20"/>
            </w:pPr>
            <w:r/>
            <w:r>
              <w:rPr>
                <w:sz w:val="17"/>
              </w:rPr>
              <w:t>Attachments delivered by signed URLs expiring in minutes, bound to the requester.</w:t>
            </w:r>
          </w:p>
        </w:tc>
        <w:tc>
          <w:tcPr>
            <w:tcW w:type="dxa" w:w="648"/>
          </w:tcPr>
          <w:p>
            <w:pPr>
              <w:spacing w:after="20"/>
            </w:pPr>
            <w:r/>
            <w:r>
              <w:rPr>
                <w:sz w:val="17"/>
              </w:rPr>
              <w:t>M</w:t>
            </w:r>
          </w:p>
        </w:tc>
      </w:tr>
      <w:tr>
        <w:tc>
          <w:tcPr>
            <w:tcW w:type="dxa" w:w="936"/>
          </w:tcPr>
          <w:p>
            <w:pPr>
              <w:spacing w:after="20"/>
            </w:pPr>
            <w:r/>
            <w:r>
              <w:rPr>
                <w:sz w:val="17"/>
              </w:rPr>
              <w:t>5.8</w:t>
            </w:r>
          </w:p>
        </w:tc>
        <w:tc>
          <w:tcPr>
            <w:tcW w:type="dxa" w:w="8424"/>
          </w:tcPr>
          <w:p>
            <w:pPr>
              <w:spacing w:after="20"/>
            </w:pPr>
            <w:r/>
            <w:r>
              <w:rPr>
                <w:sz w:val="17"/>
              </w:rPr>
              <w:t>Library: everything owned, grouped by type, with progress and "continue where you left off". Mobile-first.</w:t>
            </w:r>
          </w:p>
        </w:tc>
        <w:tc>
          <w:tcPr>
            <w:tcW w:type="dxa" w:w="648"/>
          </w:tcPr>
          <w:p>
            <w:pPr>
              <w:spacing w:after="20"/>
            </w:pPr>
            <w:r/>
            <w:r>
              <w:rPr>
                <w:sz w:val="17"/>
              </w:rPr>
              <w:t>M</w:t>
            </w:r>
          </w:p>
        </w:tc>
      </w:tr>
      <w:tr>
        <w:tc>
          <w:tcPr>
            <w:tcW w:type="dxa" w:w="936"/>
          </w:tcPr>
          <w:p>
            <w:pPr>
              <w:spacing w:after="20"/>
            </w:pPr>
            <w:r/>
            <w:r>
              <w:rPr>
                <w:sz w:val="17"/>
              </w:rPr>
              <w:t>5.9</w:t>
            </w:r>
          </w:p>
        </w:tc>
        <w:tc>
          <w:tcPr>
            <w:tcW w:type="dxa" w:w="8424"/>
          </w:tcPr>
          <w:p>
            <w:pPr>
              <w:spacing w:after="20"/>
            </w:pPr>
            <w:r/>
            <w:r>
              <w:rPr>
                <w:sz w:val="17"/>
              </w:rPr>
              <w:t>Cohort courses (fixed start date, cohort-relative drip).</w:t>
            </w:r>
          </w:p>
        </w:tc>
        <w:tc>
          <w:tcPr>
            <w:tcW w:type="dxa" w:w="648"/>
          </w:tcPr>
          <w:p>
            <w:pPr>
              <w:spacing w:after="20"/>
            </w:pPr>
            <w:r/>
            <w:r>
              <w:rPr>
                <w:sz w:val="17"/>
              </w:rPr>
              <w:t>C</w:t>
            </w:r>
          </w:p>
        </w:tc>
      </w:tr>
    </w:tbl>
    <w:p>
      <w:pPr>
        <w:spacing w:after="20"/>
      </w:pPr>
    </w:p>
    <w:p>
      <w:pPr>
        <w:pStyle w:val="Heading2"/>
      </w:pPr>
      <w:r>
        <w:t>FR-6  Downloads &amp; certificates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6.1</w:t>
            </w:r>
          </w:p>
        </w:tc>
        <w:tc>
          <w:tcPr>
            <w:tcW w:type="dxa" w:w="8424"/>
          </w:tcPr>
          <w:p>
            <w:pPr>
              <w:spacing w:after="20"/>
            </w:pPr>
            <w:r/>
            <w:r>
              <w:rPr>
                <w:sz w:val="17"/>
              </w:rPr>
              <w:t>Download products: ordered file list, stored outside any public directory, signed short-lived links, re-downloadable forever while access lasts.</w:t>
            </w:r>
          </w:p>
        </w:tc>
        <w:tc>
          <w:tcPr>
            <w:tcW w:type="dxa" w:w="648"/>
          </w:tcPr>
          <w:p>
            <w:pPr>
              <w:spacing w:after="20"/>
            </w:pPr>
            <w:r/>
            <w:r>
              <w:rPr>
                <w:sz w:val="17"/>
              </w:rPr>
              <w:t>M</w:t>
            </w:r>
          </w:p>
        </w:tc>
      </w:tr>
      <w:tr>
        <w:tc>
          <w:tcPr>
            <w:tcW w:type="dxa" w:w="936"/>
          </w:tcPr>
          <w:p>
            <w:pPr>
              <w:spacing w:after="20"/>
            </w:pPr>
            <w:r/>
            <w:r>
              <w:rPr>
                <w:sz w:val="17"/>
              </w:rPr>
              <w:t>6.2</w:t>
            </w:r>
          </w:p>
        </w:tc>
        <w:tc>
          <w:tcPr>
            <w:tcW w:type="dxa" w:w="8424"/>
          </w:tcPr>
          <w:p>
            <w:pPr>
              <w:spacing w:after="20"/>
            </w:pPr>
            <w:r/>
            <w:r>
              <w:rPr>
                <w:sz w:val="17"/>
              </w:rPr>
              <w:t>Every download logged (member, file, time, IP).</w:t>
            </w:r>
          </w:p>
        </w:tc>
        <w:tc>
          <w:tcPr>
            <w:tcW w:type="dxa" w:w="648"/>
          </w:tcPr>
          <w:p>
            <w:pPr>
              <w:spacing w:after="20"/>
            </w:pPr>
            <w:r/>
            <w:r>
              <w:rPr>
                <w:sz w:val="17"/>
              </w:rPr>
              <w:t>M</w:t>
            </w:r>
          </w:p>
        </w:tc>
      </w:tr>
      <w:tr>
        <w:tc>
          <w:tcPr>
            <w:tcW w:type="dxa" w:w="936"/>
          </w:tcPr>
          <w:p>
            <w:pPr>
              <w:spacing w:after="20"/>
            </w:pPr>
            <w:r/>
            <w:r>
              <w:rPr>
                <w:sz w:val="17"/>
              </w:rPr>
              <w:t>6.3</w:t>
            </w:r>
          </w:p>
        </w:tc>
        <w:tc>
          <w:tcPr>
            <w:tcW w:type="dxa" w:w="8424"/>
          </w:tcPr>
          <w:p>
            <w:pPr>
              <w:spacing w:after="20"/>
            </w:pPr>
            <w:r/>
            <w:r>
              <w:rPr>
                <w:sz w:val="17"/>
              </w:rPr>
              <w:t>Certificate template per product; issued on 100% completion and/or passing an assessment.</w:t>
            </w:r>
          </w:p>
        </w:tc>
        <w:tc>
          <w:tcPr>
            <w:tcW w:type="dxa" w:w="648"/>
          </w:tcPr>
          <w:p>
            <w:pPr>
              <w:spacing w:after="20"/>
            </w:pPr>
            <w:r/>
            <w:r>
              <w:rPr>
                <w:sz w:val="17"/>
              </w:rPr>
              <w:t>M</w:t>
            </w:r>
          </w:p>
        </w:tc>
      </w:tr>
      <w:tr>
        <w:tc>
          <w:tcPr>
            <w:tcW w:type="dxa" w:w="936"/>
          </w:tcPr>
          <w:p>
            <w:pPr>
              <w:spacing w:after="20"/>
            </w:pPr>
            <w:r/>
            <w:r>
              <w:rPr>
                <w:sz w:val="17"/>
              </w:rPr>
              <w:t>6.4</w:t>
            </w:r>
          </w:p>
        </w:tc>
        <w:tc>
          <w:tcPr>
            <w:tcW w:type="dxa" w:w="8424"/>
          </w:tcPr>
          <w:p>
            <w:pPr>
              <w:spacing w:after="20"/>
            </w:pPr>
            <w:r/>
            <w:r>
              <w:rPr>
                <w:sz w:val="17"/>
              </w:rPr>
              <w:t>PDF with name, product, date and a unique code; public verification page resolves the code without exposing other data.</w:t>
            </w:r>
          </w:p>
        </w:tc>
        <w:tc>
          <w:tcPr>
            <w:tcW w:type="dxa" w:w="648"/>
          </w:tcPr>
          <w:p>
            <w:pPr>
              <w:spacing w:after="20"/>
            </w:pPr>
            <w:r/>
            <w:r>
              <w:rPr>
                <w:sz w:val="17"/>
              </w:rPr>
              <w:t>M</w:t>
            </w:r>
          </w:p>
        </w:tc>
      </w:tr>
      <w:tr>
        <w:tc>
          <w:tcPr>
            <w:tcW w:type="dxa" w:w="936"/>
          </w:tcPr>
          <w:p>
            <w:pPr>
              <w:spacing w:after="20"/>
            </w:pPr>
            <w:r/>
            <w:r>
              <w:rPr>
                <w:sz w:val="17"/>
              </w:rPr>
              <w:t>6.5</w:t>
            </w:r>
          </w:p>
        </w:tc>
        <w:tc>
          <w:tcPr>
            <w:tcW w:type="dxa" w:w="8424"/>
          </w:tcPr>
          <w:p>
            <w:pPr>
              <w:spacing w:after="20"/>
            </w:pPr>
            <w:r/>
            <w:r>
              <w:rPr>
                <w:sz w:val="17"/>
              </w:rPr>
              <w:t>CEU fields: credit hours, provider number, completion date. Staff can reissue, revoke, export.</w:t>
            </w:r>
          </w:p>
        </w:tc>
        <w:tc>
          <w:tcPr>
            <w:tcW w:type="dxa" w:w="648"/>
          </w:tcPr>
          <w:p>
            <w:pPr>
              <w:spacing w:after="20"/>
            </w:pPr>
            <w:r/>
            <w:r>
              <w:rPr>
                <w:sz w:val="17"/>
              </w:rPr>
              <w:t>M</w:t>
            </w:r>
          </w:p>
        </w:tc>
      </w:tr>
    </w:tbl>
    <w:p>
      <w:pPr>
        <w:spacing w:after="20"/>
      </w:pPr>
    </w:p>
    <w:p>
      <w:pPr>
        <w:pStyle w:val="Heading2"/>
      </w:pPr>
      <w:r>
        <w:t>FR-7  Community</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7.1</w:t>
            </w:r>
          </w:p>
        </w:tc>
        <w:tc>
          <w:tcPr>
            <w:tcW w:type="dxa" w:w="8424"/>
          </w:tcPr>
          <w:p>
            <w:pPr>
              <w:spacing w:after="20"/>
            </w:pPr>
            <w:r/>
            <w:r>
              <w:rPr>
                <w:sz w:val="17"/>
              </w:rPr>
              <w:t>Communities → channels. Community access is a product grant; channels may restrict further.</w:t>
            </w:r>
          </w:p>
        </w:tc>
        <w:tc>
          <w:tcPr>
            <w:tcW w:type="dxa" w:w="648"/>
          </w:tcPr>
          <w:p>
            <w:pPr>
              <w:spacing w:after="20"/>
            </w:pPr>
            <w:r/>
            <w:r>
              <w:rPr>
                <w:sz w:val="17"/>
              </w:rPr>
              <w:t>M</w:t>
            </w:r>
          </w:p>
        </w:tc>
      </w:tr>
      <w:tr>
        <w:tc>
          <w:tcPr>
            <w:tcW w:type="dxa" w:w="936"/>
          </w:tcPr>
          <w:p>
            <w:pPr>
              <w:spacing w:after="20"/>
            </w:pPr>
            <w:r/>
            <w:r>
              <w:rPr>
                <w:sz w:val="17"/>
              </w:rPr>
              <w:t>7.2</w:t>
            </w:r>
          </w:p>
        </w:tc>
        <w:tc>
          <w:tcPr>
            <w:tcW w:type="dxa" w:w="8424"/>
          </w:tcPr>
          <w:p>
            <w:pPr>
              <w:spacing w:after="20"/>
            </w:pPr>
            <w:r/>
            <w:r>
              <w:rPr>
                <w:sz w:val="17"/>
              </w:rPr>
              <w:t>Posts (rich text, image, video, poll), threaded comments, reactions, @mentions with notification, edit/delete window.</w:t>
            </w:r>
          </w:p>
        </w:tc>
        <w:tc>
          <w:tcPr>
            <w:tcW w:type="dxa" w:w="648"/>
          </w:tcPr>
          <w:p>
            <w:pPr>
              <w:spacing w:after="20"/>
            </w:pPr>
            <w:r/>
            <w:r>
              <w:rPr>
                <w:sz w:val="17"/>
              </w:rPr>
              <w:t>M</w:t>
            </w:r>
          </w:p>
        </w:tc>
      </w:tr>
      <w:tr>
        <w:tc>
          <w:tcPr>
            <w:tcW w:type="dxa" w:w="936"/>
          </w:tcPr>
          <w:p>
            <w:pPr>
              <w:spacing w:after="20"/>
            </w:pPr>
            <w:r/>
            <w:r>
              <w:rPr>
                <w:sz w:val="17"/>
              </w:rPr>
              <w:t>7.3</w:t>
            </w:r>
          </w:p>
        </w:tc>
        <w:tc>
          <w:tcPr>
            <w:tcW w:type="dxa" w:w="8424"/>
          </w:tcPr>
          <w:p>
            <w:pPr>
              <w:spacing w:after="20"/>
            </w:pPr>
            <w:r/>
            <w:r>
              <w:rPr>
                <w:sz w:val="17"/>
              </w:rPr>
              <w:t>Moderation: pin, lock, hide, delete, report queue, mute, ban — all audit-logged.</w:t>
            </w:r>
          </w:p>
        </w:tc>
        <w:tc>
          <w:tcPr>
            <w:tcW w:type="dxa" w:w="648"/>
          </w:tcPr>
          <w:p>
            <w:pPr>
              <w:spacing w:after="20"/>
            </w:pPr>
            <w:r/>
            <w:r>
              <w:rPr>
                <w:sz w:val="17"/>
              </w:rPr>
              <w:t>M</w:t>
            </w:r>
          </w:p>
        </w:tc>
      </w:tr>
      <w:tr>
        <w:tc>
          <w:tcPr>
            <w:tcW w:type="dxa" w:w="936"/>
          </w:tcPr>
          <w:p>
            <w:pPr>
              <w:spacing w:after="20"/>
            </w:pPr>
            <w:r/>
            <w:r>
              <w:rPr>
                <w:sz w:val="17"/>
              </w:rPr>
              <w:t>7.4</w:t>
            </w:r>
          </w:p>
        </w:tc>
        <w:tc>
          <w:tcPr>
            <w:tcW w:type="dxa" w:w="8424"/>
          </w:tcPr>
          <w:p>
            <w:pPr>
              <w:spacing w:after="20"/>
            </w:pPr>
            <w:r/>
            <w:r>
              <w:rPr>
                <w:sz w:val="17"/>
              </w:rPr>
              <w:t>Notifications for replies, mentions, reactions — in-app plus configurable email digest.</w:t>
            </w:r>
          </w:p>
        </w:tc>
        <w:tc>
          <w:tcPr>
            <w:tcW w:type="dxa" w:w="648"/>
          </w:tcPr>
          <w:p>
            <w:pPr>
              <w:spacing w:after="20"/>
            </w:pPr>
            <w:r/>
            <w:r>
              <w:rPr>
                <w:sz w:val="17"/>
              </w:rPr>
              <w:t>M</w:t>
            </w:r>
          </w:p>
        </w:tc>
      </w:tr>
      <w:tr>
        <w:tc>
          <w:tcPr>
            <w:tcW w:type="dxa" w:w="936"/>
          </w:tcPr>
          <w:p>
            <w:pPr>
              <w:spacing w:after="20"/>
            </w:pPr>
            <w:r/>
            <w:r>
              <w:rPr>
                <w:sz w:val="17"/>
              </w:rPr>
              <w:t>7.5</w:t>
            </w:r>
          </w:p>
        </w:tc>
        <w:tc>
          <w:tcPr>
            <w:tcW w:type="dxa" w:w="8424"/>
          </w:tcPr>
          <w:p>
            <w:pPr>
              <w:spacing w:after="20"/>
            </w:pPr>
            <w:r/>
            <w:r>
              <w:rPr>
                <w:sz w:val="17"/>
              </w:rPr>
              <w:t>Member directory and profiles, challenges with entry approval, badges, leaderboard, community events with RSVP.</w:t>
            </w:r>
          </w:p>
        </w:tc>
        <w:tc>
          <w:tcPr>
            <w:tcW w:type="dxa" w:w="648"/>
          </w:tcPr>
          <w:p>
            <w:pPr>
              <w:spacing w:after="20"/>
            </w:pPr>
            <w:r/>
            <w:r>
              <w:rPr>
                <w:sz w:val="17"/>
              </w:rPr>
              <w:t>S</w:t>
            </w:r>
          </w:p>
        </w:tc>
      </w:tr>
      <w:tr>
        <w:tc>
          <w:tcPr>
            <w:tcW w:type="dxa" w:w="936"/>
          </w:tcPr>
          <w:p>
            <w:pPr>
              <w:spacing w:after="20"/>
            </w:pPr>
            <w:r/>
            <w:r>
              <w:rPr>
                <w:sz w:val="17"/>
              </w:rPr>
              <w:t>7.6</w:t>
            </w:r>
          </w:p>
        </w:tc>
        <w:tc>
          <w:tcPr>
            <w:tcW w:type="dxa" w:w="8424"/>
          </w:tcPr>
          <w:p>
            <w:pPr>
              <w:spacing w:after="20"/>
            </w:pPr>
            <w:r/>
            <w:r>
              <w:rPr>
                <w:sz w:val="17"/>
              </w:rPr>
              <w:t>Search across posts the member may see.</w:t>
            </w:r>
          </w:p>
        </w:tc>
        <w:tc>
          <w:tcPr>
            <w:tcW w:type="dxa" w:w="648"/>
          </w:tcPr>
          <w:p>
            <w:pPr>
              <w:spacing w:after="20"/>
            </w:pPr>
            <w:r/>
            <w:r>
              <w:rPr>
                <w:sz w:val="17"/>
              </w:rPr>
              <w:t>S</w:t>
            </w:r>
          </w:p>
        </w:tc>
      </w:tr>
    </w:tbl>
    <w:p>
      <w:pPr>
        <w:spacing w:after="20"/>
      </w:pPr>
    </w:p>
    <w:p>
      <w:pPr>
        <w:pStyle w:val="Heading2"/>
      </w:pPr>
      <w:r>
        <w:t>FR-8  Coaching</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8.1</w:t>
            </w:r>
          </w:p>
        </w:tc>
        <w:tc>
          <w:tcPr>
            <w:tcW w:type="dxa" w:w="8424"/>
          </w:tcPr>
          <w:p>
            <w:pPr>
              <w:spacing w:after="20"/>
            </w:pPr>
            <w:r/>
            <w:r>
              <w:rPr>
                <w:sz w:val="17"/>
              </w:rPr>
              <w:t>Recurring weekly availability plus date overrides, in the coach timezone.</w:t>
            </w:r>
          </w:p>
        </w:tc>
        <w:tc>
          <w:tcPr>
            <w:tcW w:type="dxa" w:w="648"/>
          </w:tcPr>
          <w:p>
            <w:pPr>
              <w:spacing w:after="20"/>
            </w:pPr>
            <w:r/>
            <w:r>
              <w:rPr>
                <w:sz w:val="17"/>
              </w:rPr>
              <w:t>M</w:t>
            </w:r>
          </w:p>
        </w:tc>
      </w:tr>
      <w:tr>
        <w:tc>
          <w:tcPr>
            <w:tcW w:type="dxa" w:w="936"/>
          </w:tcPr>
          <w:p>
            <w:pPr>
              <w:spacing w:after="20"/>
            </w:pPr>
            <w:r/>
            <w:r>
              <w:rPr>
                <w:sz w:val="17"/>
              </w:rPr>
              <w:t>8.2</w:t>
            </w:r>
          </w:p>
        </w:tc>
        <w:tc>
          <w:tcPr>
            <w:tcW w:type="dxa" w:w="8424"/>
          </w:tcPr>
          <w:p>
            <w:pPr>
              <w:spacing w:after="20"/>
            </w:pPr>
            <w:r/>
            <w:r>
              <w:rPr>
                <w:sz w:val="17"/>
              </w:rPr>
              <w:t>Slots = availability − bookings − buffers, honouring minimum notice and booking horizon. All times shown in viewer timezone, DST-correct.</w:t>
            </w:r>
          </w:p>
        </w:tc>
        <w:tc>
          <w:tcPr>
            <w:tcW w:type="dxa" w:w="648"/>
          </w:tcPr>
          <w:p>
            <w:pPr>
              <w:spacing w:after="20"/>
            </w:pPr>
            <w:r/>
            <w:r>
              <w:rPr>
                <w:sz w:val="17"/>
              </w:rPr>
              <w:t>M</w:t>
            </w:r>
          </w:p>
        </w:tc>
      </w:tr>
      <w:tr>
        <w:tc>
          <w:tcPr>
            <w:tcW w:type="dxa" w:w="936"/>
          </w:tcPr>
          <w:p>
            <w:pPr>
              <w:spacing w:after="20"/>
            </w:pPr>
            <w:r/>
            <w:r>
              <w:rPr>
                <w:sz w:val="17"/>
              </w:rPr>
              <w:t>8.3</w:t>
            </w:r>
          </w:p>
        </w:tc>
        <w:tc>
          <w:tcPr>
            <w:tcW w:type="dxa" w:w="8424"/>
          </w:tcPr>
          <w:p>
            <w:pPr>
              <w:spacing w:after="20"/>
            </w:pPr>
            <w:r/>
            <w:r>
              <w:rPr>
                <w:sz w:val="17"/>
              </w:rPr>
              <w:t>Booking consumes one session credit from an owned package; balance shown ("3 of 6 used").</w:t>
            </w:r>
          </w:p>
        </w:tc>
        <w:tc>
          <w:tcPr>
            <w:tcW w:type="dxa" w:w="648"/>
          </w:tcPr>
          <w:p>
            <w:pPr>
              <w:spacing w:after="20"/>
            </w:pPr>
            <w:r/>
            <w:r>
              <w:rPr>
                <w:sz w:val="17"/>
              </w:rPr>
              <w:t>M</w:t>
            </w:r>
          </w:p>
        </w:tc>
      </w:tr>
      <w:tr>
        <w:tc>
          <w:tcPr>
            <w:tcW w:type="dxa" w:w="936"/>
          </w:tcPr>
          <w:p>
            <w:pPr>
              <w:spacing w:after="20"/>
            </w:pPr>
            <w:r/>
            <w:r>
              <w:rPr>
                <w:sz w:val="17"/>
              </w:rPr>
              <w:t>8.4</w:t>
            </w:r>
          </w:p>
        </w:tc>
        <w:tc>
          <w:tcPr>
            <w:tcW w:type="dxa" w:w="8424"/>
          </w:tcPr>
          <w:p>
            <w:pPr>
              <w:spacing w:after="20"/>
            </w:pPr>
            <w:r/>
            <w:r>
              <w:rPr>
                <w:sz w:val="17"/>
              </w:rPr>
              <w:t>Double-booking prevented by an atomic DB constraint, not a check-then-insert.</w:t>
            </w:r>
          </w:p>
        </w:tc>
        <w:tc>
          <w:tcPr>
            <w:tcW w:type="dxa" w:w="648"/>
          </w:tcPr>
          <w:p>
            <w:pPr>
              <w:spacing w:after="20"/>
            </w:pPr>
            <w:r/>
            <w:r>
              <w:rPr>
                <w:sz w:val="17"/>
              </w:rPr>
              <w:t>M</w:t>
            </w:r>
          </w:p>
        </w:tc>
      </w:tr>
      <w:tr>
        <w:tc>
          <w:tcPr>
            <w:tcW w:type="dxa" w:w="936"/>
          </w:tcPr>
          <w:p>
            <w:pPr>
              <w:spacing w:after="20"/>
            </w:pPr>
            <w:r/>
            <w:r>
              <w:rPr>
                <w:sz w:val="17"/>
              </w:rPr>
              <w:t>8.5</w:t>
            </w:r>
          </w:p>
        </w:tc>
        <w:tc>
          <w:tcPr>
            <w:tcW w:type="dxa" w:w="8424"/>
          </w:tcPr>
          <w:p>
            <w:pPr>
              <w:spacing w:after="20"/>
            </w:pPr>
            <w:r/>
            <w:r>
              <w:rPr>
                <w:sz w:val="17"/>
              </w:rPr>
              <w:t>Calendar invite + video link on booking. Session page: agenda, shared notes, attachments, recording link.</w:t>
            </w:r>
          </w:p>
        </w:tc>
        <w:tc>
          <w:tcPr>
            <w:tcW w:type="dxa" w:w="648"/>
          </w:tcPr>
          <w:p>
            <w:pPr>
              <w:spacing w:after="20"/>
            </w:pPr>
            <w:r/>
            <w:r>
              <w:rPr>
                <w:sz w:val="17"/>
              </w:rPr>
              <w:t>M</w:t>
            </w:r>
          </w:p>
        </w:tc>
      </w:tr>
      <w:tr>
        <w:tc>
          <w:tcPr>
            <w:tcW w:type="dxa" w:w="936"/>
          </w:tcPr>
          <w:p>
            <w:pPr>
              <w:spacing w:after="20"/>
            </w:pPr>
            <w:r/>
            <w:r>
              <w:rPr>
                <w:sz w:val="17"/>
              </w:rPr>
              <w:t>8.6</w:t>
            </w:r>
          </w:p>
        </w:tc>
        <w:tc>
          <w:tcPr>
            <w:tcW w:type="dxa" w:w="8424"/>
          </w:tcPr>
          <w:p>
            <w:pPr>
              <w:spacing w:after="20"/>
            </w:pPr>
            <w:r/>
            <w:r>
              <w:rPr>
                <w:sz w:val="17"/>
              </w:rPr>
              <w:t>Self-service reschedule/cancel inside a configurable policy window; credit handling per rule. Reminders at 24h and 1h.</w:t>
            </w:r>
          </w:p>
        </w:tc>
        <w:tc>
          <w:tcPr>
            <w:tcW w:type="dxa" w:w="648"/>
          </w:tcPr>
          <w:p>
            <w:pPr>
              <w:spacing w:after="20"/>
            </w:pPr>
            <w:r/>
            <w:r>
              <w:rPr>
                <w:sz w:val="17"/>
              </w:rPr>
              <w:t>M</w:t>
            </w:r>
          </w:p>
        </w:tc>
      </w:tr>
      <w:tr>
        <w:tc>
          <w:tcPr>
            <w:tcW w:type="dxa" w:w="936"/>
          </w:tcPr>
          <w:p>
            <w:pPr>
              <w:spacing w:after="20"/>
            </w:pPr>
            <w:r/>
            <w:r>
              <w:rPr>
                <w:sz w:val="17"/>
              </w:rPr>
              <w:t>8.7</w:t>
            </w:r>
          </w:p>
        </w:tc>
        <w:tc>
          <w:tcPr>
            <w:tcW w:type="dxa" w:w="8424"/>
          </w:tcPr>
          <w:p>
            <w:pPr>
              <w:spacing w:after="20"/>
            </w:pPr>
            <w:r/>
            <w:r>
              <w:rPr>
                <w:sz w:val="17"/>
              </w:rPr>
              <w:t>Two-way external calendar sync; external scheduling embed as fallback.</w:t>
            </w:r>
          </w:p>
        </w:tc>
        <w:tc>
          <w:tcPr>
            <w:tcW w:type="dxa" w:w="648"/>
          </w:tcPr>
          <w:p>
            <w:pPr>
              <w:spacing w:after="20"/>
            </w:pPr>
            <w:r/>
            <w:r>
              <w:rPr>
                <w:sz w:val="17"/>
              </w:rPr>
              <w:t>S</w:t>
            </w:r>
          </w:p>
        </w:tc>
      </w:tr>
    </w:tbl>
    <w:p>
      <w:pPr>
        <w:spacing w:after="20"/>
      </w:pPr>
    </w:p>
    <w:p>
      <w:pPr>
        <w:pStyle w:val="Heading2"/>
      </w:pPr>
      <w:r>
        <w:t>FR-9  Podcasts &amp; newsletters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9.1</w:t>
            </w:r>
          </w:p>
        </w:tc>
        <w:tc>
          <w:tcPr>
            <w:tcW w:type="dxa" w:w="8424"/>
          </w:tcPr>
          <w:p>
            <w:pPr>
              <w:spacing w:after="20"/>
            </w:pPr>
            <w:r/>
            <w:r>
              <w:rPr>
                <w:sz w:val="17"/>
              </w:rPr>
              <w:t>Podcast episodes with audio, notes, artwork, duration. Per-member tokenised private RSS URL that works in podcast apps.</w:t>
            </w:r>
          </w:p>
        </w:tc>
        <w:tc>
          <w:tcPr>
            <w:tcW w:type="dxa" w:w="648"/>
          </w:tcPr>
          <w:p>
            <w:pPr>
              <w:spacing w:after="20"/>
            </w:pPr>
            <w:r/>
            <w:r>
              <w:rPr>
                <w:sz w:val="17"/>
              </w:rPr>
              <w:t>M</w:t>
            </w:r>
          </w:p>
        </w:tc>
      </w:tr>
      <w:tr>
        <w:tc>
          <w:tcPr>
            <w:tcW w:type="dxa" w:w="936"/>
          </w:tcPr>
          <w:p>
            <w:pPr>
              <w:spacing w:after="20"/>
            </w:pPr>
            <w:r/>
            <w:r>
              <w:rPr>
                <w:sz w:val="17"/>
              </w:rPr>
              <w:t>9.2</w:t>
            </w:r>
          </w:p>
        </w:tc>
        <w:tc>
          <w:tcPr>
            <w:tcW w:type="dxa" w:w="8424"/>
          </w:tcPr>
          <w:p>
            <w:pPr>
              <w:spacing w:after="20"/>
            </w:pPr>
            <w:r/>
            <w:r>
              <w:rPr>
                <w:sz w:val="17"/>
              </w:rPr>
              <w:t>Member sees their feed URL with copy button and app instructions. Revoking access invalidates the token.</w:t>
            </w:r>
          </w:p>
        </w:tc>
        <w:tc>
          <w:tcPr>
            <w:tcW w:type="dxa" w:w="648"/>
          </w:tcPr>
          <w:p>
            <w:pPr>
              <w:spacing w:after="20"/>
            </w:pPr>
            <w:r/>
            <w:r>
              <w:rPr>
                <w:sz w:val="17"/>
              </w:rPr>
              <w:t>M</w:t>
            </w:r>
          </w:p>
        </w:tc>
      </w:tr>
      <w:tr>
        <w:tc>
          <w:tcPr>
            <w:tcW w:type="dxa" w:w="936"/>
          </w:tcPr>
          <w:p>
            <w:pPr>
              <w:spacing w:after="20"/>
            </w:pPr>
            <w:r/>
            <w:r>
              <w:rPr>
                <w:sz w:val="17"/>
              </w:rPr>
              <w:t>9.3</w:t>
            </w:r>
          </w:p>
        </w:tc>
        <w:tc>
          <w:tcPr>
            <w:tcW w:type="dxa" w:w="8424"/>
          </w:tcPr>
          <w:p>
            <w:pPr>
              <w:spacing w:after="20"/>
            </w:pPr>
            <w:r/>
            <w:r>
              <w:rPr>
                <w:sz w:val="17"/>
              </w:rPr>
              <w:t>Newsletter issue archive for entitled members plus per-topic subscription preferences. Scheduled publishing.</w:t>
            </w:r>
          </w:p>
        </w:tc>
        <w:tc>
          <w:tcPr>
            <w:tcW w:type="dxa" w:w="648"/>
          </w:tcPr>
          <w:p>
            <w:pPr>
              <w:spacing w:after="20"/>
            </w:pPr>
            <w:r/>
            <w:r>
              <w:rPr>
                <w:sz w:val="17"/>
              </w:rPr>
              <w:t>M/S</w:t>
            </w:r>
          </w:p>
        </w:tc>
      </w:tr>
    </w:tbl>
    <w:p>
      <w:pPr>
        <w:spacing w:after="20"/>
      </w:pPr>
    </w:p>
    <w:p>
      <w:pPr>
        <w:pStyle w:val="Heading2"/>
      </w:pPr>
      <w:r>
        <w:t>FR-10  Forms, assessments, events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10.1</w:t>
            </w:r>
          </w:p>
        </w:tc>
        <w:tc>
          <w:tcPr>
            <w:tcW w:type="dxa" w:w="8424"/>
          </w:tcPr>
          <w:p>
            <w:pPr>
              <w:spacing w:after="20"/>
            </w:pPr>
            <w:r/>
            <w:r>
              <w:rPr>
                <w:sz w:val="17"/>
              </w:rPr>
              <w:t>Form builder: ordered fields (text, email, phone, select, radio, checkbox, textarea, date, file, hidden, consent) with validation and contact-field mapping.</w:t>
            </w:r>
          </w:p>
        </w:tc>
        <w:tc>
          <w:tcPr>
            <w:tcW w:type="dxa" w:w="648"/>
          </w:tcPr>
          <w:p>
            <w:pPr>
              <w:spacing w:after="20"/>
            </w:pPr>
            <w:r/>
            <w:r>
              <w:rPr>
                <w:sz w:val="17"/>
              </w:rPr>
              <w:t>M</w:t>
            </w:r>
          </w:p>
        </w:tc>
      </w:tr>
      <w:tr>
        <w:tc>
          <w:tcPr>
            <w:tcW w:type="dxa" w:w="936"/>
          </w:tcPr>
          <w:p>
            <w:pPr>
              <w:spacing w:after="20"/>
            </w:pPr>
            <w:r/>
            <w:r>
              <w:rPr>
                <w:sz w:val="17"/>
              </w:rPr>
              <w:t>10.2</w:t>
            </w:r>
          </w:p>
        </w:tc>
        <w:tc>
          <w:tcPr>
            <w:tcW w:type="dxa" w:w="8424"/>
          </w:tcPr>
          <w:p>
            <w:pPr>
              <w:spacing w:after="20"/>
            </w:pPr>
            <w:r/>
            <w:r>
              <w:rPr>
                <w:sz w:val="17"/>
              </w:rPr>
              <w:t>Public submit endpoint with rate limit + honeypot + optional bot check. Creates/matches contact, writes timeline, applies tags, fires automation.</w:t>
            </w:r>
          </w:p>
        </w:tc>
        <w:tc>
          <w:tcPr>
            <w:tcW w:type="dxa" w:w="648"/>
          </w:tcPr>
          <w:p>
            <w:pPr>
              <w:spacing w:after="20"/>
            </w:pPr>
            <w:r/>
            <w:r>
              <w:rPr>
                <w:sz w:val="17"/>
              </w:rPr>
              <w:t>M</w:t>
            </w:r>
          </w:p>
        </w:tc>
      </w:tr>
      <w:tr>
        <w:tc>
          <w:tcPr>
            <w:tcW w:type="dxa" w:w="936"/>
          </w:tcPr>
          <w:p>
            <w:pPr>
              <w:spacing w:after="20"/>
            </w:pPr>
            <w:r/>
            <w:r>
              <w:rPr>
                <w:sz w:val="17"/>
              </w:rPr>
              <w:t>10.3</w:t>
            </w:r>
          </w:p>
        </w:tc>
        <w:tc>
          <w:tcPr>
            <w:tcW w:type="dxa" w:w="8424"/>
          </w:tcPr>
          <w:p>
            <w:pPr>
              <w:spacing w:after="20"/>
            </w:pPr>
            <w:r/>
            <w:r>
              <w:rPr>
                <w:sz w:val="17"/>
              </w:rPr>
              <w:t>Post-submit: redirect, inline message, or file delivery. Embeddable snippet for the external website. Submissions listed and exportable.</w:t>
            </w:r>
          </w:p>
        </w:tc>
        <w:tc>
          <w:tcPr>
            <w:tcW w:type="dxa" w:w="648"/>
          </w:tcPr>
          <w:p>
            <w:pPr>
              <w:spacing w:after="20"/>
            </w:pPr>
            <w:r/>
            <w:r>
              <w:rPr>
                <w:sz w:val="17"/>
              </w:rPr>
              <w:t>M</w:t>
            </w:r>
          </w:p>
        </w:tc>
      </w:tr>
      <w:tr>
        <w:tc>
          <w:tcPr>
            <w:tcW w:type="dxa" w:w="936"/>
          </w:tcPr>
          <w:p>
            <w:pPr>
              <w:spacing w:after="20"/>
            </w:pPr>
            <w:r/>
            <w:r>
              <w:rPr>
                <w:sz w:val="17"/>
              </w:rPr>
              <w:t>10.4</w:t>
            </w:r>
          </w:p>
        </w:tc>
        <w:tc>
          <w:tcPr>
            <w:tcW w:type="dxa" w:w="8424"/>
          </w:tcPr>
          <w:p>
            <w:pPr>
              <w:spacing w:after="20"/>
            </w:pPr>
            <w:r/>
            <w:r>
              <w:rPr>
                <w:sz w:val="17"/>
              </w:rPr>
              <w:t>Assessments: weighted answers, scoring, pass mark, score bands branching to distinct results — each with its own tag and follow-on automation.</w:t>
            </w:r>
          </w:p>
        </w:tc>
        <w:tc>
          <w:tcPr>
            <w:tcW w:type="dxa" w:w="648"/>
          </w:tcPr>
          <w:p>
            <w:pPr>
              <w:spacing w:after="20"/>
            </w:pPr>
            <w:r/>
            <w:r>
              <w:rPr>
                <w:sz w:val="17"/>
              </w:rPr>
              <w:t>M</w:t>
            </w:r>
          </w:p>
        </w:tc>
      </w:tr>
      <w:tr>
        <w:tc>
          <w:tcPr>
            <w:tcW w:type="dxa" w:w="936"/>
          </w:tcPr>
          <w:p>
            <w:pPr>
              <w:spacing w:after="20"/>
            </w:pPr>
            <w:r/>
            <w:r>
              <w:rPr>
                <w:sz w:val="17"/>
              </w:rPr>
              <w:t>10.5</w:t>
            </w:r>
          </w:p>
        </w:tc>
        <w:tc>
          <w:tcPr>
            <w:tcW w:type="dxa" w:w="8424"/>
          </w:tcPr>
          <w:p>
            <w:pPr>
              <w:spacing w:after="20"/>
            </w:pPr>
            <w:r/>
            <w:r>
              <w:rPr>
                <w:sz w:val="17"/>
              </w:rPr>
              <w:t>Public assessments take without an account; in-course assessments record attempts, enforce limits, give feedback, and passing may issue a certificate.</w:t>
            </w:r>
          </w:p>
        </w:tc>
        <w:tc>
          <w:tcPr>
            <w:tcW w:type="dxa" w:w="648"/>
          </w:tcPr>
          <w:p>
            <w:pPr>
              <w:spacing w:after="20"/>
            </w:pPr>
            <w:r/>
            <w:r>
              <w:rPr>
                <w:sz w:val="17"/>
              </w:rPr>
              <w:t>M</w:t>
            </w:r>
          </w:p>
        </w:tc>
      </w:tr>
      <w:tr>
        <w:tc>
          <w:tcPr>
            <w:tcW w:type="dxa" w:w="936"/>
          </w:tcPr>
          <w:p>
            <w:pPr>
              <w:spacing w:after="20"/>
            </w:pPr>
            <w:r/>
            <w:r>
              <w:rPr>
                <w:sz w:val="17"/>
              </w:rPr>
              <w:t>10.6</w:t>
            </w:r>
          </w:p>
        </w:tc>
        <w:tc>
          <w:tcPr>
            <w:tcW w:type="dxa" w:w="8424"/>
          </w:tcPr>
          <w:p>
            <w:pPr>
              <w:spacing w:after="20"/>
            </w:pPr>
            <w:r/>
            <w:r>
              <w:rPr>
                <w:sz w:val="17"/>
              </w:rPr>
              <w:t>Events: live (fixed time), evergreen (recurring relative to the visitor), replay (with expiry). Registration → confirmation → calendar file → reminders at 24h/1h/start → room → replay countdown.</w:t>
            </w:r>
          </w:p>
        </w:tc>
        <w:tc>
          <w:tcPr>
            <w:tcW w:type="dxa" w:w="648"/>
          </w:tcPr>
          <w:p>
            <w:pPr>
              <w:spacing w:after="20"/>
            </w:pPr>
            <w:r/>
            <w:r>
              <w:rPr>
                <w:sz w:val="17"/>
              </w:rPr>
              <w:t>M</w:t>
            </w:r>
          </w:p>
        </w:tc>
      </w:tr>
      <w:tr>
        <w:tc>
          <w:tcPr>
            <w:tcW w:type="dxa" w:w="936"/>
          </w:tcPr>
          <w:p>
            <w:pPr>
              <w:spacing w:after="20"/>
            </w:pPr>
            <w:r/>
            <w:r>
              <w:rPr>
                <w:sz w:val="17"/>
              </w:rPr>
              <w:t>10.7</w:t>
            </w:r>
          </w:p>
        </w:tc>
        <w:tc>
          <w:tcPr>
            <w:tcW w:type="dxa" w:w="8424"/>
          </w:tcPr>
          <w:p>
            <w:pPr>
              <w:spacing w:after="20"/>
            </w:pPr>
            <w:r/>
            <w:r>
              <w:rPr>
                <w:sz w:val="17"/>
              </w:rPr>
              <w:t>Attendance recorded; post-event automation branches on attended / no-show / attended-but-did-not-buy. Registrant export + conversion report.</w:t>
            </w:r>
          </w:p>
        </w:tc>
        <w:tc>
          <w:tcPr>
            <w:tcW w:type="dxa" w:w="648"/>
          </w:tcPr>
          <w:p>
            <w:pPr>
              <w:spacing w:after="20"/>
            </w:pPr>
            <w:r/>
            <w:r>
              <w:rPr>
                <w:sz w:val="17"/>
              </w:rPr>
              <w:t>M</w:t>
            </w:r>
          </w:p>
        </w:tc>
      </w:tr>
    </w:tbl>
    <w:p>
      <w:pPr>
        <w:spacing w:after="20"/>
      </w:pPr>
    </w:p>
    <w:p>
      <w:pPr>
        <w:pStyle w:val="Heading2"/>
      </w:pPr>
      <w:r>
        <w:t>FR-11  Email</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11.1</w:t>
            </w:r>
          </w:p>
        </w:tc>
        <w:tc>
          <w:tcPr>
            <w:tcW w:type="dxa" w:w="8424"/>
          </w:tcPr>
          <w:p>
            <w:pPr>
              <w:spacing w:after="20"/>
            </w:pPr>
            <w:r/>
            <w:r>
              <w:rPr>
                <w:sz w:val="17"/>
              </w:rPr>
              <w:t>Provider with event webhooks. Transactional and marketing on separate streams so marketing reputation cannot break password resets.</w:t>
            </w:r>
          </w:p>
        </w:tc>
        <w:tc>
          <w:tcPr>
            <w:tcW w:type="dxa" w:w="648"/>
          </w:tcPr>
          <w:p>
            <w:pPr>
              <w:spacing w:after="20"/>
            </w:pPr>
            <w:r/>
            <w:r>
              <w:rPr>
                <w:sz w:val="17"/>
              </w:rPr>
              <w:t>M</w:t>
            </w:r>
          </w:p>
        </w:tc>
      </w:tr>
      <w:tr>
        <w:tc>
          <w:tcPr>
            <w:tcW w:type="dxa" w:w="936"/>
          </w:tcPr>
          <w:p>
            <w:pPr>
              <w:spacing w:after="20"/>
            </w:pPr>
            <w:r/>
            <w:r>
              <w:rPr>
                <w:sz w:val="17"/>
              </w:rPr>
              <w:t>11.2</w:t>
            </w:r>
          </w:p>
        </w:tc>
        <w:tc>
          <w:tcPr>
            <w:tcW w:type="dxa" w:w="8424"/>
          </w:tcPr>
          <w:p>
            <w:pPr>
              <w:spacing w:after="20"/>
            </w:pPr>
            <w:r/>
            <w:r>
              <w:rPr>
                <w:sz w:val="17"/>
              </w:rPr>
              <w:t>SPF/DKIM/DMARC configured and documented. Hard bounces and complaints immediately flip marketing status and add to a suppression list checked before every send, including queued ones.</w:t>
            </w:r>
          </w:p>
        </w:tc>
        <w:tc>
          <w:tcPr>
            <w:tcW w:type="dxa" w:w="648"/>
          </w:tcPr>
          <w:p>
            <w:pPr>
              <w:spacing w:after="20"/>
            </w:pPr>
            <w:r/>
            <w:r>
              <w:rPr>
                <w:sz w:val="17"/>
              </w:rPr>
              <w:t>M</w:t>
            </w:r>
          </w:p>
        </w:tc>
      </w:tr>
      <w:tr>
        <w:tc>
          <w:tcPr>
            <w:tcW w:type="dxa" w:w="936"/>
          </w:tcPr>
          <w:p>
            <w:pPr>
              <w:spacing w:after="20"/>
            </w:pPr>
            <w:r/>
            <w:r>
              <w:rPr>
                <w:sz w:val="17"/>
              </w:rPr>
              <w:t>11.3</w:t>
            </w:r>
          </w:p>
        </w:tc>
        <w:tc>
          <w:tcPr>
            <w:tcW w:type="dxa" w:w="8424"/>
          </w:tcPr>
          <w:p>
            <w:pPr>
              <w:spacing w:after="20"/>
            </w:pPr>
            <w:r/>
            <w:r>
              <w:rPr>
                <w:sz w:val="17"/>
              </w:rPr>
              <w:t>Every marketing email: working unsubscribe, one-click unsubscribe header, postal address. Per-topic preference centre.</w:t>
            </w:r>
          </w:p>
        </w:tc>
        <w:tc>
          <w:tcPr>
            <w:tcW w:type="dxa" w:w="648"/>
          </w:tcPr>
          <w:p>
            <w:pPr>
              <w:spacing w:after="20"/>
            </w:pPr>
            <w:r/>
            <w:r>
              <w:rPr>
                <w:sz w:val="17"/>
              </w:rPr>
              <w:t>M</w:t>
            </w:r>
          </w:p>
        </w:tc>
      </w:tr>
      <w:tr>
        <w:tc>
          <w:tcPr>
            <w:tcW w:type="dxa" w:w="936"/>
          </w:tcPr>
          <w:p>
            <w:pPr>
              <w:spacing w:after="20"/>
            </w:pPr>
            <w:r/>
            <w:r>
              <w:rPr>
                <w:sz w:val="17"/>
              </w:rPr>
              <w:t>11.4</w:t>
            </w:r>
          </w:p>
        </w:tc>
        <w:tc>
          <w:tcPr>
            <w:tcW w:type="dxa" w:w="8424"/>
          </w:tcPr>
          <w:p>
            <w:pPr>
              <w:spacing w:after="20"/>
            </w:pPr>
            <w:r/>
            <w:r>
              <w:rPr>
                <w:sz w:val="17"/>
              </w:rPr>
              <w:t>Editable system templates: welcome, verification, password reset, magic link, receipt, invoice, access granted, payment failed, cancelled, coaching confirmation + reminder, community digest, certificate, abandoned checkout, event emails, affiliate emails. A render failure falls back to a safe built-in.</w:t>
            </w:r>
          </w:p>
        </w:tc>
        <w:tc>
          <w:tcPr>
            <w:tcW w:type="dxa" w:w="648"/>
          </w:tcPr>
          <w:p>
            <w:pPr>
              <w:spacing w:after="20"/>
            </w:pPr>
            <w:r/>
            <w:r>
              <w:rPr>
                <w:sz w:val="17"/>
              </w:rPr>
              <w:t>M</w:t>
            </w:r>
          </w:p>
        </w:tc>
      </w:tr>
      <w:tr>
        <w:tc>
          <w:tcPr>
            <w:tcW w:type="dxa" w:w="936"/>
          </w:tcPr>
          <w:p>
            <w:pPr>
              <w:spacing w:after="20"/>
            </w:pPr>
            <w:r/>
            <w:r>
              <w:rPr>
                <w:sz w:val="17"/>
              </w:rPr>
              <w:t>11.5</w:t>
            </w:r>
          </w:p>
        </w:tc>
        <w:tc>
          <w:tcPr>
            <w:tcW w:type="dxa" w:w="8424"/>
          </w:tcPr>
          <w:p>
            <w:pPr>
              <w:spacing w:after="20"/>
            </w:pPr>
            <w:r/>
            <w:r>
              <w:rPr>
                <w:sz w:val="17"/>
              </w:rPr>
              <w:t>Broadcasts: segment audience, scheduling, timezone-aware send, test send, plain-text alternative, per-broadcast sent/delivered/opened/clicked/bounced/unsub reporting. Duplicate + folders.</w:t>
            </w:r>
          </w:p>
        </w:tc>
        <w:tc>
          <w:tcPr>
            <w:tcW w:type="dxa" w:w="648"/>
          </w:tcPr>
          <w:p>
            <w:pPr>
              <w:spacing w:after="20"/>
            </w:pPr>
            <w:r/>
            <w:r>
              <w:rPr>
                <w:sz w:val="17"/>
              </w:rPr>
              <w:t>M/S</w:t>
            </w:r>
          </w:p>
        </w:tc>
      </w:tr>
      <w:tr>
        <w:tc>
          <w:tcPr>
            <w:tcW w:type="dxa" w:w="936"/>
          </w:tcPr>
          <w:p>
            <w:pPr>
              <w:spacing w:after="20"/>
            </w:pPr>
            <w:r/>
            <w:r>
              <w:rPr>
                <w:sz w:val="17"/>
              </w:rPr>
              <w:t>11.6</w:t>
            </w:r>
          </w:p>
        </w:tc>
        <w:tc>
          <w:tcPr>
            <w:tcW w:type="dxa" w:w="8424"/>
          </w:tcPr>
          <w:p>
            <w:pPr>
              <w:spacing w:after="20"/>
            </w:pPr>
            <w:r/>
            <w:r>
              <w:rPr>
                <w:sz w:val="17"/>
              </w:rPr>
              <w:t>Sequences: ordered emails with relative delays, per-contact position and next-send time, pause/resume, send window, skip weekends, contact timezone, exit conditions (e.g. on purchase), re-entry rules. Editing a live sequence never resends delivered steps.</w:t>
            </w:r>
          </w:p>
        </w:tc>
        <w:tc>
          <w:tcPr>
            <w:tcW w:type="dxa" w:w="648"/>
          </w:tcPr>
          <w:p>
            <w:pPr>
              <w:spacing w:after="20"/>
            </w:pPr>
            <w:r/>
            <w:r>
              <w:rPr>
                <w:sz w:val="17"/>
              </w:rPr>
              <w:t>M</w:t>
            </w:r>
          </w:p>
        </w:tc>
      </w:tr>
    </w:tbl>
    <w:p>
      <w:pPr>
        <w:spacing w:after="20"/>
      </w:pPr>
    </w:p>
    <w:p>
      <w:pPr>
        <w:pStyle w:val="Heading2"/>
      </w:pPr>
      <w:r>
        <w:t>FR-12  Automations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12.1</w:t>
            </w:r>
          </w:p>
        </w:tc>
        <w:tc>
          <w:tcPr>
            <w:tcW w:type="dxa" w:w="8424"/>
          </w:tcPr>
          <w:p>
            <w:pPr>
              <w:spacing w:after="20"/>
            </w:pPr>
            <w:r/>
            <w:r>
              <w:rPr>
                <w:sz w:val="17"/>
              </w:rPr>
              <w:t>When / If / Then, built by a non-technical operator with no code.</w:t>
            </w:r>
          </w:p>
        </w:tc>
        <w:tc>
          <w:tcPr>
            <w:tcW w:type="dxa" w:w="648"/>
          </w:tcPr>
          <w:p>
            <w:pPr>
              <w:spacing w:after="20"/>
            </w:pPr>
            <w:r/>
            <w:r>
              <w:rPr>
                <w:sz w:val="17"/>
              </w:rPr>
              <w:t>M</w:t>
            </w:r>
          </w:p>
        </w:tc>
      </w:tr>
      <w:tr>
        <w:tc>
          <w:tcPr>
            <w:tcW w:type="dxa" w:w="936"/>
          </w:tcPr>
          <w:p>
            <w:pPr>
              <w:spacing w:after="20"/>
            </w:pPr>
            <w:r/>
            <w:r>
              <w:rPr>
                <w:sz w:val="17"/>
              </w:rPr>
              <w:t>12.2</w:t>
            </w:r>
          </w:p>
        </w:tc>
        <w:tc>
          <w:tcPr>
            <w:tcW w:type="dxa" w:w="8424"/>
          </w:tcPr>
          <w:p>
            <w:pPr>
              <w:spacing w:after="20"/>
            </w:pPr>
            <w:r/>
            <w:r>
              <w:rPr>
                <w:sz w:val="17"/>
              </w:rPr>
              <w:t>Triggers: form submitted · offer purchased · subscription cancelled · payment failed · tag added/removed · sequence completed · assessment completed/passed · lesson/course completed · event registered/attended · contact created · access granted/expired · abandoned checkout · date reached.</w:t>
            </w:r>
          </w:p>
        </w:tc>
        <w:tc>
          <w:tcPr>
            <w:tcW w:type="dxa" w:w="648"/>
          </w:tcPr>
          <w:p>
            <w:pPr>
              <w:spacing w:after="20"/>
            </w:pPr>
            <w:r/>
            <w:r>
              <w:rPr>
                <w:sz w:val="17"/>
              </w:rPr>
              <w:t>M</w:t>
            </w:r>
          </w:p>
        </w:tc>
      </w:tr>
      <w:tr>
        <w:tc>
          <w:tcPr>
            <w:tcW w:type="dxa" w:w="936"/>
          </w:tcPr>
          <w:p>
            <w:pPr>
              <w:spacing w:after="20"/>
            </w:pPr>
            <w:r/>
            <w:r>
              <w:rPr>
                <w:sz w:val="17"/>
              </w:rPr>
              <w:t>12.3</w:t>
            </w:r>
          </w:p>
        </w:tc>
        <w:tc>
          <w:tcPr>
            <w:tcW w:type="dxa" w:w="8424"/>
          </w:tcPr>
          <w:p>
            <w:pPr>
              <w:spacing w:after="20"/>
            </w:pPr>
            <w:r/>
            <w:r>
              <w:rPr>
                <w:sz w:val="17"/>
              </w:rPr>
              <w:t>Actions: send email · sub/unsub sequence · add/remove tag · grant/revoke product or offer · register for event · wait N days · branch · outbound webhook · staff notification.</w:t>
            </w:r>
          </w:p>
        </w:tc>
        <w:tc>
          <w:tcPr>
            <w:tcW w:type="dxa" w:w="648"/>
          </w:tcPr>
          <w:p>
            <w:pPr>
              <w:spacing w:after="20"/>
            </w:pPr>
            <w:r/>
            <w:r>
              <w:rPr>
                <w:sz w:val="17"/>
              </w:rPr>
              <w:t>M</w:t>
            </w:r>
          </w:p>
        </w:tc>
      </w:tr>
      <w:tr>
        <w:tc>
          <w:tcPr>
            <w:tcW w:type="dxa" w:w="936"/>
          </w:tcPr>
          <w:p>
            <w:pPr>
              <w:spacing w:after="20"/>
            </w:pPr>
            <w:r/>
            <w:r>
              <w:rPr>
                <w:sz w:val="17"/>
              </w:rPr>
              <w:t>12.4</w:t>
            </w:r>
          </w:p>
        </w:tc>
        <w:tc>
          <w:tcPr>
            <w:tcW w:type="dxa" w:w="8424"/>
          </w:tcPr>
          <w:p>
            <w:pPr>
              <w:spacing w:after="20"/>
            </w:pPr>
            <w:r/>
            <w:r>
              <w:rPr>
                <w:sz w:val="17"/>
              </w:rPr>
              <w:t>Run history per firing with per-action outcome, visible failures and retry.</w:t>
            </w:r>
          </w:p>
        </w:tc>
        <w:tc>
          <w:tcPr>
            <w:tcW w:type="dxa" w:w="648"/>
          </w:tcPr>
          <w:p>
            <w:pPr>
              <w:spacing w:after="20"/>
            </w:pPr>
            <w:r/>
            <w:r>
              <w:rPr>
                <w:sz w:val="17"/>
              </w:rPr>
              <w:t>M</w:t>
            </w:r>
          </w:p>
        </w:tc>
      </w:tr>
      <w:tr>
        <w:tc>
          <w:tcPr>
            <w:tcW w:type="dxa" w:w="936"/>
          </w:tcPr>
          <w:p>
            <w:pPr>
              <w:spacing w:after="20"/>
            </w:pPr>
            <w:r/>
            <w:r>
              <w:rPr>
                <w:sz w:val="17"/>
              </w:rPr>
              <w:t>12.5</w:t>
            </w:r>
          </w:p>
        </w:tc>
        <w:tc>
          <w:tcPr>
            <w:tcW w:type="dxa" w:w="8424"/>
          </w:tcPr>
          <w:p>
            <w:pPr>
              <w:spacing w:after="20"/>
            </w:pPr>
            <w:r/>
            <w:r>
              <w:rPr>
                <w:sz w:val="17"/>
              </w:rPr>
              <w:t>Loop protection: no self-retrigger, capped entries per contact per window, halt + alert on breach. Global send-rate ceiling and a kill switch.</w:t>
            </w:r>
          </w:p>
        </w:tc>
        <w:tc>
          <w:tcPr>
            <w:tcW w:type="dxa" w:w="648"/>
          </w:tcPr>
          <w:p>
            <w:pPr>
              <w:spacing w:after="20"/>
            </w:pPr>
            <w:r/>
            <w:r>
              <w:rPr>
                <w:sz w:val="17"/>
              </w:rPr>
              <w:t>M</w:t>
            </w:r>
          </w:p>
        </w:tc>
      </w:tr>
      <w:tr>
        <w:tc>
          <w:tcPr>
            <w:tcW w:type="dxa" w:w="936"/>
          </w:tcPr>
          <w:p>
            <w:pPr>
              <w:spacing w:after="20"/>
            </w:pPr>
            <w:r/>
            <w:r>
              <w:rPr>
                <w:sz w:val="17"/>
              </w:rPr>
              <w:t>12.6</w:t>
            </w:r>
          </w:p>
        </w:tc>
        <w:tc>
          <w:tcPr>
            <w:tcW w:type="dxa" w:w="8424"/>
          </w:tcPr>
          <w:p>
            <w:pPr>
              <w:spacing w:after="20"/>
            </w:pPr>
            <w:r/>
            <w:r>
              <w:rPr>
                <w:sz w:val="17"/>
              </w:rPr>
              <w:t>Dry-run test against a chosen contact. Activate / pause (holds position) / archive.</w:t>
            </w:r>
          </w:p>
        </w:tc>
        <w:tc>
          <w:tcPr>
            <w:tcW w:type="dxa" w:w="648"/>
          </w:tcPr>
          <w:p>
            <w:pPr>
              <w:spacing w:after="20"/>
            </w:pPr>
            <w:r/>
            <w:r>
              <w:rPr>
                <w:sz w:val="17"/>
              </w:rPr>
              <w:t>M</w:t>
            </w:r>
          </w:p>
        </w:tc>
      </w:tr>
      <w:tr>
        <w:tc>
          <w:tcPr>
            <w:tcW w:type="dxa" w:w="936"/>
          </w:tcPr>
          <w:p>
            <w:pPr>
              <w:spacing w:after="20"/>
            </w:pPr>
            <w:r/>
            <w:r>
              <w:rPr>
                <w:sz w:val="17"/>
              </w:rPr>
              <w:t>12.7</w:t>
            </w:r>
          </w:p>
        </w:tc>
        <w:tc>
          <w:tcPr>
            <w:tcW w:type="dxa" w:w="8424"/>
          </w:tcPr>
          <w:p>
            <w:pPr>
              <w:spacing w:after="20"/>
            </w:pPr>
            <w:r/>
            <w:r>
              <w:rPr>
                <w:sz w:val="17"/>
              </w:rPr>
              <w:t>At-least-once execution with idempotent actions — a retry never double-sends or double-grants.</w:t>
            </w:r>
          </w:p>
        </w:tc>
        <w:tc>
          <w:tcPr>
            <w:tcW w:type="dxa" w:w="648"/>
          </w:tcPr>
          <w:p>
            <w:pPr>
              <w:spacing w:after="20"/>
            </w:pPr>
            <w:r/>
            <w:r>
              <w:rPr>
                <w:sz w:val="17"/>
              </w:rPr>
              <w:t>M</w:t>
            </w:r>
          </w:p>
        </w:tc>
      </w:tr>
    </w:tbl>
    <w:p>
      <w:pPr>
        <w:spacing w:after="20"/>
      </w:pPr>
    </w:p>
    <w:p>
      <w:pPr>
        <w:pStyle w:val="Heading2"/>
      </w:pPr>
      <w:r>
        <w:t>FR-13  Affiliates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13.1</w:t>
            </w:r>
          </w:p>
        </w:tc>
        <w:tc>
          <w:tcPr>
            <w:tcW w:type="dxa" w:w="8424"/>
          </w:tcPr>
          <w:p>
            <w:pPr>
              <w:spacing w:after="20"/>
            </w:pPr>
            <w:r/>
            <w:r>
              <w:rPr>
                <w:sz w:val="17"/>
              </w:rPr>
              <w:t>Public application → staff approve/reject with notification. Unique tracking links per offer.</w:t>
            </w:r>
          </w:p>
        </w:tc>
        <w:tc>
          <w:tcPr>
            <w:tcW w:type="dxa" w:w="648"/>
          </w:tcPr>
          <w:p>
            <w:pPr>
              <w:spacing w:after="20"/>
            </w:pPr>
            <w:r/>
            <w:r>
              <w:rPr>
                <w:sz w:val="17"/>
              </w:rPr>
              <w:t>M</w:t>
            </w:r>
          </w:p>
        </w:tc>
      </w:tr>
      <w:tr>
        <w:tc>
          <w:tcPr>
            <w:tcW w:type="dxa" w:w="936"/>
          </w:tcPr>
          <w:p>
            <w:pPr>
              <w:spacing w:after="20"/>
            </w:pPr>
            <w:r/>
            <w:r>
              <w:rPr>
                <w:sz w:val="17"/>
              </w:rPr>
              <w:t>13.2</w:t>
            </w:r>
          </w:p>
        </w:tc>
        <w:tc>
          <w:tcPr>
            <w:tcW w:type="dxa" w:w="8424"/>
          </w:tcPr>
          <w:p>
            <w:pPr>
              <w:spacing w:after="20"/>
            </w:pPr>
            <w:r/>
            <w:r>
              <w:rPr>
                <w:sz w:val="17"/>
              </w:rPr>
              <w:t>Click attribution by cookie with configurable window and first- vs last-click rule. Self-referral blocked.</w:t>
            </w:r>
          </w:p>
        </w:tc>
        <w:tc>
          <w:tcPr>
            <w:tcW w:type="dxa" w:w="648"/>
          </w:tcPr>
          <w:p>
            <w:pPr>
              <w:spacing w:after="20"/>
            </w:pPr>
            <w:r/>
            <w:r>
              <w:rPr>
                <w:sz w:val="17"/>
              </w:rPr>
              <w:t>M/S</w:t>
            </w:r>
          </w:p>
        </w:tc>
      </w:tr>
      <w:tr>
        <w:tc>
          <w:tcPr>
            <w:tcW w:type="dxa" w:w="936"/>
          </w:tcPr>
          <w:p>
            <w:pPr>
              <w:spacing w:after="20"/>
            </w:pPr>
            <w:r/>
            <w:r>
              <w:rPr>
                <w:sz w:val="17"/>
              </w:rPr>
              <w:t>13.3</w:t>
            </w:r>
          </w:p>
        </w:tc>
        <w:tc>
          <w:tcPr>
            <w:tcW w:type="dxa" w:w="8424"/>
          </w:tcPr>
          <w:p>
            <w:pPr>
              <w:spacing w:after="20"/>
            </w:pPr>
            <w:r/>
            <w:r>
              <w:rPr>
                <w:sz w:val="17"/>
              </w:rPr>
              <w:t>Commission rules: % or fixed, per-offer overrides, recurring on renewals for N payments, holding period before payable.</w:t>
            </w:r>
          </w:p>
        </w:tc>
        <w:tc>
          <w:tcPr>
            <w:tcW w:type="dxa" w:w="648"/>
          </w:tcPr>
          <w:p>
            <w:pPr>
              <w:spacing w:after="20"/>
            </w:pPr>
            <w:r/>
            <w:r>
              <w:rPr>
                <w:sz w:val="17"/>
              </w:rPr>
              <w:t>M</w:t>
            </w:r>
          </w:p>
        </w:tc>
      </w:tr>
      <w:tr>
        <w:tc>
          <w:tcPr>
            <w:tcW w:type="dxa" w:w="936"/>
          </w:tcPr>
          <w:p>
            <w:pPr>
              <w:spacing w:after="20"/>
            </w:pPr>
            <w:r/>
            <w:r>
              <w:rPr>
                <w:sz w:val="17"/>
              </w:rPr>
              <w:t>13.4</w:t>
            </w:r>
          </w:p>
        </w:tc>
        <w:tc>
          <w:tcPr>
            <w:tcW w:type="dxa" w:w="8424"/>
          </w:tcPr>
          <w:p>
            <w:pPr>
              <w:spacing w:after="20"/>
            </w:pPr>
            <w:r/>
            <w:r>
              <w:rPr>
                <w:sz w:val="17"/>
              </w:rPr>
              <w:t>Refund or chargeback claws the commission back automatically.</w:t>
            </w:r>
          </w:p>
        </w:tc>
        <w:tc>
          <w:tcPr>
            <w:tcW w:type="dxa" w:w="648"/>
          </w:tcPr>
          <w:p>
            <w:pPr>
              <w:spacing w:after="20"/>
            </w:pPr>
            <w:r/>
            <w:r>
              <w:rPr>
                <w:sz w:val="17"/>
              </w:rPr>
              <w:t>M</w:t>
            </w:r>
          </w:p>
        </w:tc>
      </w:tr>
      <w:tr>
        <w:tc>
          <w:tcPr>
            <w:tcW w:type="dxa" w:w="936"/>
          </w:tcPr>
          <w:p>
            <w:pPr>
              <w:spacing w:after="20"/>
            </w:pPr>
            <w:r/>
            <w:r>
              <w:rPr>
                <w:sz w:val="17"/>
              </w:rPr>
              <w:t>13.5</w:t>
            </w:r>
          </w:p>
        </w:tc>
        <w:tc>
          <w:tcPr>
            <w:tcW w:type="dxa" w:w="8424"/>
          </w:tcPr>
          <w:p>
            <w:pPr>
              <w:spacing w:after="20"/>
            </w:pPr>
            <w:r/>
            <w:r>
              <w:rPr>
                <w:sz w:val="17"/>
              </w:rPr>
              <w:t>Affiliate portal: dashboard, links, creative assets, transactions, balance, payout history, announcements.</w:t>
            </w:r>
          </w:p>
        </w:tc>
        <w:tc>
          <w:tcPr>
            <w:tcW w:type="dxa" w:w="648"/>
          </w:tcPr>
          <w:p>
            <w:pPr>
              <w:spacing w:after="20"/>
            </w:pPr>
            <w:r/>
            <w:r>
              <w:rPr>
                <w:sz w:val="17"/>
              </w:rPr>
              <w:t>M</w:t>
            </w:r>
          </w:p>
        </w:tc>
      </w:tr>
      <w:tr>
        <w:tc>
          <w:tcPr>
            <w:tcW w:type="dxa" w:w="936"/>
          </w:tcPr>
          <w:p>
            <w:pPr>
              <w:spacing w:after="20"/>
            </w:pPr>
            <w:r/>
            <w:r>
              <w:rPr>
                <w:sz w:val="17"/>
              </w:rPr>
              <w:t>13.6</w:t>
            </w:r>
          </w:p>
        </w:tc>
        <w:tc>
          <w:tcPr>
            <w:tcW w:type="dxa" w:w="8424"/>
          </w:tcPr>
          <w:p>
            <w:pPr>
              <w:spacing w:after="20"/>
            </w:pPr>
            <w:r/>
            <w:r>
              <w:rPr>
                <w:sz w:val="17"/>
              </w:rPr>
              <w:t>Staff: adjust commission, mark paid, export payment file, leaderboard, per-affiliate report.</w:t>
            </w:r>
          </w:p>
        </w:tc>
        <w:tc>
          <w:tcPr>
            <w:tcW w:type="dxa" w:w="648"/>
          </w:tcPr>
          <w:p>
            <w:pPr>
              <w:spacing w:after="20"/>
            </w:pPr>
            <w:r/>
            <w:r>
              <w:rPr>
                <w:sz w:val="17"/>
              </w:rPr>
              <w:t>M</w:t>
            </w:r>
          </w:p>
        </w:tc>
      </w:tr>
    </w:tbl>
    <w:p>
      <w:pPr>
        <w:spacing w:after="20"/>
      </w:pPr>
    </w:p>
    <w:p>
      <w:pPr>
        <w:pStyle w:val="Heading2"/>
      </w:pPr>
      <w:r>
        <w:t>FR-14  Reporting</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14.1</w:t>
            </w:r>
          </w:p>
        </w:tc>
        <w:tc>
          <w:tcPr>
            <w:tcW w:type="dxa" w:w="8424"/>
          </w:tcPr>
          <w:p>
            <w:pPr>
              <w:spacing w:after="20"/>
            </w:pPr>
            <w:r/>
            <w:r>
              <w:rPr>
                <w:sz w:val="17"/>
              </w:rPr>
              <w:t>One reporting framework: date range, compare to previous period, filters, CSV export, saved views.</w:t>
            </w:r>
          </w:p>
        </w:tc>
        <w:tc>
          <w:tcPr>
            <w:tcW w:type="dxa" w:w="648"/>
          </w:tcPr>
          <w:p>
            <w:pPr>
              <w:spacing w:after="20"/>
            </w:pPr>
            <w:r/>
            <w:r>
              <w:rPr>
                <w:sz w:val="17"/>
              </w:rPr>
              <w:t>M</w:t>
            </w:r>
          </w:p>
        </w:tc>
      </w:tr>
      <w:tr>
        <w:tc>
          <w:tcPr>
            <w:tcW w:type="dxa" w:w="936"/>
          </w:tcPr>
          <w:p>
            <w:pPr>
              <w:spacing w:after="20"/>
            </w:pPr>
            <w:r/>
            <w:r>
              <w:rPr>
                <w:sz w:val="17"/>
              </w:rPr>
              <w:t>14.2</w:t>
            </w:r>
          </w:p>
        </w:tc>
        <w:tc>
          <w:tcPr>
            <w:tcW w:type="dxa" w:w="8424"/>
          </w:tcPr>
          <w:p>
            <w:pPr>
              <w:spacing w:after="20"/>
            </w:pPr>
            <w:r/>
            <w:r>
              <w:rPr>
                <w:sz w:val="17"/>
              </w:rPr>
              <w:t>Reports read pre-aggregated daily rollups, not live table scans. Rollups rebuildable for any historical range.</w:t>
            </w:r>
          </w:p>
        </w:tc>
        <w:tc>
          <w:tcPr>
            <w:tcW w:type="dxa" w:w="648"/>
          </w:tcPr>
          <w:p>
            <w:pPr>
              <w:spacing w:after="20"/>
            </w:pPr>
            <w:r/>
            <w:r>
              <w:rPr>
                <w:sz w:val="17"/>
              </w:rPr>
              <w:t>M</w:t>
            </w:r>
          </w:p>
        </w:tc>
      </w:tr>
      <w:tr>
        <w:tc>
          <w:tcPr>
            <w:tcW w:type="dxa" w:w="936"/>
          </w:tcPr>
          <w:p>
            <w:pPr>
              <w:spacing w:after="20"/>
            </w:pPr>
            <w:r/>
            <w:r>
              <w:rPr>
                <w:sz w:val="17"/>
              </w:rPr>
              <w:t>14.3</w:t>
            </w:r>
          </w:p>
        </w:tc>
        <w:tc>
          <w:tcPr>
            <w:tcW w:type="dxa" w:w="8424"/>
          </w:tcPr>
          <w:p>
            <w:pPr>
              <w:spacing w:after="20"/>
            </w:pPr>
            <w:r/>
            <w:r>
              <w:rPr>
                <w:sz w:val="17"/>
              </w:rPr>
              <w:t>Launch set — Payments: gross/net revenue, refunds, by method, by pricing type, tax, offers sold. Sales: purchases over time, by offer, upsells, abandoned-checkout recovery. Subscriptions: new, MRR, cancelled with reason, churn, ARPU, retention. Plans: new, status, cancelled. Contacts: new over time, top customers, opt-ins. Products: completion, drop-off, certificates. Email: sends/opens/clicks/unsubs per broadcast and per sequence email.</w:t>
            </w:r>
          </w:p>
        </w:tc>
        <w:tc>
          <w:tcPr>
            <w:tcW w:type="dxa" w:w="648"/>
          </w:tcPr>
          <w:p>
            <w:pPr>
              <w:spacing w:after="20"/>
            </w:pPr>
            <w:r/>
            <w:r>
              <w:rPr>
                <w:sz w:val="17"/>
              </w:rPr>
              <w:t>M</w:t>
            </w:r>
          </w:p>
        </w:tc>
      </w:tr>
      <w:tr>
        <w:tc>
          <w:tcPr>
            <w:tcW w:type="dxa" w:w="936"/>
          </w:tcPr>
          <w:p>
            <w:pPr>
              <w:spacing w:after="20"/>
            </w:pPr>
            <w:r/>
            <w:r>
              <w:rPr>
                <w:sz w:val="17"/>
              </w:rPr>
              <w:t>14.4</w:t>
            </w:r>
          </w:p>
        </w:tc>
        <w:tc>
          <w:tcPr>
            <w:tcW w:type="dxa" w:w="8424"/>
          </w:tcPr>
          <w:p>
            <w:pPr>
              <w:spacing w:after="20"/>
            </w:pPr>
            <w:r/>
            <w:r>
              <w:rPr>
                <w:sz w:val="17"/>
              </w:rPr>
              <w:t>Later: affiliates, events, assessments, coaching utilisation, community engagement.</w:t>
            </w:r>
          </w:p>
        </w:tc>
        <w:tc>
          <w:tcPr>
            <w:tcW w:type="dxa" w:w="648"/>
          </w:tcPr>
          <w:p>
            <w:pPr>
              <w:spacing w:after="20"/>
            </w:pPr>
            <w:r/>
            <w:r>
              <w:rPr>
                <w:sz w:val="17"/>
              </w:rPr>
              <w:t>S</w:t>
            </w:r>
          </w:p>
        </w:tc>
      </w:tr>
      <w:tr>
        <w:tc>
          <w:tcPr>
            <w:tcW w:type="dxa" w:w="936"/>
          </w:tcPr>
          <w:p>
            <w:pPr>
              <w:spacing w:after="20"/>
            </w:pPr>
            <w:r/>
            <w:r>
              <w:rPr>
                <w:sz w:val="17"/>
              </w:rPr>
              <w:t>14.5</w:t>
            </w:r>
          </w:p>
        </w:tc>
        <w:tc>
          <w:tcPr>
            <w:tcW w:type="dxa" w:w="8424"/>
          </w:tcPr>
          <w:p>
            <w:pPr>
              <w:spacing w:after="20"/>
            </w:pPr>
            <w:r/>
            <w:r>
              <w:rPr>
                <w:sz w:val="17"/>
              </w:rPr>
              <w:t>Report money must reconcile exactly with the transaction ledger and with Stripe. A mismatch is a defect.</w:t>
            </w:r>
          </w:p>
        </w:tc>
        <w:tc>
          <w:tcPr>
            <w:tcW w:type="dxa" w:w="648"/>
          </w:tcPr>
          <w:p>
            <w:pPr>
              <w:spacing w:after="20"/>
            </w:pPr>
            <w:r/>
            <w:r>
              <w:rPr>
                <w:sz w:val="17"/>
              </w:rPr>
              <w:t>M</w:t>
            </w:r>
          </w:p>
        </w:tc>
      </w:tr>
      <w:tr>
        <w:tc>
          <w:tcPr>
            <w:tcW w:type="dxa" w:w="936"/>
          </w:tcPr>
          <w:p>
            <w:pPr>
              <w:spacing w:after="20"/>
            </w:pPr>
            <w:r/>
            <w:r>
              <w:rPr>
                <w:sz w:val="17"/>
              </w:rPr>
              <w:t>14.6</w:t>
            </w:r>
          </w:p>
        </w:tc>
        <w:tc>
          <w:tcPr>
            <w:tcW w:type="dxa" w:w="8424"/>
          </w:tcPr>
          <w:p>
            <w:pPr>
              <w:spacing w:after="20"/>
            </w:pPr>
            <w:r/>
            <w:r>
              <w:rPr>
                <w:sz w:val="17"/>
              </w:rPr>
              <w:t>Dashboard: gross revenue, net revenue, subscription revenue, opt-ins, offers sold, Stripe balance, trend vs previous period.</w:t>
            </w:r>
          </w:p>
        </w:tc>
        <w:tc>
          <w:tcPr>
            <w:tcW w:type="dxa" w:w="648"/>
          </w:tcPr>
          <w:p>
            <w:pPr>
              <w:spacing w:after="20"/>
            </w:pPr>
            <w:r/>
            <w:r>
              <w:rPr>
                <w:sz w:val="17"/>
              </w:rPr>
              <w:t>M</w:t>
            </w:r>
          </w:p>
        </w:tc>
      </w:tr>
    </w:tbl>
    <w:p>
      <w:pPr>
        <w:spacing w:after="20"/>
      </w:pPr>
    </w:p>
    <w:p>
      <w:pPr>
        <w:pStyle w:val="Heading2"/>
      </w:pPr>
      <w:r>
        <w:t>FR-15  Staff, settings, integrations, platform</w:t>
      </w:r>
    </w:p>
    <w:tbl>
      <w:tblPr>
        <w:tblStyle w:val="TableGrid"/>
        <w:tblW w:type="auto" w:w="0"/>
        <w:jc w:val="center"/>
        <w:tblLook w:firstColumn="1" w:firstRow="1" w:lastColumn="0" w:lastRow="0" w:noHBand="0" w:noVBand="1" w:val="04A0"/>
      </w:tblPr>
      <w:tblGrid>
        <w:gridCol w:w="3408"/>
        <w:gridCol w:w="3408"/>
        <w:gridCol w:w="3408"/>
      </w:tblGrid>
      <w:tr>
        <w:tc>
          <w:tcPr>
            <w:tcW w:type="dxa" w:w="936"/>
            <w:shd w:val="clear" w:color="auto" w:fill="1F3B57"/>
          </w:tcPr>
          <w:p>
            <w:r/>
            <w:r>
              <w:rPr>
                <w:b/>
                <w:color w:val="FFFFFF"/>
                <w:sz w:val="17"/>
              </w:rPr>
              <w:t>ID</w:t>
            </w:r>
          </w:p>
        </w:tc>
        <w:tc>
          <w:tcPr>
            <w:tcW w:type="dxa" w:w="8424"/>
            <w:shd w:val="clear" w:color="auto" w:fill="1F3B57"/>
          </w:tcPr>
          <w:p>
            <w:r/>
            <w:r>
              <w:rPr>
                <w:b/>
                <w:color w:val="FFFFFF"/>
                <w:sz w:val="17"/>
              </w:rPr>
              <w:t>Requirement</w:t>
            </w:r>
          </w:p>
        </w:tc>
        <w:tc>
          <w:tcPr>
            <w:tcW w:type="dxa" w:w="648"/>
            <w:shd w:val="clear" w:color="auto" w:fill="1F3B57"/>
          </w:tcPr>
          <w:p>
            <w:r/>
            <w:r>
              <w:rPr>
                <w:b/>
                <w:color w:val="FFFFFF"/>
                <w:sz w:val="17"/>
              </w:rPr>
              <w:t>Pri</w:t>
            </w:r>
          </w:p>
        </w:tc>
      </w:tr>
      <w:tr>
        <w:tc>
          <w:tcPr>
            <w:tcW w:type="dxa" w:w="936"/>
          </w:tcPr>
          <w:p>
            <w:pPr>
              <w:spacing w:after="20"/>
            </w:pPr>
            <w:r/>
            <w:r>
              <w:rPr>
                <w:sz w:val="17"/>
              </w:rPr>
              <w:t>15.1</w:t>
            </w:r>
          </w:p>
        </w:tc>
        <w:tc>
          <w:tcPr>
            <w:tcW w:type="dxa" w:w="8424"/>
          </w:tcPr>
          <w:p>
            <w:pPr>
              <w:spacing w:after="20"/>
            </w:pPr>
            <w:r/>
            <w:r>
              <w:rPr>
                <w:sz w:val="17"/>
              </w:rPr>
              <w:t>Roles: Owner, Admin, Marketing, Support, Coach. Permission matrix declared in ONE file. Deny by default; unknown role gets nothing; Owner unconditional.</w:t>
            </w:r>
          </w:p>
        </w:tc>
        <w:tc>
          <w:tcPr>
            <w:tcW w:type="dxa" w:w="648"/>
          </w:tcPr>
          <w:p>
            <w:pPr>
              <w:spacing w:after="20"/>
            </w:pPr>
            <w:r/>
            <w:r>
              <w:rPr>
                <w:sz w:val="17"/>
              </w:rPr>
              <w:t>M</w:t>
            </w:r>
          </w:p>
        </w:tc>
      </w:tr>
      <w:tr>
        <w:tc>
          <w:tcPr>
            <w:tcW w:type="dxa" w:w="936"/>
          </w:tcPr>
          <w:p>
            <w:pPr>
              <w:spacing w:after="20"/>
            </w:pPr>
            <w:r/>
            <w:r>
              <w:rPr>
                <w:sz w:val="17"/>
              </w:rPr>
              <w:t>15.2</w:t>
            </w:r>
          </w:p>
        </w:tc>
        <w:tc>
          <w:tcPr>
            <w:tcW w:type="dxa" w:w="8424"/>
          </w:tcPr>
          <w:p>
            <w:pPr>
              <w:spacing w:after="20"/>
            </w:pPr>
            <w:r/>
            <w:r>
              <w:rPr>
                <w:sz w:val="17"/>
              </w:rPr>
              <w:t>Every admin route enforces a specific permission AND object ownership, not just "is staff".</w:t>
            </w:r>
          </w:p>
        </w:tc>
        <w:tc>
          <w:tcPr>
            <w:tcW w:type="dxa" w:w="648"/>
          </w:tcPr>
          <w:p>
            <w:pPr>
              <w:spacing w:after="20"/>
            </w:pPr>
            <w:r/>
            <w:r>
              <w:rPr>
                <w:sz w:val="17"/>
              </w:rPr>
              <w:t>M</w:t>
            </w:r>
          </w:p>
        </w:tc>
      </w:tr>
      <w:tr>
        <w:tc>
          <w:tcPr>
            <w:tcW w:type="dxa" w:w="936"/>
          </w:tcPr>
          <w:p>
            <w:pPr>
              <w:spacing w:after="20"/>
            </w:pPr>
            <w:r/>
            <w:r>
              <w:rPr>
                <w:sz w:val="17"/>
              </w:rPr>
              <w:t>15.3</w:t>
            </w:r>
          </w:p>
        </w:tc>
        <w:tc>
          <w:tcPr>
            <w:tcW w:type="dxa" w:w="8424"/>
          </w:tcPr>
          <w:p>
            <w:pPr>
              <w:spacing w:after="20"/>
            </w:pPr>
            <w:r/>
            <w:r>
              <w:rPr>
                <w:sz w:val="17"/>
              </w:rPr>
              <w:t>Email-invite staff onboarding, TOTP MFA with recovery codes, session list + revoke.</w:t>
            </w:r>
          </w:p>
        </w:tc>
        <w:tc>
          <w:tcPr>
            <w:tcW w:type="dxa" w:w="648"/>
          </w:tcPr>
          <w:p>
            <w:pPr>
              <w:spacing w:after="20"/>
            </w:pPr>
            <w:r/>
            <w:r>
              <w:rPr>
                <w:sz w:val="17"/>
              </w:rPr>
              <w:t>M</w:t>
            </w:r>
          </w:p>
        </w:tc>
      </w:tr>
      <w:tr>
        <w:tc>
          <w:tcPr>
            <w:tcW w:type="dxa" w:w="936"/>
          </w:tcPr>
          <w:p>
            <w:pPr>
              <w:spacing w:after="20"/>
            </w:pPr>
            <w:r/>
            <w:r>
              <w:rPr>
                <w:sz w:val="17"/>
              </w:rPr>
              <w:t>15.4</w:t>
            </w:r>
          </w:p>
        </w:tc>
        <w:tc>
          <w:tcPr>
            <w:tcW w:type="dxa" w:w="8424"/>
          </w:tcPr>
          <w:p>
            <w:pPr>
              <w:spacing w:after="20"/>
            </w:pPr>
            <w:r/>
            <w:r>
              <w:rPr>
                <w:sz w:val="17"/>
              </w:rPr>
              <w:t>Immutable audit log of every staff mutation: who, what, before/after, when, from where. Filterable, exportable, not deletable from the app.</w:t>
            </w:r>
          </w:p>
        </w:tc>
        <w:tc>
          <w:tcPr>
            <w:tcW w:type="dxa" w:w="648"/>
          </w:tcPr>
          <w:p>
            <w:pPr>
              <w:spacing w:after="20"/>
            </w:pPr>
            <w:r/>
            <w:r>
              <w:rPr>
                <w:sz w:val="17"/>
              </w:rPr>
              <w:t>M</w:t>
            </w:r>
          </w:p>
        </w:tc>
      </w:tr>
      <w:tr>
        <w:tc>
          <w:tcPr>
            <w:tcW w:type="dxa" w:w="936"/>
          </w:tcPr>
          <w:p>
            <w:pPr>
              <w:spacing w:after="20"/>
            </w:pPr>
            <w:r/>
            <w:r>
              <w:rPr>
                <w:sz w:val="17"/>
              </w:rPr>
              <w:t>15.5</w:t>
            </w:r>
          </w:p>
        </w:tc>
        <w:tc>
          <w:tcPr>
            <w:tcW w:type="dxa" w:w="8424"/>
          </w:tcPr>
          <w:p>
            <w:pPr>
              <w:spacing w:after="20"/>
            </w:pPr>
            <w:r/>
            <w:r>
              <w:rPr>
                <w:sz w:val="17"/>
              </w:rPr>
              <w:t>Settings screens (not JSON): business identity, payment setup, checkout, customer payment rules + dunning + cancel reasons, tax, marketing email, templates, drip release time, form spam protection, member sign-in, scheduling policy, notifications, integrations. Validated on save, applied without restart, audit-logged.</w:t>
            </w:r>
          </w:p>
        </w:tc>
        <w:tc>
          <w:tcPr>
            <w:tcW w:type="dxa" w:w="648"/>
          </w:tcPr>
          <w:p>
            <w:pPr>
              <w:spacing w:after="20"/>
            </w:pPr>
            <w:r/>
            <w:r>
              <w:rPr>
                <w:sz w:val="17"/>
              </w:rPr>
              <w:t>M</w:t>
            </w:r>
          </w:p>
        </w:tc>
      </w:tr>
      <w:tr>
        <w:tc>
          <w:tcPr>
            <w:tcW w:type="dxa" w:w="936"/>
          </w:tcPr>
          <w:p>
            <w:pPr>
              <w:spacing w:after="20"/>
            </w:pPr>
            <w:r/>
            <w:r>
              <w:rPr>
                <w:sz w:val="17"/>
              </w:rPr>
              <w:t>15.6</w:t>
            </w:r>
          </w:p>
        </w:tc>
        <w:tc>
          <w:tcPr>
            <w:tcW w:type="dxa" w:w="8424"/>
          </w:tcPr>
          <w:p>
            <w:pPr>
              <w:spacing w:after="20"/>
            </w:pPr>
            <w:r/>
            <w:r>
              <w:rPr>
                <w:sz w:val="17"/>
              </w:rPr>
              <w:t>Outbound webhooks: subscribe endpoints to events, signed payloads with a timestamp, retry with backoff, delivery log, replay, auto-disable on persistent failure.</w:t>
            </w:r>
          </w:p>
        </w:tc>
        <w:tc>
          <w:tcPr>
            <w:tcW w:type="dxa" w:w="648"/>
          </w:tcPr>
          <w:p>
            <w:pPr>
              <w:spacing w:after="20"/>
            </w:pPr>
            <w:r/>
            <w:r>
              <w:rPr>
                <w:sz w:val="17"/>
              </w:rPr>
              <w:t>M</w:t>
            </w:r>
          </w:p>
        </w:tc>
      </w:tr>
      <w:tr>
        <w:tc>
          <w:tcPr>
            <w:tcW w:type="dxa" w:w="936"/>
          </w:tcPr>
          <w:p>
            <w:pPr>
              <w:spacing w:after="20"/>
            </w:pPr>
            <w:r/>
            <w:r>
              <w:rPr>
                <w:sz w:val="17"/>
              </w:rPr>
              <w:t>15.7</w:t>
            </w:r>
          </w:p>
        </w:tc>
        <w:tc>
          <w:tcPr>
            <w:tcW w:type="dxa" w:w="8424"/>
          </w:tcPr>
          <w:p>
            <w:pPr>
              <w:spacing w:after="20"/>
            </w:pPr>
            <w:r/>
            <w:r>
              <w:rPr>
                <w:sz w:val="17"/>
              </w:rPr>
              <w:t>Versioned public API with scoped API keys (hashed, shown once, rotatable). Calendar and conferencing integrations. Analytics pixels with server-side purchase/lead events.</w:t>
            </w:r>
          </w:p>
        </w:tc>
        <w:tc>
          <w:tcPr>
            <w:tcW w:type="dxa" w:w="648"/>
          </w:tcPr>
          <w:p>
            <w:pPr>
              <w:spacing w:after="20"/>
            </w:pPr>
            <w:r/>
            <w:r>
              <w:rPr>
                <w:sz w:val="17"/>
              </w:rPr>
              <w:t>S</w:t>
            </w:r>
          </w:p>
        </w:tc>
      </w:tr>
      <w:tr>
        <w:tc>
          <w:tcPr>
            <w:tcW w:type="dxa" w:w="936"/>
          </w:tcPr>
          <w:p>
            <w:pPr>
              <w:spacing w:after="20"/>
            </w:pPr>
            <w:r/>
            <w:r>
              <w:rPr>
                <w:sz w:val="17"/>
              </w:rPr>
              <w:t>15.8</w:t>
            </w:r>
          </w:p>
        </w:tc>
        <w:tc>
          <w:tcPr>
            <w:tcW w:type="dxa" w:w="8424"/>
          </w:tcPr>
          <w:p>
            <w:pPr>
              <w:spacing w:after="20"/>
            </w:pPr>
            <w:r/>
            <w:r>
              <w:rPr>
                <w:sz w:val="17"/>
              </w:rPr>
              <w:t>Media library, two storage roots, real content-type validation, generated filenames, size limit aligned to the nginx body limit.</w:t>
            </w:r>
          </w:p>
        </w:tc>
        <w:tc>
          <w:tcPr>
            <w:tcW w:type="dxa" w:w="648"/>
          </w:tcPr>
          <w:p>
            <w:pPr>
              <w:spacing w:after="20"/>
            </w:pPr>
            <w:r/>
            <w:r>
              <w:rPr>
                <w:sz w:val="17"/>
              </w:rPr>
              <w:t>M</w:t>
            </w:r>
          </w:p>
        </w:tc>
      </w:tr>
      <w:tr>
        <w:tc>
          <w:tcPr>
            <w:tcW w:type="dxa" w:w="936"/>
          </w:tcPr>
          <w:p>
            <w:pPr>
              <w:spacing w:after="20"/>
            </w:pPr>
            <w:r/>
            <w:r>
              <w:rPr>
                <w:sz w:val="17"/>
              </w:rPr>
              <w:t>15.9</w:t>
            </w:r>
          </w:p>
        </w:tc>
        <w:tc>
          <w:tcPr>
            <w:tcW w:type="dxa" w:w="8424"/>
          </w:tcPr>
          <w:p>
            <w:pPr>
              <w:spacing w:after="20"/>
            </w:pPr>
            <w:r/>
            <w:r>
              <w:rPr>
                <w:sz w:val="17"/>
              </w:rPr>
              <w:t>Job queue in Postgres: claim semantics, scheduled runs, backoff retry, max attempts, dead-letter. Staff can inspect, retry and discard. Handlers idempotent.</w:t>
            </w:r>
          </w:p>
        </w:tc>
        <w:tc>
          <w:tcPr>
            <w:tcW w:type="dxa" w:w="648"/>
          </w:tcPr>
          <w:p>
            <w:pPr>
              <w:spacing w:after="20"/>
            </w:pPr>
            <w:r/>
            <w:r>
              <w:rPr>
                <w:sz w:val="17"/>
              </w:rPr>
              <w:t>M</w:t>
            </w:r>
          </w:p>
        </w:tc>
      </w:tr>
      <w:tr>
        <w:tc>
          <w:tcPr>
            <w:tcW w:type="dxa" w:w="936"/>
          </w:tcPr>
          <w:p>
            <w:pPr>
              <w:spacing w:after="20"/>
            </w:pPr>
            <w:r/>
            <w:r>
              <w:rPr>
                <w:sz w:val="17"/>
              </w:rPr>
              <w:t>15.10</w:t>
            </w:r>
          </w:p>
        </w:tc>
        <w:tc>
          <w:tcPr>
            <w:tcW w:type="dxa" w:w="8424"/>
          </w:tcPr>
          <w:p>
            <w:pPr>
              <w:spacing w:after="20"/>
            </w:pPr>
            <w:r/>
            <w:r>
              <w:rPr>
                <w:sz w:val="17"/>
              </w:rPr>
              <w:t>Recurring schedule drives drip unlocks, sequence sends, reminders, dunning, abandoned-checkout recovery, rollups, token cleanup, retention sweeps.</w:t>
            </w:r>
          </w:p>
        </w:tc>
        <w:tc>
          <w:tcPr>
            <w:tcW w:type="dxa" w:w="648"/>
          </w:tcPr>
          <w:p>
            <w:pPr>
              <w:spacing w:after="20"/>
            </w:pPr>
            <w:r/>
            <w:r>
              <w:rPr>
                <w:sz w:val="17"/>
              </w:rPr>
              <w:t>M</w:t>
            </w:r>
          </w:p>
        </w:tc>
      </w:tr>
      <w:tr>
        <w:tc>
          <w:tcPr>
            <w:tcW w:type="dxa" w:w="936"/>
          </w:tcPr>
          <w:p>
            <w:pPr>
              <w:spacing w:after="20"/>
            </w:pPr>
            <w:r/>
            <w:r>
              <w:rPr>
                <w:sz w:val="17"/>
              </w:rPr>
              <w:t>15.11</w:t>
            </w:r>
          </w:p>
        </w:tc>
        <w:tc>
          <w:tcPr>
            <w:tcW w:type="dxa" w:w="8424"/>
          </w:tcPr>
          <w:p>
            <w:pPr>
              <w:spacing w:after="20"/>
            </w:pPr>
            <w:r/>
            <w:r>
              <w:rPr>
                <w:sz w:val="17"/>
              </w:rPr>
              <w:t>Alert if no process is claiming jobs — a stack with the worker off queues work nobody does.</w:t>
            </w:r>
          </w:p>
        </w:tc>
        <w:tc>
          <w:tcPr>
            <w:tcW w:type="dxa" w:w="648"/>
          </w:tcPr>
          <w:p>
            <w:pPr>
              <w:spacing w:after="20"/>
            </w:pPr>
            <w:r/>
            <w:r>
              <w:rPr>
                <w:sz w:val="17"/>
              </w:rPr>
              <w:t>M</w:t>
            </w:r>
          </w:p>
        </w:tc>
      </w:tr>
      <w:tr>
        <w:tc>
          <w:tcPr>
            <w:tcW w:type="dxa" w:w="936"/>
          </w:tcPr>
          <w:p>
            <w:pPr>
              <w:spacing w:after="20"/>
            </w:pPr>
            <w:r/>
            <w:r>
              <w:rPr>
                <w:sz w:val="17"/>
              </w:rPr>
              <w:t>15.12</w:t>
            </w:r>
          </w:p>
        </w:tc>
        <w:tc>
          <w:tcPr>
            <w:tcW w:type="dxa" w:w="8424"/>
          </w:tcPr>
          <w:p>
            <w:pPr>
              <w:spacing w:after="20"/>
            </w:pPr>
            <w:r/>
            <w:r>
              <w:rPr>
                <w:sz w:val="17"/>
              </w:rPr>
              <w:t>AI: isolated service, keys server-side only, drafting output always a human-approved draft. Meter usage per account for future credit limits.</w:t>
            </w:r>
          </w:p>
        </w:tc>
        <w:tc>
          <w:tcPr>
            <w:tcW w:type="dxa" w:w="648"/>
          </w:tcPr>
          <w:p>
            <w:pPr>
              <w:spacing w:after="20"/>
            </w:pPr>
            <w:r/>
            <w:r>
              <w:rPr>
                <w:sz w:val="17"/>
              </w:rPr>
              <w:t>S/C</w:t>
            </w:r>
          </w:p>
        </w:tc>
      </w:tr>
    </w:tbl>
    <w:p>
      <w:pPr>
        <w:spacing w:after="20"/>
      </w:pPr>
    </w:p>
    <w:p>
      <w:pPr>
        <w:pStyle w:val="Heading1"/>
      </w:pPr>
      <w:r>
        <w:t>5. Non-functional requirements</w:t>
      </w:r>
    </w:p>
    <w:p>
      <w:r>
        <w:rPr>
          <w:i/>
          <w:sz w:val="18"/>
        </w:rPr>
        <w:t>Sized for 100 concurrent users and ~5,000 contacts on a 2-core / 8 GB host. These numbers are deliberately modest — do not over-engineer for scale you do not have; do not under-engineer correctness, which does not scale down.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shd w:val="clear" w:color="auto" w:fill="1F3B57"/>
          </w:tcPr>
          <w:p>
            <w:r/>
            <w:r>
              <w:rPr>
                <w:b/>
                <w:color w:val="FFFFFF"/>
                <w:sz w:val="16"/>
              </w:rPr>
              <w:t>#</w:t>
            </w:r>
          </w:p>
        </w:tc>
        <w:tc>
          <w:tcPr>
            <w:tcW w:type="dxa" w:w="1224"/>
            <w:shd w:val="clear" w:color="auto" w:fill="1F3B57"/>
          </w:tcPr>
          <w:p>
            <w:r/>
            <w:r>
              <w:rPr>
                <w:b/>
                <w:color w:val="FFFFFF"/>
                <w:sz w:val="16"/>
              </w:rPr>
              <w:t>Area</w:t>
            </w:r>
          </w:p>
        </w:tc>
        <w:tc>
          <w:tcPr>
            <w:tcW w:type="dxa" w:w="6840"/>
            <w:shd w:val="clear" w:color="auto" w:fill="1F3B57"/>
          </w:tcPr>
          <w:p>
            <w:r/>
            <w:r>
              <w:rPr>
                <w:b/>
                <w:color w:val="FFFFFF"/>
                <w:sz w:val="16"/>
              </w:rPr>
              <w:t>Requirement</w:t>
            </w:r>
          </w:p>
        </w:tc>
        <w:tc>
          <w:tcPr>
            <w:tcW w:type="dxa" w:w="1440"/>
            <w:shd w:val="clear" w:color="auto" w:fill="1F3B57"/>
          </w:tcPr>
          <w:p>
            <w:r/>
            <w:r>
              <w:rPr>
                <w:b/>
                <w:color w:val="FFFFFF"/>
                <w:sz w:val="16"/>
              </w:rPr>
              <w:t>Target</w:t>
            </w:r>
          </w:p>
        </w:tc>
      </w:tr>
      <w:tr>
        <w:tc>
          <w:tcPr>
            <w:tcW w:type="dxa" w:w="504"/>
          </w:tcPr>
          <w:p>
            <w:pPr>
              <w:spacing w:after="20"/>
            </w:pPr>
            <w:r/>
            <w:r>
              <w:rPr>
                <w:sz w:val="16"/>
              </w:rPr>
              <w:t>N1</w:t>
            </w:r>
          </w:p>
        </w:tc>
        <w:tc>
          <w:tcPr>
            <w:tcW w:type="dxa" w:w="1224"/>
          </w:tcPr>
          <w:p>
            <w:pPr>
              <w:spacing w:after="20"/>
            </w:pPr>
            <w:r/>
            <w:r>
              <w:rPr>
                <w:sz w:val="16"/>
              </w:rPr>
              <w:t>Performance</w:t>
            </w:r>
          </w:p>
        </w:tc>
        <w:tc>
          <w:tcPr>
            <w:tcW w:type="dxa" w:w="6840"/>
          </w:tcPr>
          <w:p>
            <w:pPr>
              <w:spacing w:after="20"/>
            </w:pPr>
            <w:r/>
            <w:r>
              <w:rPr>
                <w:sz w:val="16"/>
              </w:rPr>
              <w:t>Interactive API reads, measured server-side.</w:t>
            </w:r>
          </w:p>
        </w:tc>
        <w:tc>
          <w:tcPr>
            <w:tcW w:type="dxa" w:w="1440"/>
          </w:tcPr>
          <w:p>
            <w:pPr>
              <w:spacing w:after="20"/>
            </w:pPr>
            <w:r/>
            <w:r>
              <w:rPr>
                <w:sz w:val="16"/>
              </w:rPr>
              <w:t>&lt;300 ms p95, &lt;1 s p99</w:t>
            </w:r>
          </w:p>
        </w:tc>
      </w:tr>
      <w:tr>
        <w:tc>
          <w:tcPr>
            <w:tcW w:type="dxa" w:w="504"/>
          </w:tcPr>
          <w:p>
            <w:pPr>
              <w:spacing w:after="20"/>
            </w:pPr>
            <w:r/>
            <w:r>
              <w:rPr>
                <w:sz w:val="16"/>
              </w:rPr>
              <w:t>N2</w:t>
            </w:r>
          </w:p>
        </w:tc>
        <w:tc>
          <w:tcPr>
            <w:tcW w:type="dxa" w:w="1224"/>
          </w:tcPr>
          <w:p>
            <w:pPr>
              <w:spacing w:after="20"/>
            </w:pPr>
            <w:r/>
            <w:r>
              <w:rPr>
                <w:sz w:val="16"/>
              </w:rPr>
              <w:t>Performance</w:t>
            </w:r>
          </w:p>
        </w:tc>
        <w:tc>
          <w:tcPr>
            <w:tcW w:type="dxa" w:w="6840"/>
          </w:tcPr>
          <w:p>
            <w:pPr>
              <w:spacing w:after="20"/>
            </w:pPr>
            <w:r/>
            <w:r>
              <w:rPr>
                <w:sz w:val="16"/>
              </w:rPr>
              <w:t>Any report over a 12-month range.</w:t>
            </w:r>
          </w:p>
        </w:tc>
        <w:tc>
          <w:tcPr>
            <w:tcW w:type="dxa" w:w="1440"/>
          </w:tcPr>
          <w:p>
            <w:pPr>
              <w:spacing w:after="20"/>
            </w:pPr>
            <w:r/>
            <w:r>
              <w:rPr>
                <w:sz w:val="16"/>
              </w:rPr>
              <w:t>&lt;2 s</w:t>
            </w:r>
          </w:p>
        </w:tc>
      </w:tr>
      <w:tr>
        <w:tc>
          <w:tcPr>
            <w:tcW w:type="dxa" w:w="504"/>
          </w:tcPr>
          <w:p>
            <w:pPr>
              <w:spacing w:after="20"/>
            </w:pPr>
            <w:r/>
            <w:r>
              <w:rPr>
                <w:sz w:val="16"/>
              </w:rPr>
              <w:t>N3</w:t>
            </w:r>
          </w:p>
        </w:tc>
        <w:tc>
          <w:tcPr>
            <w:tcW w:type="dxa" w:w="1224"/>
          </w:tcPr>
          <w:p>
            <w:pPr>
              <w:spacing w:after="20"/>
            </w:pPr>
            <w:r/>
            <w:r>
              <w:rPr>
                <w:sz w:val="16"/>
              </w:rPr>
              <w:t>Performance</w:t>
            </w:r>
          </w:p>
        </w:tc>
        <w:tc>
          <w:tcPr>
            <w:tcW w:type="dxa" w:w="6840"/>
          </w:tcPr>
          <w:p>
            <w:pPr>
              <w:spacing w:after="20"/>
            </w:pPr>
            <w:r/>
            <w:r>
              <w:rPr>
                <w:sz w:val="16"/>
              </w:rPr>
              <w:t>Member app first meaningful render, mid-range phone on 4G.</w:t>
            </w:r>
          </w:p>
        </w:tc>
        <w:tc>
          <w:tcPr>
            <w:tcW w:type="dxa" w:w="1440"/>
          </w:tcPr>
          <w:p>
            <w:pPr>
              <w:spacing w:after="20"/>
            </w:pPr>
            <w:r/>
            <w:r>
              <w:rPr>
                <w:sz w:val="16"/>
              </w:rPr>
              <w:t>&lt;2.5 s</w:t>
            </w:r>
          </w:p>
        </w:tc>
      </w:tr>
      <w:tr>
        <w:tc>
          <w:tcPr>
            <w:tcW w:type="dxa" w:w="504"/>
          </w:tcPr>
          <w:p>
            <w:pPr>
              <w:spacing w:after="20"/>
            </w:pPr>
            <w:r/>
            <w:r>
              <w:rPr>
                <w:sz w:val="16"/>
              </w:rPr>
              <w:t>N4</w:t>
            </w:r>
          </w:p>
        </w:tc>
        <w:tc>
          <w:tcPr>
            <w:tcW w:type="dxa" w:w="1224"/>
          </w:tcPr>
          <w:p>
            <w:pPr>
              <w:spacing w:after="20"/>
            </w:pPr>
            <w:r/>
            <w:r>
              <w:rPr>
                <w:sz w:val="16"/>
              </w:rPr>
              <w:t>Performance</w:t>
            </w:r>
          </w:p>
        </w:tc>
        <w:tc>
          <w:tcPr>
            <w:tcW w:type="dxa" w:w="6840"/>
          </w:tcPr>
          <w:p>
            <w:pPr>
              <w:spacing w:after="20"/>
            </w:pPr>
            <w:r/>
            <w:r>
              <w:rPr>
                <w:sz w:val="16"/>
              </w:rPr>
              <w:t>Video start time; no stalling at 3 Mbps.</w:t>
            </w:r>
          </w:p>
        </w:tc>
        <w:tc>
          <w:tcPr>
            <w:tcW w:type="dxa" w:w="1440"/>
          </w:tcPr>
          <w:p>
            <w:pPr>
              <w:spacing w:after="20"/>
            </w:pPr>
            <w:r/>
            <w:r>
              <w:rPr>
                <w:sz w:val="16"/>
              </w:rPr>
              <w:t>&lt;3 s</w:t>
            </w:r>
          </w:p>
        </w:tc>
      </w:tr>
      <w:tr>
        <w:tc>
          <w:tcPr>
            <w:tcW w:type="dxa" w:w="504"/>
          </w:tcPr>
          <w:p>
            <w:pPr>
              <w:spacing w:after="20"/>
            </w:pPr>
            <w:r/>
            <w:r>
              <w:rPr>
                <w:sz w:val="16"/>
              </w:rPr>
              <w:t>N5</w:t>
            </w:r>
          </w:p>
        </w:tc>
        <w:tc>
          <w:tcPr>
            <w:tcW w:type="dxa" w:w="1224"/>
          </w:tcPr>
          <w:p>
            <w:pPr>
              <w:spacing w:after="20"/>
            </w:pPr>
            <w:r/>
            <w:r>
              <w:rPr>
                <w:sz w:val="16"/>
              </w:rPr>
              <w:t>Performance</w:t>
            </w:r>
          </w:p>
        </w:tc>
        <w:tc>
          <w:tcPr>
            <w:tcW w:type="dxa" w:w="6840"/>
          </w:tcPr>
          <w:p>
            <w:pPr>
              <w:spacing w:after="20"/>
            </w:pPr>
            <w:r/>
            <w:r>
              <w:rPr>
                <w:sz w:val="16"/>
              </w:rPr>
              <w:t>No N+1 queries. Every FK and filter/sort/join column indexed, justified by an execution plan.</w:t>
            </w:r>
          </w:p>
        </w:tc>
        <w:tc>
          <w:tcPr>
            <w:tcW w:type="dxa" w:w="1440"/>
          </w:tcPr>
          <w:p>
            <w:pPr>
              <w:spacing w:after="20"/>
            </w:pPr>
            <w:r/>
            <w:r>
              <w:rPr>
                <w:sz w:val="16"/>
              </w:rPr>
              <w:t>0 tolerated</w:t>
            </w:r>
          </w:p>
        </w:tc>
      </w:tr>
      <w:tr>
        <w:tc>
          <w:tcPr>
            <w:tcW w:type="dxa" w:w="504"/>
          </w:tcPr>
          <w:p>
            <w:pPr>
              <w:spacing w:after="20"/>
            </w:pPr>
            <w:r/>
            <w:r>
              <w:rPr>
                <w:sz w:val="16"/>
              </w:rPr>
              <w:t>N6</w:t>
            </w:r>
          </w:p>
        </w:tc>
        <w:tc>
          <w:tcPr>
            <w:tcW w:type="dxa" w:w="1224"/>
          </w:tcPr>
          <w:p>
            <w:pPr>
              <w:spacing w:after="20"/>
            </w:pPr>
            <w:r/>
            <w:r>
              <w:rPr>
                <w:sz w:val="16"/>
              </w:rPr>
              <w:t>Capacity</w:t>
            </w:r>
          </w:p>
        </w:tc>
        <w:tc>
          <w:tcPr>
            <w:tcW w:type="dxa" w:w="6840"/>
          </w:tcPr>
          <w:p>
            <w:pPr>
              <w:spacing w:after="20"/>
            </w:pPr>
            <w:r/>
            <w:r>
              <w:rPr>
                <w:sz w:val="16"/>
              </w:rPr>
              <w:t>Correct at 100 concurrent users, 5,000 contacts, 500 orders/month, 20,000 emails/month — with 10× headroom.</w:t>
            </w:r>
          </w:p>
        </w:tc>
        <w:tc>
          <w:tcPr>
            <w:tcW w:type="dxa" w:w="1440"/>
          </w:tcPr>
          <w:p>
            <w:pPr>
              <w:spacing w:after="20"/>
            </w:pPr>
            <w:r/>
            <w:r>
              <w:rPr>
                <w:sz w:val="16"/>
              </w:rPr>
              <w:t>No redesign to 10×</w:t>
            </w:r>
          </w:p>
        </w:tc>
      </w:tr>
      <w:tr>
        <w:tc>
          <w:tcPr>
            <w:tcW w:type="dxa" w:w="504"/>
          </w:tcPr>
          <w:p>
            <w:pPr>
              <w:spacing w:after="20"/>
            </w:pPr>
            <w:r/>
            <w:r>
              <w:rPr>
                <w:sz w:val="16"/>
              </w:rPr>
              <w:t>N7</w:t>
            </w:r>
          </w:p>
        </w:tc>
        <w:tc>
          <w:tcPr>
            <w:tcW w:type="dxa" w:w="1224"/>
          </w:tcPr>
          <w:p>
            <w:pPr>
              <w:spacing w:after="20"/>
            </w:pPr>
            <w:r/>
            <w:r>
              <w:rPr>
                <w:sz w:val="16"/>
              </w:rPr>
              <w:t>Capacity</w:t>
            </w:r>
          </w:p>
        </w:tc>
        <w:tc>
          <w:tcPr>
            <w:tcW w:type="dxa" w:w="6840"/>
          </w:tcPr>
          <w:p>
            <w:pPr>
              <w:spacing w:after="20"/>
            </w:pPr>
            <w:r/>
            <w:r>
              <w:rPr>
                <w:sz w:val="16"/>
              </w:rPr>
              <w:t>DB connection pool bounded below the server limit; exhaustion returns a clean error, never a hang.</w:t>
            </w:r>
          </w:p>
        </w:tc>
        <w:tc>
          <w:tcPr>
            <w:tcW w:type="dxa" w:w="1440"/>
          </w:tcPr>
          <w:p>
            <w:pPr>
              <w:spacing w:after="20"/>
            </w:pPr>
            <w:r/>
            <w:r>
              <w:rPr>
                <w:sz w:val="16"/>
              </w:rPr>
              <w:t>Bounded</w:t>
            </w:r>
          </w:p>
        </w:tc>
      </w:tr>
      <w:tr>
        <w:tc>
          <w:tcPr>
            <w:tcW w:type="dxa" w:w="504"/>
          </w:tcPr>
          <w:p>
            <w:pPr>
              <w:spacing w:after="20"/>
            </w:pPr>
            <w:r/>
            <w:r>
              <w:rPr>
                <w:sz w:val="16"/>
              </w:rPr>
              <w:t>N8</w:t>
            </w:r>
          </w:p>
        </w:tc>
        <w:tc>
          <w:tcPr>
            <w:tcW w:type="dxa" w:w="1224"/>
          </w:tcPr>
          <w:p>
            <w:pPr>
              <w:spacing w:after="20"/>
            </w:pPr>
            <w:r/>
            <w:r>
              <w:rPr>
                <w:sz w:val="16"/>
              </w:rPr>
              <w:t>Capacity</w:t>
            </w:r>
          </w:p>
        </w:tc>
        <w:tc>
          <w:tcPr>
            <w:tcW w:type="dxa" w:w="6840"/>
          </w:tcPr>
          <w:p>
            <w:pPr>
              <w:spacing w:after="20"/>
            </w:pPr>
            <w:r/>
            <w:r>
              <w:rPr>
                <w:sz w:val="16"/>
              </w:rPr>
              <w:t>Bulk work (import, export, mass tag, broadcast) is chunked, resumable, paced to provider limits, never blocking interactive traffic.</w:t>
            </w:r>
          </w:p>
        </w:tc>
        <w:tc>
          <w:tcPr>
            <w:tcW w:type="dxa" w:w="1440"/>
          </w:tcPr>
          <w:p>
            <w:pPr>
              <w:spacing w:after="20"/>
            </w:pPr>
            <w:r/>
            <w:r>
              <w:rPr>
                <w:sz w:val="16"/>
              </w:rPr>
              <w:t>Queued</w:t>
            </w:r>
          </w:p>
        </w:tc>
      </w:tr>
      <w:tr>
        <w:tc>
          <w:tcPr>
            <w:tcW w:type="dxa" w:w="504"/>
          </w:tcPr>
          <w:p>
            <w:pPr>
              <w:spacing w:after="20"/>
            </w:pPr>
            <w:r/>
            <w:r>
              <w:rPr>
                <w:sz w:val="16"/>
              </w:rPr>
              <w:t>N9</w:t>
            </w:r>
          </w:p>
        </w:tc>
        <w:tc>
          <w:tcPr>
            <w:tcW w:type="dxa" w:w="1224"/>
          </w:tcPr>
          <w:p>
            <w:pPr>
              <w:spacing w:after="20"/>
            </w:pPr>
            <w:r/>
            <w:r>
              <w:rPr>
                <w:sz w:val="16"/>
              </w:rPr>
              <w:t>Availability</w:t>
            </w:r>
          </w:p>
        </w:tc>
        <w:tc>
          <w:tcPr>
            <w:tcW w:type="dxa" w:w="6840"/>
          </w:tcPr>
          <w:p>
            <w:pPr>
              <w:spacing w:after="20"/>
            </w:pPr>
            <w:r/>
            <w:r>
              <w:rPr>
                <w:sz w:val="16"/>
              </w:rPr>
              <w:t>Member-facing and checkout uptime.</w:t>
            </w:r>
          </w:p>
        </w:tc>
        <w:tc>
          <w:tcPr>
            <w:tcW w:type="dxa" w:w="1440"/>
          </w:tcPr>
          <w:p>
            <w:pPr>
              <w:spacing w:after="20"/>
            </w:pPr>
            <w:r/>
            <w:r>
              <w:rPr>
                <w:sz w:val="16"/>
              </w:rPr>
              <w:t>99.9% monthly</w:t>
            </w:r>
          </w:p>
        </w:tc>
      </w:tr>
      <w:tr>
        <w:tc>
          <w:tcPr>
            <w:tcW w:type="dxa" w:w="504"/>
          </w:tcPr>
          <w:p>
            <w:pPr>
              <w:spacing w:after="20"/>
            </w:pPr>
            <w:r/>
            <w:r>
              <w:rPr>
                <w:sz w:val="16"/>
              </w:rPr>
              <w:t>N10</w:t>
            </w:r>
          </w:p>
        </w:tc>
        <w:tc>
          <w:tcPr>
            <w:tcW w:type="dxa" w:w="1224"/>
          </w:tcPr>
          <w:p>
            <w:pPr>
              <w:spacing w:after="20"/>
            </w:pPr>
            <w:r/>
            <w:r>
              <w:rPr>
                <w:sz w:val="16"/>
              </w:rPr>
              <w:t>Availability</w:t>
            </w:r>
          </w:p>
        </w:tc>
        <w:tc>
          <w:tcPr>
            <w:tcW w:type="dxa" w:w="6840"/>
          </w:tcPr>
          <w:p>
            <w:pPr>
              <w:spacing w:after="20"/>
            </w:pPr>
            <w:r/>
            <w:r>
              <w:rPr>
                <w:sz w:val="16"/>
              </w:rPr>
              <w:t>Deploys are zero-downtime; migrations backwards-compatible with the running version.</w:t>
            </w:r>
          </w:p>
        </w:tc>
        <w:tc>
          <w:tcPr>
            <w:tcW w:type="dxa" w:w="1440"/>
          </w:tcPr>
          <w:p>
            <w:pPr>
              <w:spacing w:after="20"/>
            </w:pPr>
            <w:r/>
            <w:r>
              <w:rPr>
                <w:sz w:val="16"/>
              </w:rPr>
              <w:t>No downtime</w:t>
            </w:r>
          </w:p>
        </w:tc>
      </w:tr>
      <w:tr>
        <w:tc>
          <w:tcPr>
            <w:tcW w:type="dxa" w:w="504"/>
          </w:tcPr>
          <w:p>
            <w:pPr>
              <w:spacing w:after="20"/>
            </w:pPr>
            <w:r/>
            <w:r>
              <w:rPr>
                <w:sz w:val="16"/>
              </w:rPr>
              <w:t>N11</w:t>
            </w:r>
          </w:p>
        </w:tc>
        <w:tc>
          <w:tcPr>
            <w:tcW w:type="dxa" w:w="1224"/>
          </w:tcPr>
          <w:p>
            <w:pPr>
              <w:spacing w:after="20"/>
            </w:pPr>
            <w:r/>
            <w:r>
              <w:rPr>
                <w:sz w:val="16"/>
              </w:rPr>
              <w:t>Availability</w:t>
            </w:r>
          </w:p>
        </w:tc>
        <w:tc>
          <w:tcPr>
            <w:tcW w:type="dxa" w:w="6840"/>
          </w:tcPr>
          <w:p>
            <w:pPr>
              <w:spacing w:after="20"/>
            </w:pPr>
            <w:r/>
            <w:r>
              <w:rPr>
                <w:sz w:val="16"/>
              </w:rPr>
              <w:t>Loss of Stripe / email / AI degrades that feature only.</w:t>
            </w:r>
          </w:p>
        </w:tc>
        <w:tc>
          <w:tcPr>
            <w:tcW w:type="dxa" w:w="1440"/>
          </w:tcPr>
          <w:p>
            <w:pPr>
              <w:spacing w:after="20"/>
            </w:pPr>
            <w:r/>
            <w:r>
              <w:rPr>
                <w:sz w:val="16"/>
              </w:rPr>
              <w:t>Isolated failure</w:t>
            </w:r>
          </w:p>
        </w:tc>
      </w:tr>
      <w:tr>
        <w:tc>
          <w:tcPr>
            <w:tcW w:type="dxa" w:w="504"/>
          </w:tcPr>
          <w:p>
            <w:pPr>
              <w:spacing w:after="20"/>
            </w:pPr>
            <w:r/>
            <w:r>
              <w:rPr>
                <w:sz w:val="16"/>
              </w:rPr>
              <w:t>N12</w:t>
            </w:r>
          </w:p>
        </w:tc>
        <w:tc>
          <w:tcPr>
            <w:tcW w:type="dxa" w:w="1224"/>
          </w:tcPr>
          <w:p>
            <w:pPr>
              <w:spacing w:after="20"/>
            </w:pPr>
            <w:r/>
            <w:r>
              <w:rPr>
                <w:sz w:val="16"/>
              </w:rPr>
              <w:t>Availability</w:t>
            </w:r>
          </w:p>
        </w:tc>
        <w:tc>
          <w:tcPr>
            <w:tcW w:type="dxa" w:w="6840"/>
          </w:tcPr>
          <w:p>
            <w:pPr>
              <w:spacing w:after="20"/>
            </w:pPr>
            <w:r/>
            <w:r>
              <w:rPr>
                <w:sz w:val="16"/>
              </w:rPr>
              <w:t>Every third-party call has a timeout, bounded retries and a circuit breaker.</w:t>
            </w:r>
          </w:p>
        </w:tc>
        <w:tc>
          <w:tcPr>
            <w:tcW w:type="dxa" w:w="1440"/>
          </w:tcPr>
          <w:p>
            <w:pPr>
              <w:spacing w:after="20"/>
            </w:pPr>
            <w:r/>
            <w:r>
              <w:rPr>
                <w:sz w:val="16"/>
              </w:rPr>
              <w:t>No unbounded waits</w:t>
            </w:r>
          </w:p>
        </w:tc>
      </w:tr>
      <w:tr>
        <w:tc>
          <w:tcPr>
            <w:tcW w:type="dxa" w:w="504"/>
          </w:tcPr>
          <w:p>
            <w:pPr>
              <w:spacing w:after="20"/>
            </w:pPr>
            <w:r/>
            <w:r>
              <w:rPr>
                <w:sz w:val="16"/>
              </w:rPr>
              <w:t>N13</w:t>
            </w:r>
          </w:p>
        </w:tc>
        <w:tc>
          <w:tcPr>
            <w:tcW w:type="dxa" w:w="1224"/>
          </w:tcPr>
          <w:p>
            <w:pPr>
              <w:spacing w:after="20"/>
            </w:pPr>
            <w:r/>
            <w:r>
              <w:rPr>
                <w:sz w:val="16"/>
              </w:rPr>
              <w:t>Availability</w:t>
            </w:r>
          </w:p>
        </w:tc>
        <w:tc>
          <w:tcPr>
            <w:tcW w:type="dxa" w:w="6840"/>
          </w:tcPr>
          <w:p>
            <w:pPr>
              <w:spacing w:after="20"/>
            </w:pPr>
            <w:r/>
            <w:r>
              <w:rPr>
                <w:sz w:val="16"/>
              </w:rPr>
              <w:t>RTO / RPO.</w:t>
            </w:r>
          </w:p>
        </w:tc>
        <w:tc>
          <w:tcPr>
            <w:tcW w:type="dxa" w:w="1440"/>
          </w:tcPr>
          <w:p>
            <w:pPr>
              <w:spacing w:after="20"/>
            </w:pPr>
            <w:r/>
            <w:r>
              <w:rPr>
                <w:sz w:val="16"/>
              </w:rPr>
              <w:t>4 h / 15 min</w:t>
            </w:r>
          </w:p>
        </w:tc>
      </w:tr>
      <w:tr>
        <w:tc>
          <w:tcPr>
            <w:tcW w:type="dxa" w:w="504"/>
          </w:tcPr>
          <w:p>
            <w:pPr>
              <w:spacing w:after="20"/>
            </w:pPr>
            <w:r/>
            <w:r>
              <w:rPr>
                <w:sz w:val="16"/>
              </w:rPr>
              <w:t>N14</w:t>
            </w:r>
          </w:p>
        </w:tc>
        <w:tc>
          <w:tcPr>
            <w:tcW w:type="dxa" w:w="1224"/>
          </w:tcPr>
          <w:p>
            <w:pPr>
              <w:spacing w:after="20"/>
            </w:pPr>
            <w:r/>
            <w:r>
              <w:rPr>
                <w:sz w:val="16"/>
              </w:rPr>
              <w:t>Security</w:t>
            </w:r>
          </w:p>
        </w:tc>
        <w:tc>
          <w:tcPr>
            <w:tcW w:type="dxa" w:w="6840"/>
          </w:tcPr>
          <w:p>
            <w:pPr>
              <w:spacing w:after="20"/>
            </w:pPr>
            <w:r/>
            <w:r>
              <w:rPr>
                <w:sz w:val="16"/>
              </w:rPr>
              <w:t>Parameterised SQL only. Schema validation on every request before handler logic. Unknown fields rejected.</w:t>
            </w:r>
          </w:p>
        </w:tc>
        <w:tc>
          <w:tcPr>
            <w:tcW w:type="dxa" w:w="1440"/>
          </w:tcPr>
          <w:p>
            <w:pPr>
              <w:spacing w:after="20"/>
            </w:pPr>
            <w:r/>
            <w:r>
              <w:rPr>
                <w:sz w:val="16"/>
              </w:rPr>
              <w:t>No exceptions</w:t>
            </w:r>
          </w:p>
        </w:tc>
      </w:tr>
      <w:tr>
        <w:tc>
          <w:tcPr>
            <w:tcW w:type="dxa" w:w="504"/>
          </w:tcPr>
          <w:p>
            <w:pPr>
              <w:spacing w:after="20"/>
            </w:pPr>
            <w:r/>
            <w:r>
              <w:rPr>
                <w:sz w:val="16"/>
              </w:rPr>
              <w:t>N15</w:t>
            </w:r>
          </w:p>
        </w:tc>
        <w:tc>
          <w:tcPr>
            <w:tcW w:type="dxa" w:w="1224"/>
          </w:tcPr>
          <w:p>
            <w:pPr>
              <w:spacing w:after="20"/>
            </w:pPr>
            <w:r/>
            <w:r>
              <w:rPr>
                <w:sz w:val="16"/>
              </w:rPr>
              <w:t>Security</w:t>
            </w:r>
          </w:p>
        </w:tc>
        <w:tc>
          <w:tcPr>
            <w:tcW w:type="dxa" w:w="6840"/>
          </w:tcPr>
          <w:p>
            <w:pPr>
              <w:spacing w:after="20"/>
            </w:pPr>
            <w:r/>
            <w:r>
              <w:rPr>
                <w:sz w:val="16"/>
              </w:rPr>
              <w:t>Authorisation on every route verifies ownership of the object, not just authentication. Deny by default.</w:t>
            </w:r>
          </w:p>
        </w:tc>
        <w:tc>
          <w:tcPr>
            <w:tcW w:type="dxa" w:w="1440"/>
          </w:tcPr>
          <w:p>
            <w:pPr>
              <w:spacing w:after="20"/>
            </w:pPr>
            <w:r/>
            <w:r>
              <w:rPr>
                <w:sz w:val="16"/>
              </w:rPr>
              <w:t>Every route</w:t>
            </w:r>
          </w:p>
        </w:tc>
      </w:tr>
      <w:tr>
        <w:tc>
          <w:tcPr>
            <w:tcW w:type="dxa" w:w="504"/>
          </w:tcPr>
          <w:p>
            <w:pPr>
              <w:spacing w:after="20"/>
            </w:pPr>
            <w:r/>
            <w:r>
              <w:rPr>
                <w:sz w:val="16"/>
              </w:rPr>
              <w:t>N16</w:t>
            </w:r>
          </w:p>
        </w:tc>
        <w:tc>
          <w:tcPr>
            <w:tcW w:type="dxa" w:w="1224"/>
          </w:tcPr>
          <w:p>
            <w:pPr>
              <w:spacing w:after="20"/>
            </w:pPr>
            <w:r/>
            <w:r>
              <w:rPr>
                <w:sz w:val="16"/>
              </w:rPr>
              <w:t>Security</w:t>
            </w:r>
          </w:p>
        </w:tc>
        <w:tc>
          <w:tcPr>
            <w:tcW w:type="dxa" w:w="6840"/>
          </w:tcPr>
          <w:p>
            <w:pPr>
              <w:spacing w:after="20"/>
            </w:pPr>
            <w:r/>
            <w:r>
              <w:rPr>
                <w:sz w:val="16"/>
              </w:rPr>
              <w:t>HTTPS + HSTS. Secure/HttpOnly/SameSite cookies. CSRF on cookie-auth writes. CSP without unsafe-inline. Standard security headers.</w:t>
            </w:r>
          </w:p>
        </w:tc>
        <w:tc>
          <w:tcPr>
            <w:tcW w:type="dxa" w:w="1440"/>
          </w:tcPr>
          <w:p>
            <w:pPr>
              <w:spacing w:after="20"/>
            </w:pPr>
            <w:r/>
            <w:r>
              <w:rPr>
                <w:sz w:val="16"/>
              </w:rPr>
              <w:t>All set</w:t>
            </w:r>
          </w:p>
        </w:tc>
      </w:tr>
      <w:tr>
        <w:tc>
          <w:tcPr>
            <w:tcW w:type="dxa" w:w="504"/>
          </w:tcPr>
          <w:p>
            <w:pPr>
              <w:spacing w:after="20"/>
            </w:pPr>
            <w:r/>
            <w:r>
              <w:rPr>
                <w:sz w:val="16"/>
              </w:rPr>
              <w:t>N17</w:t>
            </w:r>
          </w:p>
        </w:tc>
        <w:tc>
          <w:tcPr>
            <w:tcW w:type="dxa" w:w="1224"/>
          </w:tcPr>
          <w:p>
            <w:pPr>
              <w:spacing w:after="20"/>
            </w:pPr>
            <w:r/>
            <w:r>
              <w:rPr>
                <w:sz w:val="16"/>
              </w:rPr>
              <w:t>Security</w:t>
            </w:r>
          </w:p>
        </w:tc>
        <w:tc>
          <w:tcPr>
            <w:tcW w:type="dxa" w:w="6840"/>
          </w:tcPr>
          <w:p>
            <w:pPr>
              <w:spacing w:after="20"/>
            </w:pPr>
            <w:r/>
            <w:r>
              <w:rPr>
                <w:sz w:val="16"/>
              </w:rPr>
              <w:t>Rate limits on every public POST, tuned per endpoint.</w:t>
            </w:r>
          </w:p>
        </w:tc>
        <w:tc>
          <w:tcPr>
            <w:tcW w:type="dxa" w:w="1440"/>
          </w:tcPr>
          <w:p>
            <w:pPr>
              <w:spacing w:after="20"/>
            </w:pPr>
            <w:r/>
            <w:r>
              <w:rPr>
                <w:sz w:val="16"/>
              </w:rPr>
              <w:t>Per endpoint</w:t>
            </w:r>
          </w:p>
        </w:tc>
      </w:tr>
      <w:tr>
        <w:tc>
          <w:tcPr>
            <w:tcW w:type="dxa" w:w="504"/>
          </w:tcPr>
          <w:p>
            <w:pPr>
              <w:spacing w:after="20"/>
            </w:pPr>
            <w:r/>
            <w:r>
              <w:rPr>
                <w:sz w:val="16"/>
              </w:rPr>
              <w:t>N18</w:t>
            </w:r>
          </w:p>
        </w:tc>
        <w:tc>
          <w:tcPr>
            <w:tcW w:type="dxa" w:w="1224"/>
          </w:tcPr>
          <w:p>
            <w:pPr>
              <w:spacing w:after="20"/>
            </w:pPr>
            <w:r/>
            <w:r>
              <w:rPr>
                <w:sz w:val="16"/>
              </w:rPr>
              <w:t>Security</w:t>
            </w:r>
          </w:p>
        </w:tc>
        <w:tc>
          <w:tcPr>
            <w:tcW w:type="dxa" w:w="6840"/>
          </w:tcPr>
          <w:p>
            <w:pPr>
              <w:spacing w:after="20"/>
            </w:pPr>
            <w:r/>
            <w:r>
              <w:rPr>
                <w:sz w:val="16"/>
              </w:rPr>
              <w:t>Secrets only in env or a secret manager — never committed, logged, or returned by any API. Public settings endpoint returns only anonymous-safe values.</w:t>
            </w:r>
          </w:p>
        </w:tc>
        <w:tc>
          <w:tcPr>
            <w:tcW w:type="dxa" w:w="1440"/>
          </w:tcPr>
          <w:p>
            <w:pPr>
              <w:spacing w:after="20"/>
            </w:pPr>
            <w:r/>
            <w:r>
              <w:rPr>
                <w:sz w:val="16"/>
              </w:rPr>
              <w:t>Zero leaks</w:t>
            </w:r>
          </w:p>
        </w:tc>
      </w:tr>
      <w:tr>
        <w:tc>
          <w:tcPr>
            <w:tcW w:type="dxa" w:w="504"/>
          </w:tcPr>
          <w:p>
            <w:pPr>
              <w:spacing w:after="20"/>
            </w:pPr>
            <w:r/>
            <w:r>
              <w:rPr>
                <w:sz w:val="16"/>
              </w:rPr>
              <w:t>N19</w:t>
            </w:r>
          </w:p>
        </w:tc>
        <w:tc>
          <w:tcPr>
            <w:tcW w:type="dxa" w:w="1224"/>
          </w:tcPr>
          <w:p>
            <w:pPr>
              <w:spacing w:after="20"/>
            </w:pPr>
            <w:r/>
            <w:r>
              <w:rPr>
                <w:sz w:val="16"/>
              </w:rPr>
              <w:t>Security</w:t>
            </w:r>
          </w:p>
        </w:tc>
        <w:tc>
          <w:tcPr>
            <w:tcW w:type="dxa" w:w="6840"/>
          </w:tcPr>
          <w:p>
            <w:pPr>
              <w:spacing w:after="20"/>
            </w:pPr>
            <w:r/>
            <w:r>
              <w:rPr>
                <w:sz w:val="16"/>
              </w:rPr>
              <w:t>Card data never touches this system. Stripe elements + tokens only. OAuth tokens and API keys encrypted at rest.</w:t>
            </w:r>
          </w:p>
        </w:tc>
        <w:tc>
          <w:tcPr>
            <w:tcW w:type="dxa" w:w="1440"/>
          </w:tcPr>
          <w:p>
            <w:pPr>
              <w:spacing w:after="20"/>
            </w:pPr>
            <w:r/>
            <w:r>
              <w:rPr>
                <w:sz w:val="16"/>
              </w:rPr>
              <w:t>PCI scope minimal</w:t>
            </w:r>
          </w:p>
        </w:tc>
      </w:tr>
      <w:tr>
        <w:tc>
          <w:tcPr>
            <w:tcW w:type="dxa" w:w="504"/>
          </w:tcPr>
          <w:p>
            <w:pPr>
              <w:spacing w:after="20"/>
            </w:pPr>
            <w:r/>
            <w:r>
              <w:rPr>
                <w:sz w:val="16"/>
              </w:rPr>
              <w:t>N20</w:t>
            </w:r>
          </w:p>
        </w:tc>
        <w:tc>
          <w:tcPr>
            <w:tcW w:type="dxa" w:w="1224"/>
          </w:tcPr>
          <w:p>
            <w:pPr>
              <w:spacing w:after="20"/>
            </w:pPr>
            <w:r/>
            <w:r>
              <w:rPr>
                <w:sz w:val="16"/>
              </w:rPr>
              <w:t>Security</w:t>
            </w:r>
          </w:p>
        </w:tc>
        <w:tc>
          <w:tcPr>
            <w:tcW w:type="dxa" w:w="6840"/>
          </w:tcPr>
          <w:p>
            <w:pPr>
              <w:spacing w:after="20"/>
            </w:pPr>
            <w:r/>
            <w:r>
              <w:rPr>
                <w:sz w:val="16"/>
              </w:rPr>
              <w:t>Uploads: real content-type check, size cap, generated names, stored outside the web root, never executed.</w:t>
            </w:r>
          </w:p>
        </w:tc>
        <w:tc>
          <w:tcPr>
            <w:tcW w:type="dxa" w:w="1440"/>
          </w:tcPr>
          <w:p>
            <w:pPr>
              <w:spacing w:after="20"/>
            </w:pPr>
            <w:r/>
            <w:r>
              <w:rPr>
                <w:sz w:val="16"/>
              </w:rPr>
              <w:t>Enforced</w:t>
            </w:r>
          </w:p>
        </w:tc>
      </w:tr>
      <w:tr>
        <w:tc>
          <w:tcPr>
            <w:tcW w:type="dxa" w:w="504"/>
          </w:tcPr>
          <w:p>
            <w:pPr>
              <w:spacing w:after="20"/>
            </w:pPr>
            <w:r/>
            <w:r>
              <w:rPr>
                <w:sz w:val="16"/>
              </w:rPr>
              <w:t>N21</w:t>
            </w:r>
          </w:p>
        </w:tc>
        <w:tc>
          <w:tcPr>
            <w:tcW w:type="dxa" w:w="1224"/>
          </w:tcPr>
          <w:p>
            <w:pPr>
              <w:spacing w:after="20"/>
            </w:pPr>
            <w:r/>
            <w:r>
              <w:rPr>
                <w:sz w:val="16"/>
              </w:rPr>
              <w:t>Security</w:t>
            </w:r>
          </w:p>
        </w:tc>
        <w:tc>
          <w:tcPr>
            <w:tcW w:type="dxa" w:w="6840"/>
          </w:tcPr>
          <w:p>
            <w:pPr>
              <w:spacing w:after="20"/>
            </w:pPr>
            <w:r/>
            <w:r>
              <w:rPr>
                <w:sz w:val="16"/>
              </w:rPr>
              <w:t>Dependency audit in CI; a known high-severity vulnerability fails the build.</w:t>
            </w:r>
          </w:p>
        </w:tc>
        <w:tc>
          <w:tcPr>
            <w:tcW w:type="dxa" w:w="1440"/>
          </w:tcPr>
          <w:p>
            <w:pPr>
              <w:spacing w:after="20"/>
            </w:pPr>
            <w:r/>
            <w:r>
              <w:rPr>
                <w:sz w:val="16"/>
              </w:rPr>
              <w:t>Build gate</w:t>
            </w:r>
          </w:p>
        </w:tc>
      </w:tr>
      <w:tr>
        <w:tc>
          <w:tcPr>
            <w:tcW w:type="dxa" w:w="504"/>
          </w:tcPr>
          <w:p>
            <w:pPr>
              <w:spacing w:after="20"/>
            </w:pPr>
            <w:r/>
            <w:r>
              <w:rPr>
                <w:sz w:val="16"/>
              </w:rPr>
              <w:t>N22</w:t>
            </w:r>
          </w:p>
        </w:tc>
        <w:tc>
          <w:tcPr>
            <w:tcW w:type="dxa" w:w="1224"/>
          </w:tcPr>
          <w:p>
            <w:pPr>
              <w:spacing w:after="20"/>
            </w:pPr>
            <w:r/>
            <w:r>
              <w:rPr>
                <w:sz w:val="16"/>
              </w:rPr>
              <w:t>Security</w:t>
            </w:r>
          </w:p>
        </w:tc>
        <w:tc>
          <w:tcPr>
            <w:tcW w:type="dxa" w:w="6840"/>
          </w:tcPr>
          <w:p>
            <w:pPr>
              <w:spacing w:after="20"/>
            </w:pPr>
            <w:r/>
            <w:r>
              <w:rPr>
                <w:sz w:val="16"/>
              </w:rPr>
              <w:t>Errors to clients are generic; detail goes to logs with a correlation ID. "Not found" is indistinguishable from "not yours".</w:t>
            </w:r>
          </w:p>
        </w:tc>
        <w:tc>
          <w:tcPr>
            <w:tcW w:type="dxa" w:w="1440"/>
          </w:tcPr>
          <w:p>
            <w:pPr>
              <w:spacing w:after="20"/>
            </w:pPr>
            <w:r/>
            <w:r>
              <w:rPr>
                <w:sz w:val="16"/>
              </w:rPr>
              <w:t>No enumeration</w:t>
            </w:r>
          </w:p>
        </w:tc>
      </w:tr>
      <w:tr>
        <w:tc>
          <w:tcPr>
            <w:tcW w:type="dxa" w:w="504"/>
          </w:tcPr>
          <w:p>
            <w:pPr>
              <w:spacing w:after="20"/>
            </w:pPr>
            <w:r/>
            <w:r>
              <w:rPr>
                <w:sz w:val="16"/>
              </w:rPr>
              <w:t>N23</w:t>
            </w:r>
          </w:p>
        </w:tc>
        <w:tc>
          <w:tcPr>
            <w:tcW w:type="dxa" w:w="1224"/>
          </w:tcPr>
          <w:p>
            <w:pPr>
              <w:spacing w:after="20"/>
            </w:pPr>
            <w:r/>
            <w:r>
              <w:rPr>
                <w:sz w:val="16"/>
              </w:rPr>
              <w:t>Privacy</w:t>
            </w:r>
          </w:p>
        </w:tc>
        <w:tc>
          <w:tcPr>
            <w:tcW w:type="dxa" w:w="6840"/>
          </w:tcPr>
          <w:p>
            <w:pPr>
              <w:spacing w:after="20"/>
            </w:pPr>
            <w:r/>
            <w:r>
              <w:rPr>
                <w:sz w:val="16"/>
              </w:rPr>
              <w:t>Self-service data export and account deletion (anonymise, keeping legally required financial records).</w:t>
            </w:r>
          </w:p>
        </w:tc>
        <w:tc>
          <w:tcPr>
            <w:tcW w:type="dxa" w:w="1440"/>
          </w:tcPr>
          <w:p>
            <w:pPr>
              <w:spacing w:after="20"/>
            </w:pPr>
            <w:r/>
            <w:r>
              <w:rPr>
                <w:sz w:val="16"/>
              </w:rPr>
              <w:t>GDPR-ready</w:t>
            </w:r>
          </w:p>
        </w:tc>
      </w:tr>
      <w:tr>
        <w:tc>
          <w:tcPr>
            <w:tcW w:type="dxa" w:w="504"/>
          </w:tcPr>
          <w:p>
            <w:pPr>
              <w:spacing w:after="20"/>
            </w:pPr>
            <w:r/>
            <w:r>
              <w:rPr>
                <w:sz w:val="16"/>
              </w:rPr>
              <w:t>N24</w:t>
            </w:r>
          </w:p>
        </w:tc>
        <w:tc>
          <w:tcPr>
            <w:tcW w:type="dxa" w:w="1224"/>
          </w:tcPr>
          <w:p>
            <w:pPr>
              <w:spacing w:after="20"/>
            </w:pPr>
            <w:r/>
            <w:r>
              <w:rPr>
                <w:sz w:val="16"/>
              </w:rPr>
              <w:t>Privacy</w:t>
            </w:r>
          </w:p>
        </w:tc>
        <w:tc>
          <w:tcPr>
            <w:tcW w:type="dxa" w:w="6840"/>
          </w:tcPr>
          <w:p>
            <w:pPr>
              <w:spacing w:after="20"/>
            </w:pPr>
            <w:r/>
            <w:r>
              <w:rPr>
                <w:sz w:val="16"/>
              </w:rPr>
              <w:t>Consent stored with exact wording, timestamp, IP and source. CAN-SPAM compliant marketing mail.</w:t>
            </w:r>
          </w:p>
        </w:tc>
        <w:tc>
          <w:tcPr>
            <w:tcW w:type="dxa" w:w="1440"/>
          </w:tcPr>
          <w:p>
            <w:pPr>
              <w:spacing w:after="20"/>
            </w:pPr>
            <w:r/>
            <w:r>
              <w:rPr>
                <w:sz w:val="16"/>
              </w:rPr>
              <w:t>Auditable</w:t>
            </w:r>
          </w:p>
        </w:tc>
      </w:tr>
      <w:tr>
        <w:tc>
          <w:tcPr>
            <w:tcW w:type="dxa" w:w="504"/>
          </w:tcPr>
          <w:p>
            <w:pPr>
              <w:spacing w:after="20"/>
            </w:pPr>
            <w:r/>
            <w:r>
              <w:rPr>
                <w:sz w:val="16"/>
              </w:rPr>
              <w:t>N25</w:t>
            </w:r>
          </w:p>
        </w:tc>
        <w:tc>
          <w:tcPr>
            <w:tcW w:type="dxa" w:w="1224"/>
          </w:tcPr>
          <w:p>
            <w:pPr>
              <w:spacing w:after="20"/>
            </w:pPr>
            <w:r/>
            <w:r>
              <w:rPr>
                <w:sz w:val="16"/>
              </w:rPr>
              <w:t>Privacy</w:t>
            </w:r>
          </w:p>
        </w:tc>
        <w:tc>
          <w:tcPr>
            <w:tcW w:type="dxa" w:w="6840"/>
          </w:tcPr>
          <w:p>
            <w:pPr>
              <w:spacing w:after="20"/>
            </w:pPr>
            <w:r/>
            <w:r>
              <w:rPr>
                <w:sz w:val="16"/>
              </w:rPr>
              <w:t>Retention periods per data class, enforced by a scheduled job (sessions, tokens, raw webhook events, clicks, abandoned checkouts).</w:t>
            </w:r>
          </w:p>
        </w:tc>
        <w:tc>
          <w:tcPr>
            <w:tcW w:type="dxa" w:w="1440"/>
          </w:tcPr>
          <w:p>
            <w:pPr>
              <w:spacing w:after="20"/>
            </w:pPr>
            <w:r/>
            <w:r>
              <w:rPr>
                <w:sz w:val="16"/>
              </w:rPr>
              <w:t>Automated</w:t>
            </w:r>
          </w:p>
        </w:tc>
      </w:tr>
      <w:tr>
        <w:tc>
          <w:tcPr>
            <w:tcW w:type="dxa" w:w="504"/>
          </w:tcPr>
          <w:p>
            <w:pPr>
              <w:spacing w:after="20"/>
            </w:pPr>
            <w:r/>
            <w:r>
              <w:rPr>
                <w:sz w:val="16"/>
              </w:rPr>
              <w:t>N26</w:t>
            </w:r>
          </w:p>
        </w:tc>
        <w:tc>
          <w:tcPr>
            <w:tcW w:type="dxa" w:w="1224"/>
          </w:tcPr>
          <w:p>
            <w:pPr>
              <w:spacing w:after="20"/>
            </w:pPr>
            <w:r/>
            <w:r>
              <w:rPr>
                <w:sz w:val="16"/>
              </w:rPr>
              <w:t>Data integrity</w:t>
            </w:r>
          </w:p>
        </w:tc>
        <w:tc>
          <w:tcPr>
            <w:tcW w:type="dxa" w:w="6840"/>
          </w:tcPr>
          <w:p>
            <w:pPr>
              <w:spacing w:after="20"/>
            </w:pPr>
            <w:r/>
            <w:r>
              <w:rPr>
                <w:sz w:val="16"/>
              </w:rPr>
              <w:t>Money as integer minor units + explicit currency. Multi-step writes in one transaction. FKs and uniqueness enforced in the DB, not just in code.</w:t>
            </w:r>
          </w:p>
        </w:tc>
        <w:tc>
          <w:tcPr>
            <w:tcW w:type="dxa" w:w="1440"/>
          </w:tcPr>
          <w:p>
            <w:pPr>
              <w:spacing w:after="20"/>
            </w:pPr>
            <w:r/>
            <w:r>
              <w:rPr>
                <w:sz w:val="16"/>
              </w:rPr>
              <w:t>No floats</w:t>
            </w:r>
          </w:p>
        </w:tc>
      </w:tr>
      <w:tr>
        <w:tc>
          <w:tcPr>
            <w:tcW w:type="dxa" w:w="504"/>
          </w:tcPr>
          <w:p>
            <w:pPr>
              <w:spacing w:after="20"/>
            </w:pPr>
            <w:r/>
            <w:r>
              <w:rPr>
                <w:sz w:val="16"/>
              </w:rPr>
              <w:t>N27</w:t>
            </w:r>
          </w:p>
        </w:tc>
        <w:tc>
          <w:tcPr>
            <w:tcW w:type="dxa" w:w="1224"/>
          </w:tcPr>
          <w:p>
            <w:pPr>
              <w:spacing w:after="20"/>
            </w:pPr>
            <w:r/>
            <w:r>
              <w:rPr>
                <w:sz w:val="16"/>
              </w:rPr>
              <w:t>Data integrity</w:t>
            </w:r>
          </w:p>
        </w:tc>
        <w:tc>
          <w:tcPr>
            <w:tcW w:type="dxa" w:w="6840"/>
          </w:tcPr>
          <w:p>
            <w:pPr>
              <w:spacing w:after="20"/>
            </w:pPr>
            <w:r/>
            <w:r>
              <w:rPr>
                <w:sz w:val="16"/>
              </w:rPr>
              <w:t>Transaction ledger is append-only; corrections are new rows.</w:t>
            </w:r>
          </w:p>
        </w:tc>
        <w:tc>
          <w:tcPr>
            <w:tcW w:type="dxa" w:w="1440"/>
          </w:tcPr>
          <w:p>
            <w:pPr>
              <w:spacing w:after="20"/>
            </w:pPr>
            <w:r/>
            <w:r>
              <w:rPr>
                <w:sz w:val="16"/>
              </w:rPr>
              <w:t>Immutable</w:t>
            </w:r>
          </w:p>
        </w:tc>
      </w:tr>
      <w:tr>
        <w:tc>
          <w:tcPr>
            <w:tcW w:type="dxa" w:w="504"/>
          </w:tcPr>
          <w:p>
            <w:pPr>
              <w:spacing w:after="20"/>
            </w:pPr>
            <w:r/>
            <w:r>
              <w:rPr>
                <w:sz w:val="16"/>
              </w:rPr>
              <w:t>N28</w:t>
            </w:r>
          </w:p>
        </w:tc>
        <w:tc>
          <w:tcPr>
            <w:tcW w:type="dxa" w:w="1224"/>
          </w:tcPr>
          <w:p>
            <w:pPr>
              <w:spacing w:after="20"/>
            </w:pPr>
            <w:r/>
            <w:r>
              <w:rPr>
                <w:sz w:val="16"/>
              </w:rPr>
              <w:t>Data integrity</w:t>
            </w:r>
          </w:p>
        </w:tc>
        <w:tc>
          <w:tcPr>
            <w:tcW w:type="dxa" w:w="6840"/>
          </w:tcPr>
          <w:p>
            <w:pPr>
              <w:spacing w:after="20"/>
            </w:pPr>
            <w:r/>
            <w:r>
              <w:rPr>
                <w:sz w:val="16"/>
              </w:rPr>
              <w:t>Concurrency (double booking, last coupon redemption) serialised by DB locking or constraints — never check-then-write.</w:t>
            </w:r>
          </w:p>
        </w:tc>
        <w:tc>
          <w:tcPr>
            <w:tcW w:type="dxa" w:w="1440"/>
          </w:tcPr>
          <w:p>
            <w:pPr>
              <w:spacing w:after="20"/>
            </w:pPr>
            <w:r/>
            <w:r>
              <w:rPr>
                <w:sz w:val="16"/>
              </w:rPr>
              <w:t>DB-enforced</w:t>
            </w:r>
          </w:p>
        </w:tc>
      </w:tr>
      <w:tr>
        <w:tc>
          <w:tcPr>
            <w:tcW w:type="dxa" w:w="504"/>
          </w:tcPr>
          <w:p>
            <w:pPr>
              <w:spacing w:after="20"/>
            </w:pPr>
            <w:r/>
            <w:r>
              <w:rPr>
                <w:sz w:val="16"/>
              </w:rPr>
              <w:t>N29</w:t>
            </w:r>
          </w:p>
        </w:tc>
        <w:tc>
          <w:tcPr>
            <w:tcW w:type="dxa" w:w="1224"/>
          </w:tcPr>
          <w:p>
            <w:pPr>
              <w:spacing w:after="20"/>
            </w:pPr>
            <w:r/>
            <w:r>
              <w:rPr>
                <w:sz w:val="16"/>
              </w:rPr>
              <w:t>Deliverability</w:t>
            </w:r>
          </w:p>
        </w:tc>
        <w:tc>
          <w:tcPr>
            <w:tcW w:type="dxa" w:w="6840"/>
          </w:tcPr>
          <w:p>
            <w:pPr>
              <w:spacing w:after="20"/>
            </w:pPr>
            <w:r/>
            <w:r>
              <w:rPr>
                <w:sz w:val="16"/>
              </w:rPr>
              <w:t>Bounce rate and complaint rate monitored and alerted.</w:t>
            </w:r>
          </w:p>
        </w:tc>
        <w:tc>
          <w:tcPr>
            <w:tcW w:type="dxa" w:w="1440"/>
          </w:tcPr>
          <w:p>
            <w:pPr>
              <w:spacing w:after="20"/>
            </w:pPr>
            <w:r/>
            <w:r>
              <w:rPr>
                <w:sz w:val="16"/>
              </w:rPr>
              <w:t>&lt;2% / &lt;0.1%</w:t>
            </w:r>
          </w:p>
        </w:tc>
      </w:tr>
      <w:tr>
        <w:tc>
          <w:tcPr>
            <w:tcW w:type="dxa" w:w="504"/>
          </w:tcPr>
          <w:p>
            <w:pPr>
              <w:spacing w:after="20"/>
            </w:pPr>
            <w:r/>
            <w:r>
              <w:rPr>
                <w:sz w:val="16"/>
              </w:rPr>
              <w:t>N30</w:t>
            </w:r>
          </w:p>
        </w:tc>
        <w:tc>
          <w:tcPr>
            <w:tcW w:type="dxa" w:w="1224"/>
          </w:tcPr>
          <w:p>
            <w:pPr>
              <w:spacing w:after="20"/>
            </w:pPr>
            <w:r/>
            <w:r>
              <w:rPr>
                <w:sz w:val="16"/>
              </w:rPr>
              <w:t>Accessibility</w:t>
            </w:r>
          </w:p>
        </w:tc>
        <w:tc>
          <w:tcPr>
            <w:tcW w:type="dxa" w:w="6840"/>
          </w:tcPr>
          <w:p>
            <w:pPr>
              <w:spacing w:after="20"/>
            </w:pPr>
            <w:r/>
            <w:r>
              <w:rPr>
                <w:sz w:val="16"/>
              </w:rPr>
              <w:t>Member app and admin portal.</w:t>
            </w:r>
          </w:p>
        </w:tc>
        <w:tc>
          <w:tcPr>
            <w:tcW w:type="dxa" w:w="1440"/>
          </w:tcPr>
          <w:p>
            <w:pPr>
              <w:spacing w:after="20"/>
            </w:pPr>
            <w:r/>
            <w:r>
              <w:rPr>
                <w:sz w:val="16"/>
              </w:rPr>
              <w:t>WCAG 2.1 AA</w:t>
            </w:r>
          </w:p>
        </w:tc>
      </w:tr>
      <w:tr>
        <w:tc>
          <w:tcPr>
            <w:tcW w:type="dxa" w:w="504"/>
          </w:tcPr>
          <w:p>
            <w:pPr>
              <w:spacing w:after="20"/>
            </w:pPr>
            <w:r/>
            <w:r>
              <w:rPr>
                <w:sz w:val="16"/>
              </w:rPr>
              <w:t>N31</w:t>
            </w:r>
          </w:p>
        </w:tc>
        <w:tc>
          <w:tcPr>
            <w:tcW w:type="dxa" w:w="1224"/>
          </w:tcPr>
          <w:p>
            <w:pPr>
              <w:spacing w:after="20"/>
            </w:pPr>
            <w:r/>
            <w:r>
              <w:rPr>
                <w:sz w:val="16"/>
              </w:rPr>
              <w:t>Accessibility</w:t>
            </w:r>
          </w:p>
        </w:tc>
        <w:tc>
          <w:tcPr>
            <w:tcW w:type="dxa" w:w="6840"/>
          </w:tcPr>
          <w:p>
            <w:pPr>
              <w:spacing w:after="20"/>
            </w:pPr>
            <w:r/>
            <w:r>
              <w:rPr>
                <w:sz w:val="16"/>
              </w:rPr>
              <w:t>Full keyboard operation with visible focus; labelled forms; announced errors; captions on video; reduced-motion respected.</w:t>
            </w:r>
          </w:p>
        </w:tc>
        <w:tc>
          <w:tcPr>
            <w:tcW w:type="dxa" w:w="1440"/>
          </w:tcPr>
          <w:p>
            <w:pPr>
              <w:spacing w:after="20"/>
            </w:pPr>
            <w:r/>
            <w:r>
              <w:rPr>
                <w:sz w:val="16"/>
              </w:rPr>
              <w:t>Required</w:t>
            </w:r>
          </w:p>
        </w:tc>
      </w:tr>
      <w:tr>
        <w:tc>
          <w:tcPr>
            <w:tcW w:type="dxa" w:w="504"/>
          </w:tcPr>
          <w:p>
            <w:pPr>
              <w:spacing w:after="20"/>
            </w:pPr>
            <w:r/>
            <w:r>
              <w:rPr>
                <w:sz w:val="16"/>
              </w:rPr>
              <w:t>N32</w:t>
            </w:r>
          </w:p>
        </w:tc>
        <w:tc>
          <w:tcPr>
            <w:tcW w:type="dxa" w:w="1224"/>
          </w:tcPr>
          <w:p>
            <w:pPr>
              <w:spacing w:after="20"/>
            </w:pPr>
            <w:r/>
            <w:r>
              <w:rPr>
                <w:sz w:val="16"/>
              </w:rPr>
              <w:t>Usability</w:t>
            </w:r>
          </w:p>
        </w:tc>
        <w:tc>
          <w:tcPr>
            <w:tcW w:type="dxa" w:w="6840"/>
          </w:tcPr>
          <w:p>
            <w:pPr>
              <w:spacing w:after="20"/>
            </w:pPr>
            <w:r/>
            <w:r>
              <w:rPr>
                <w:sz w:val="16"/>
              </w:rPr>
              <w:t>The admin operator is NOT technical. No raw JSON, DB IDs, env vars, webhook payloads or stack traces on any screen. Business-language labels with inline help.</w:t>
            </w:r>
          </w:p>
        </w:tc>
        <w:tc>
          <w:tcPr>
            <w:tcW w:type="dxa" w:w="1440"/>
          </w:tcPr>
          <w:p>
            <w:pPr>
              <w:spacing w:after="20"/>
            </w:pPr>
            <w:r/>
            <w:r>
              <w:rPr>
                <w:sz w:val="16"/>
              </w:rPr>
              <w:t>Hard requirement</w:t>
            </w:r>
          </w:p>
        </w:tc>
      </w:tr>
      <w:tr>
        <w:tc>
          <w:tcPr>
            <w:tcW w:type="dxa" w:w="504"/>
          </w:tcPr>
          <w:p>
            <w:pPr>
              <w:spacing w:after="20"/>
            </w:pPr>
            <w:r/>
            <w:r>
              <w:rPr>
                <w:sz w:val="16"/>
              </w:rPr>
              <w:t>N33</w:t>
            </w:r>
          </w:p>
        </w:tc>
        <w:tc>
          <w:tcPr>
            <w:tcW w:type="dxa" w:w="1224"/>
          </w:tcPr>
          <w:p>
            <w:pPr>
              <w:spacing w:after="20"/>
            </w:pPr>
            <w:r/>
            <w:r>
              <w:rPr>
                <w:sz w:val="16"/>
              </w:rPr>
              <w:t>Usability</w:t>
            </w:r>
          </w:p>
        </w:tc>
        <w:tc>
          <w:tcPr>
            <w:tcW w:type="dxa" w:w="6840"/>
          </w:tcPr>
          <w:p>
            <w:pPr>
              <w:spacing w:after="20"/>
            </w:pPr>
            <w:r/>
            <w:r>
              <w:rPr>
                <w:sz w:val="16"/>
              </w:rPr>
              <w:t>Destructive actions confirm by naming the object and its consequence. Customer-affecting actions state their scope first ("this will email 1,438 people").</w:t>
            </w:r>
          </w:p>
        </w:tc>
        <w:tc>
          <w:tcPr>
            <w:tcW w:type="dxa" w:w="1440"/>
          </w:tcPr>
          <w:p>
            <w:pPr>
              <w:spacing w:after="20"/>
            </w:pPr>
            <w:r/>
            <w:r>
              <w:rPr>
                <w:sz w:val="16"/>
              </w:rPr>
              <w:t>Always</w:t>
            </w:r>
          </w:p>
        </w:tc>
      </w:tr>
      <w:tr>
        <w:tc>
          <w:tcPr>
            <w:tcW w:type="dxa" w:w="504"/>
          </w:tcPr>
          <w:p>
            <w:pPr>
              <w:spacing w:after="20"/>
            </w:pPr>
            <w:r/>
            <w:r>
              <w:rPr>
                <w:sz w:val="16"/>
              </w:rPr>
              <w:t>N34</w:t>
            </w:r>
          </w:p>
        </w:tc>
        <w:tc>
          <w:tcPr>
            <w:tcW w:type="dxa" w:w="1224"/>
          </w:tcPr>
          <w:p>
            <w:pPr>
              <w:spacing w:after="20"/>
            </w:pPr>
            <w:r/>
            <w:r>
              <w:rPr>
                <w:sz w:val="16"/>
              </w:rPr>
              <w:t>Usability</w:t>
            </w:r>
          </w:p>
        </w:tc>
        <w:tc>
          <w:tcPr>
            <w:tcW w:type="dxa" w:w="6840"/>
          </w:tcPr>
          <w:p>
            <w:pPr>
              <w:spacing w:after="20"/>
            </w:pPr>
            <w:r/>
            <w:r>
              <w:rPr>
                <w:sz w:val="16"/>
              </w:rPr>
              <w:t>Errors say what went wrong and what to do next. Long operations show progress and survive a closed tab.</w:t>
            </w:r>
          </w:p>
        </w:tc>
        <w:tc>
          <w:tcPr>
            <w:tcW w:type="dxa" w:w="1440"/>
          </w:tcPr>
          <w:p>
            <w:pPr>
              <w:spacing w:after="20"/>
            </w:pPr>
            <w:r/>
            <w:r>
              <w:rPr>
                <w:sz w:val="16"/>
              </w:rPr>
              <w:t>Always</w:t>
            </w:r>
          </w:p>
        </w:tc>
      </w:tr>
      <w:tr>
        <w:tc>
          <w:tcPr>
            <w:tcW w:type="dxa" w:w="504"/>
          </w:tcPr>
          <w:p>
            <w:pPr>
              <w:spacing w:after="20"/>
            </w:pPr>
            <w:r/>
            <w:r>
              <w:rPr>
                <w:sz w:val="16"/>
              </w:rPr>
              <w:t>N35</w:t>
            </w:r>
          </w:p>
        </w:tc>
        <w:tc>
          <w:tcPr>
            <w:tcW w:type="dxa" w:w="1224"/>
          </w:tcPr>
          <w:p>
            <w:pPr>
              <w:spacing w:after="20"/>
            </w:pPr>
            <w:r/>
            <w:r>
              <w:rPr>
                <w:sz w:val="16"/>
              </w:rPr>
              <w:t>Compatibility</w:t>
            </w:r>
          </w:p>
        </w:tc>
        <w:tc>
          <w:tcPr>
            <w:tcW w:type="dxa" w:w="6840"/>
          </w:tcPr>
          <w:p>
            <w:pPr>
              <w:spacing w:after="20"/>
            </w:pPr>
            <w:r/>
            <w:r>
              <w:rPr>
                <w:sz w:val="16"/>
              </w:rPr>
              <w:t>Current + previous major Chrome, Safari, Firefox, Edge; iOS and Android. Responsive from 320 px, mobile-first.</w:t>
            </w:r>
          </w:p>
        </w:tc>
        <w:tc>
          <w:tcPr>
            <w:tcW w:type="dxa" w:w="1440"/>
          </w:tcPr>
          <w:p>
            <w:pPr>
              <w:spacing w:after="20"/>
            </w:pPr>
            <w:r/>
            <w:r>
              <w:rPr>
                <w:sz w:val="16"/>
              </w:rPr>
              <w:t>Supported</w:t>
            </w:r>
          </w:p>
        </w:tc>
      </w:tr>
      <w:tr>
        <w:tc>
          <w:tcPr>
            <w:tcW w:type="dxa" w:w="504"/>
          </w:tcPr>
          <w:p>
            <w:pPr>
              <w:spacing w:after="20"/>
            </w:pPr>
            <w:r/>
            <w:r>
              <w:rPr>
                <w:sz w:val="16"/>
              </w:rPr>
              <w:t>N36</w:t>
            </w:r>
          </w:p>
        </w:tc>
        <w:tc>
          <w:tcPr>
            <w:tcW w:type="dxa" w:w="1224"/>
          </w:tcPr>
          <w:p>
            <w:pPr>
              <w:spacing w:after="20"/>
            </w:pPr>
            <w:r/>
            <w:r>
              <w:rPr>
                <w:sz w:val="16"/>
              </w:rPr>
              <w:t>Observability</w:t>
            </w:r>
          </w:p>
        </w:tc>
        <w:tc>
          <w:tcPr>
            <w:tcW w:type="dxa" w:w="6840"/>
          </w:tcPr>
          <w:p>
            <w:pPr>
              <w:spacing w:after="20"/>
            </w:pPr>
            <w:r/>
            <w:r>
              <w:rPr>
                <w:sz w:val="16"/>
              </w:rPr>
              <w:t>Structured JSON logs with correlation ID; error tracker on unhandled exceptions.</w:t>
            </w:r>
          </w:p>
        </w:tc>
        <w:tc>
          <w:tcPr>
            <w:tcW w:type="dxa" w:w="1440"/>
          </w:tcPr>
          <w:p>
            <w:pPr>
              <w:spacing w:after="20"/>
            </w:pPr>
            <w:r/>
            <w:r>
              <w:rPr>
                <w:sz w:val="16"/>
              </w:rPr>
              <w:t>Required</w:t>
            </w:r>
          </w:p>
        </w:tc>
      </w:tr>
      <w:tr>
        <w:tc>
          <w:tcPr>
            <w:tcW w:type="dxa" w:w="504"/>
          </w:tcPr>
          <w:p>
            <w:pPr>
              <w:spacing w:after="20"/>
            </w:pPr>
            <w:r/>
            <w:r>
              <w:rPr>
                <w:sz w:val="16"/>
              </w:rPr>
              <w:t>N37</w:t>
            </w:r>
          </w:p>
        </w:tc>
        <w:tc>
          <w:tcPr>
            <w:tcW w:type="dxa" w:w="1224"/>
          </w:tcPr>
          <w:p>
            <w:pPr>
              <w:spacing w:after="20"/>
            </w:pPr>
            <w:r/>
            <w:r>
              <w:rPr>
                <w:sz w:val="16"/>
              </w:rPr>
              <w:t>Observability</w:t>
            </w:r>
          </w:p>
        </w:tc>
        <w:tc>
          <w:tcPr>
            <w:tcW w:type="dxa" w:w="6840"/>
          </w:tcPr>
          <w:p>
            <w:pPr>
              <w:spacing w:after="20"/>
            </w:pPr>
            <w:r/>
            <w:r>
              <w:rPr>
                <w:sz w:val="16"/>
              </w:rPr>
              <w:t>Metrics: request rate, error rate, latency percentiles, queue depth, oldest pending job, webhook failures, bounce/complaint rate, payment failures.</w:t>
            </w:r>
          </w:p>
        </w:tc>
        <w:tc>
          <w:tcPr>
            <w:tcW w:type="dxa" w:w="1440"/>
          </w:tcPr>
          <w:p>
            <w:pPr>
              <w:spacing w:after="20"/>
            </w:pPr>
            <w:r/>
            <w:r>
              <w:rPr>
                <w:sz w:val="16"/>
              </w:rPr>
              <w:t>Exposed</w:t>
            </w:r>
          </w:p>
        </w:tc>
      </w:tr>
      <w:tr>
        <w:tc>
          <w:tcPr>
            <w:tcW w:type="dxa" w:w="504"/>
          </w:tcPr>
          <w:p>
            <w:pPr>
              <w:spacing w:after="20"/>
            </w:pPr>
            <w:r/>
            <w:r>
              <w:rPr>
                <w:sz w:val="16"/>
              </w:rPr>
              <w:t>N38</w:t>
            </w:r>
          </w:p>
        </w:tc>
        <w:tc>
          <w:tcPr>
            <w:tcW w:type="dxa" w:w="1224"/>
          </w:tcPr>
          <w:p>
            <w:pPr>
              <w:spacing w:after="20"/>
            </w:pPr>
            <w:r/>
            <w:r>
              <w:rPr>
                <w:sz w:val="16"/>
              </w:rPr>
              <w:t>Observability</w:t>
            </w:r>
          </w:p>
        </w:tc>
        <w:tc>
          <w:tcPr>
            <w:tcW w:type="dxa" w:w="6840"/>
          </w:tcPr>
          <w:p>
            <w:pPr>
              <w:spacing w:after="20"/>
            </w:pPr>
            <w:r/>
            <w:r>
              <w:rPr>
                <w:sz w:val="16"/>
              </w:rPr>
              <w:t>Alerts: site down, error spike, queue backlog, webhook failures, complaint-rate breach, disk &gt;80%, cert expiry.</w:t>
            </w:r>
          </w:p>
        </w:tc>
        <w:tc>
          <w:tcPr>
            <w:tcW w:type="dxa" w:w="1440"/>
          </w:tcPr>
          <w:p>
            <w:pPr>
              <w:spacing w:after="20"/>
            </w:pPr>
            <w:r/>
            <w:r>
              <w:rPr>
                <w:sz w:val="16"/>
              </w:rPr>
              <w:t>Configured</w:t>
            </w:r>
          </w:p>
        </w:tc>
      </w:tr>
      <w:tr>
        <w:tc>
          <w:tcPr>
            <w:tcW w:type="dxa" w:w="504"/>
          </w:tcPr>
          <w:p>
            <w:pPr>
              <w:spacing w:after="20"/>
            </w:pPr>
            <w:r/>
            <w:r>
              <w:rPr>
                <w:sz w:val="16"/>
              </w:rPr>
              <w:t>N39</w:t>
            </w:r>
          </w:p>
        </w:tc>
        <w:tc>
          <w:tcPr>
            <w:tcW w:type="dxa" w:w="1224"/>
          </w:tcPr>
          <w:p>
            <w:pPr>
              <w:spacing w:after="20"/>
            </w:pPr>
            <w:r/>
            <w:r>
              <w:rPr>
                <w:sz w:val="16"/>
              </w:rPr>
              <w:t>Maintainability</w:t>
            </w:r>
          </w:p>
        </w:tc>
        <w:tc>
          <w:tcPr>
            <w:tcW w:type="dxa" w:w="6840"/>
          </w:tcPr>
          <w:p>
            <w:pPr>
              <w:spacing w:after="20"/>
            </w:pPr>
            <w:r/>
            <w:r>
              <w:rPr>
                <w:sz w:val="16"/>
              </w:rPr>
              <w:t>TypeScript strict everywhere. Routes = HTTP only, services = logic, repositories = data. Shared types per API contract. Lint and format enforced in CI.</w:t>
            </w:r>
          </w:p>
        </w:tc>
        <w:tc>
          <w:tcPr>
            <w:tcW w:type="dxa" w:w="1440"/>
          </w:tcPr>
          <w:p>
            <w:pPr>
              <w:spacing w:after="20"/>
            </w:pPr>
            <w:r/>
            <w:r>
              <w:rPr>
                <w:sz w:val="16"/>
              </w:rPr>
              <w:t>Build gate</w:t>
            </w:r>
          </w:p>
        </w:tc>
      </w:tr>
      <w:tr>
        <w:tc>
          <w:tcPr>
            <w:tcW w:type="dxa" w:w="504"/>
          </w:tcPr>
          <w:p>
            <w:pPr>
              <w:spacing w:after="20"/>
            </w:pPr>
            <w:r/>
            <w:r>
              <w:rPr>
                <w:sz w:val="16"/>
              </w:rPr>
              <w:t>N40</w:t>
            </w:r>
          </w:p>
        </w:tc>
        <w:tc>
          <w:tcPr>
            <w:tcW w:type="dxa" w:w="1224"/>
          </w:tcPr>
          <w:p>
            <w:pPr>
              <w:spacing w:after="20"/>
            </w:pPr>
            <w:r/>
            <w:r>
              <w:rPr>
                <w:sz w:val="16"/>
              </w:rPr>
              <w:t>Maintainability</w:t>
            </w:r>
          </w:p>
        </w:tc>
        <w:tc>
          <w:tcPr>
            <w:tcW w:type="dxa" w:w="6840"/>
          </w:tcPr>
          <w:p>
            <w:pPr>
              <w:spacing w:after="20"/>
            </w:pPr>
            <w:r/>
            <w:r>
              <w:rPr>
                <w:sz w:val="16"/>
              </w:rPr>
              <w:t>Third-party providers behind an owned interface so one can be swapped without touching business logic.</w:t>
            </w:r>
          </w:p>
        </w:tc>
        <w:tc>
          <w:tcPr>
            <w:tcW w:type="dxa" w:w="1440"/>
          </w:tcPr>
          <w:p>
            <w:pPr>
              <w:spacing w:after="20"/>
            </w:pPr>
            <w:r/>
            <w:r>
              <w:rPr>
                <w:sz w:val="16"/>
              </w:rPr>
              <w:t>Interfaced</w:t>
            </w:r>
          </w:p>
        </w:tc>
      </w:tr>
      <w:tr>
        <w:tc>
          <w:tcPr>
            <w:tcW w:type="dxa" w:w="504"/>
          </w:tcPr>
          <w:p>
            <w:pPr>
              <w:spacing w:after="20"/>
            </w:pPr>
            <w:r/>
            <w:r>
              <w:rPr>
                <w:sz w:val="16"/>
              </w:rPr>
              <w:t>N41</w:t>
            </w:r>
          </w:p>
        </w:tc>
        <w:tc>
          <w:tcPr>
            <w:tcW w:type="dxa" w:w="1224"/>
          </w:tcPr>
          <w:p>
            <w:pPr>
              <w:spacing w:after="20"/>
            </w:pPr>
            <w:r/>
            <w:r>
              <w:rPr>
                <w:sz w:val="16"/>
              </w:rPr>
              <w:t>Testing</w:t>
            </w:r>
          </w:p>
        </w:tc>
        <w:tc>
          <w:tcPr>
            <w:tcW w:type="dxa" w:w="6840"/>
          </w:tcPr>
          <w:p>
            <w:pPr>
              <w:spacing w:after="20"/>
            </w:pPr>
            <w:r/>
            <w:r>
              <w:rPr>
                <w:sz w:val="16"/>
              </w:rPr>
              <w:t>Unit tests on every pricing, entitlement, permission, scoring, commission and date calculation — the rules that cost money when wrong.</w:t>
            </w:r>
          </w:p>
        </w:tc>
        <w:tc>
          <w:tcPr>
            <w:tcW w:type="dxa" w:w="1440"/>
          </w:tcPr>
          <w:p>
            <w:pPr>
              <w:spacing w:after="20"/>
            </w:pPr>
            <w:r/>
            <w:r>
              <w:rPr>
                <w:sz w:val="16"/>
              </w:rPr>
              <w:t>Mandatory</w:t>
            </w:r>
          </w:p>
        </w:tc>
      </w:tr>
      <w:tr>
        <w:tc>
          <w:tcPr>
            <w:tcW w:type="dxa" w:w="504"/>
          </w:tcPr>
          <w:p>
            <w:pPr>
              <w:spacing w:after="20"/>
            </w:pPr>
            <w:r/>
            <w:r>
              <w:rPr>
                <w:sz w:val="16"/>
              </w:rPr>
              <w:t>N42</w:t>
            </w:r>
          </w:p>
        </w:tc>
        <w:tc>
          <w:tcPr>
            <w:tcW w:type="dxa" w:w="1224"/>
          </w:tcPr>
          <w:p>
            <w:pPr>
              <w:spacing w:after="20"/>
            </w:pPr>
            <w:r/>
            <w:r>
              <w:rPr>
                <w:sz w:val="16"/>
              </w:rPr>
              <w:t>Testing</w:t>
            </w:r>
          </w:p>
        </w:tc>
        <w:tc>
          <w:tcPr>
            <w:tcW w:type="dxa" w:w="6840"/>
          </w:tcPr>
          <w:p>
            <w:pPr>
              <w:spacing w:after="20"/>
            </w:pPr>
            <w:r/>
            <w:r>
              <w:rPr>
                <w:sz w:val="16"/>
              </w:rPr>
              <w:t>Integration tests against a real DB: purchase path, webhook idempotency (replay every event twice), grant/revoke, sequence scheduling, automation firing, affiliate attribution. E2E on the journeys in §6.</w:t>
            </w:r>
          </w:p>
        </w:tc>
        <w:tc>
          <w:tcPr>
            <w:tcW w:type="dxa" w:w="1440"/>
          </w:tcPr>
          <w:p>
            <w:pPr>
              <w:spacing w:after="20"/>
            </w:pPr>
            <w:r/>
            <w:r>
              <w:rPr>
                <w:sz w:val="16"/>
              </w:rPr>
              <w:t>Mandatory</w:t>
            </w:r>
          </w:p>
        </w:tc>
      </w:tr>
      <w:tr>
        <w:tc>
          <w:tcPr>
            <w:tcW w:type="dxa" w:w="504"/>
          </w:tcPr>
          <w:p>
            <w:pPr>
              <w:spacing w:after="20"/>
            </w:pPr>
            <w:r/>
            <w:r>
              <w:rPr>
                <w:sz w:val="16"/>
              </w:rPr>
              <w:t>N43</w:t>
            </w:r>
          </w:p>
        </w:tc>
        <w:tc>
          <w:tcPr>
            <w:tcW w:type="dxa" w:w="1224"/>
          </w:tcPr>
          <w:p>
            <w:pPr>
              <w:spacing w:after="20"/>
            </w:pPr>
            <w:r/>
            <w:r>
              <w:rPr>
                <w:sz w:val="16"/>
              </w:rPr>
              <w:t>Testing</w:t>
            </w:r>
          </w:p>
        </w:tc>
        <w:tc>
          <w:tcPr>
            <w:tcW w:type="dxa" w:w="6840"/>
          </w:tcPr>
          <w:p>
            <w:pPr>
              <w:spacing w:after="20"/>
            </w:pPr>
            <w:r/>
            <w:r>
              <w:rPr>
                <w:sz w:val="16"/>
              </w:rPr>
              <w:t>Payment tests run in Stripe test mode only. No automated test ever touches live keys.</w:t>
            </w:r>
          </w:p>
        </w:tc>
        <w:tc>
          <w:tcPr>
            <w:tcW w:type="dxa" w:w="1440"/>
          </w:tcPr>
          <w:p>
            <w:pPr>
              <w:spacing w:after="20"/>
            </w:pPr>
            <w:r/>
            <w:r>
              <w:rPr>
                <w:sz w:val="16"/>
              </w:rPr>
              <w:t>Absolute</w:t>
            </w:r>
          </w:p>
        </w:tc>
      </w:tr>
      <w:tr>
        <w:tc>
          <w:tcPr>
            <w:tcW w:type="dxa" w:w="504"/>
          </w:tcPr>
          <w:p>
            <w:pPr>
              <w:spacing w:after="20"/>
            </w:pPr>
            <w:r/>
            <w:r>
              <w:rPr>
                <w:sz w:val="16"/>
              </w:rPr>
              <w:t>N44</w:t>
            </w:r>
          </w:p>
        </w:tc>
        <w:tc>
          <w:tcPr>
            <w:tcW w:type="dxa" w:w="1224"/>
          </w:tcPr>
          <w:p>
            <w:pPr>
              <w:spacing w:after="20"/>
            </w:pPr>
            <w:r/>
            <w:r>
              <w:rPr>
                <w:sz w:val="16"/>
              </w:rPr>
              <w:t>Testing</w:t>
            </w:r>
          </w:p>
        </w:tc>
        <w:tc>
          <w:tcPr>
            <w:tcW w:type="dxa" w:w="6840"/>
          </w:tcPr>
          <w:p>
            <w:pPr>
              <w:spacing w:after="20"/>
            </w:pPr>
            <w:r/>
            <w:r>
              <w:rPr>
                <w:sz w:val="16"/>
              </w:rPr>
              <w:t>Adversarial review per feature. A green suite is evidence, not proof — on this system green suites have coexisted with real production defects.</w:t>
            </w:r>
          </w:p>
        </w:tc>
        <w:tc>
          <w:tcPr>
            <w:tcW w:type="dxa" w:w="1440"/>
          </w:tcPr>
          <w:p>
            <w:pPr>
              <w:spacing w:after="20"/>
            </w:pPr>
            <w:r/>
            <w:r>
              <w:rPr>
                <w:sz w:val="16"/>
              </w:rPr>
              <w:t>Per feature</w:t>
            </w:r>
          </w:p>
        </w:tc>
      </w:tr>
      <w:tr>
        <w:tc>
          <w:tcPr>
            <w:tcW w:type="dxa" w:w="504"/>
          </w:tcPr>
          <w:p>
            <w:pPr>
              <w:spacing w:after="20"/>
            </w:pPr>
            <w:r/>
            <w:r>
              <w:rPr>
                <w:sz w:val="16"/>
              </w:rPr>
              <w:t>N45</w:t>
            </w:r>
          </w:p>
        </w:tc>
        <w:tc>
          <w:tcPr>
            <w:tcW w:type="dxa" w:w="1224"/>
          </w:tcPr>
          <w:p>
            <w:pPr>
              <w:spacing w:after="20"/>
            </w:pPr>
            <w:r/>
            <w:r>
              <w:rPr>
                <w:sz w:val="16"/>
              </w:rPr>
              <w:t>Testing</w:t>
            </w:r>
          </w:p>
        </w:tc>
        <w:tc>
          <w:tcPr>
            <w:tcW w:type="dxa" w:w="6840"/>
          </w:tcPr>
          <w:p>
            <w:pPr>
              <w:spacing w:after="20"/>
            </w:pPr>
            <w:r/>
            <w:r>
              <w:rPr>
                <w:sz w:val="16"/>
              </w:rPr>
              <w:t>"Done" means verified against the deployed system, not compiling locally. Post-deploy smoke tests with rollback on failure.</w:t>
            </w:r>
          </w:p>
        </w:tc>
        <w:tc>
          <w:tcPr>
            <w:tcW w:type="dxa" w:w="1440"/>
          </w:tcPr>
          <w:p>
            <w:pPr>
              <w:spacing w:after="20"/>
            </w:pPr>
            <w:r/>
            <w:r>
              <w:rPr>
                <w:sz w:val="16"/>
              </w:rPr>
              <w:t>Per feature</w:t>
            </w:r>
          </w:p>
        </w:tc>
      </w:tr>
      <w:tr>
        <w:tc>
          <w:tcPr>
            <w:tcW w:type="dxa" w:w="504"/>
          </w:tcPr>
          <w:p>
            <w:pPr>
              <w:spacing w:after="20"/>
            </w:pPr>
            <w:r/>
            <w:r>
              <w:rPr>
                <w:sz w:val="16"/>
              </w:rPr>
              <w:t>N46</w:t>
            </w:r>
          </w:p>
        </w:tc>
        <w:tc>
          <w:tcPr>
            <w:tcW w:type="dxa" w:w="1224"/>
          </w:tcPr>
          <w:p>
            <w:pPr>
              <w:spacing w:after="20"/>
            </w:pPr>
            <w:r/>
            <w:r>
              <w:rPr>
                <w:sz w:val="16"/>
              </w:rPr>
              <w:t>Deployment</w:t>
            </w:r>
          </w:p>
        </w:tc>
        <w:tc>
          <w:tcPr>
            <w:tcW w:type="dxa" w:w="6840"/>
          </w:tcPr>
          <w:p>
            <w:pPr>
              <w:spacing w:after="20"/>
            </w:pPr>
            <w:r/>
            <w:r>
              <w:rPr>
                <w:sz w:val="16"/>
              </w:rPr>
              <w:t>Containerised, identical image per environment, config by env var only. Startup validation rejects missing/malformed required values with a clear message.</w:t>
            </w:r>
          </w:p>
        </w:tc>
        <w:tc>
          <w:tcPr>
            <w:tcW w:type="dxa" w:w="1440"/>
          </w:tcPr>
          <w:p>
            <w:pPr>
              <w:spacing w:after="20"/>
            </w:pPr>
            <w:r/>
            <w:r>
              <w:rPr>
                <w:sz w:val="16"/>
              </w:rPr>
              <w:t>Required</w:t>
            </w:r>
          </w:p>
        </w:tc>
      </w:tr>
      <w:tr>
        <w:tc>
          <w:tcPr>
            <w:tcW w:type="dxa" w:w="504"/>
          </w:tcPr>
          <w:p>
            <w:pPr>
              <w:spacing w:after="20"/>
            </w:pPr>
            <w:r/>
            <w:r>
              <w:rPr>
                <w:sz w:val="16"/>
              </w:rPr>
              <w:t>N47</w:t>
            </w:r>
          </w:p>
        </w:tc>
        <w:tc>
          <w:tcPr>
            <w:tcW w:type="dxa" w:w="1224"/>
          </w:tcPr>
          <w:p>
            <w:pPr>
              <w:spacing w:after="20"/>
            </w:pPr>
            <w:r/>
            <w:r>
              <w:rPr>
                <w:sz w:val="16"/>
              </w:rPr>
              <w:t>Deployment</w:t>
            </w:r>
          </w:p>
        </w:tc>
        <w:tc>
          <w:tcPr>
            <w:tcW w:type="dxa" w:w="6840"/>
          </w:tcPr>
          <w:p>
            <w:pPr>
              <w:spacing w:after="20"/>
            </w:pPr>
            <w:r/>
            <w:r>
              <w:rPr>
                <w:sz w:val="16"/>
              </w:rPr>
              <w:t>Migrations run automatically and idempotently on deploy. Rollback to previous release possible.</w:t>
            </w:r>
          </w:p>
        </w:tc>
        <w:tc>
          <w:tcPr>
            <w:tcW w:type="dxa" w:w="1440"/>
          </w:tcPr>
          <w:p>
            <w:pPr>
              <w:spacing w:after="20"/>
            </w:pPr>
            <w:r/>
            <w:r>
              <w:rPr>
                <w:sz w:val="16"/>
              </w:rPr>
              <w:t>&lt;15 min</w:t>
            </w:r>
          </w:p>
        </w:tc>
      </w:tr>
      <w:tr>
        <w:tc>
          <w:tcPr>
            <w:tcW w:type="dxa" w:w="504"/>
          </w:tcPr>
          <w:p>
            <w:pPr>
              <w:spacing w:after="20"/>
            </w:pPr>
            <w:r/>
            <w:r>
              <w:rPr>
                <w:sz w:val="16"/>
              </w:rPr>
              <w:t>N48</w:t>
            </w:r>
          </w:p>
        </w:tc>
        <w:tc>
          <w:tcPr>
            <w:tcW w:type="dxa" w:w="1224"/>
          </w:tcPr>
          <w:p>
            <w:pPr>
              <w:spacing w:after="20"/>
            </w:pPr>
            <w:r/>
            <w:r>
              <w:rPr>
                <w:sz w:val="16"/>
              </w:rPr>
              <w:t>Backup</w:t>
            </w:r>
          </w:p>
        </w:tc>
        <w:tc>
          <w:tcPr>
            <w:tcW w:type="dxa" w:w="6840"/>
          </w:tcPr>
          <w:p>
            <w:pPr>
              <w:spacing w:after="20"/>
            </w:pPr>
            <w:r/>
            <w:r>
              <w:rPr>
                <w:sz w:val="16"/>
              </w:rPr>
              <w:t>Automated daily backup with point-in-time recovery, stored off-host, encrypted; media on the same schedule.</w:t>
            </w:r>
          </w:p>
        </w:tc>
        <w:tc>
          <w:tcPr>
            <w:tcW w:type="dxa" w:w="1440"/>
          </w:tcPr>
          <w:p>
            <w:pPr>
              <w:spacing w:after="20"/>
            </w:pPr>
            <w:r/>
            <w:r>
              <w:rPr>
                <w:sz w:val="16"/>
              </w:rPr>
              <w:t>30 days PITR</w:t>
            </w:r>
          </w:p>
        </w:tc>
      </w:tr>
      <w:tr>
        <w:tc>
          <w:tcPr>
            <w:tcW w:type="dxa" w:w="504"/>
          </w:tcPr>
          <w:p>
            <w:pPr>
              <w:spacing w:after="20"/>
            </w:pPr>
            <w:r/>
            <w:r>
              <w:rPr>
                <w:sz w:val="16"/>
              </w:rPr>
              <w:t>N49</w:t>
            </w:r>
          </w:p>
        </w:tc>
        <w:tc>
          <w:tcPr>
            <w:tcW w:type="dxa" w:w="1224"/>
          </w:tcPr>
          <w:p>
            <w:pPr>
              <w:spacing w:after="20"/>
            </w:pPr>
            <w:r/>
            <w:r>
              <w:rPr>
                <w:sz w:val="16"/>
              </w:rPr>
              <w:t>Backup</w:t>
            </w:r>
          </w:p>
        </w:tc>
        <w:tc>
          <w:tcPr>
            <w:tcW w:type="dxa" w:w="6840"/>
          </w:tcPr>
          <w:p>
            <w:pPr>
              <w:spacing w:after="20"/>
            </w:pPr>
            <w:r/>
            <w:r>
              <w:rPr>
                <w:sz w:val="16"/>
              </w:rPr>
              <w:t>Restore tested quarterly and the result recorded. An untested backup is not a backup.</w:t>
            </w:r>
          </w:p>
        </w:tc>
        <w:tc>
          <w:tcPr>
            <w:tcW w:type="dxa" w:w="1440"/>
          </w:tcPr>
          <w:p>
            <w:pPr>
              <w:spacing w:after="20"/>
            </w:pPr>
            <w:r/>
            <w:r>
              <w:rPr>
                <w:sz w:val="16"/>
              </w:rPr>
              <w:t>Quarterly</w:t>
            </w:r>
          </w:p>
        </w:tc>
      </w:tr>
      <w:tr>
        <w:tc>
          <w:tcPr>
            <w:tcW w:type="dxa" w:w="504"/>
          </w:tcPr>
          <w:p>
            <w:pPr>
              <w:spacing w:after="20"/>
            </w:pPr>
            <w:r/>
            <w:r>
              <w:rPr>
                <w:sz w:val="16"/>
              </w:rPr>
              <w:t>N50</w:t>
            </w:r>
          </w:p>
        </w:tc>
        <w:tc>
          <w:tcPr>
            <w:tcW w:type="dxa" w:w="1224"/>
          </w:tcPr>
          <w:p>
            <w:pPr>
              <w:spacing w:after="20"/>
            </w:pPr>
            <w:r/>
            <w:r>
              <w:rPr>
                <w:sz w:val="16"/>
              </w:rPr>
              <w:t>Time &amp; money</w:t>
            </w:r>
          </w:p>
        </w:tc>
        <w:tc>
          <w:tcPr>
            <w:tcW w:type="dxa" w:w="6840"/>
          </w:tcPr>
          <w:p>
            <w:pPr>
              <w:spacing w:after="20"/>
            </w:pPr>
            <w:r/>
            <w:r>
              <w:rPr>
                <w:sz w:val="16"/>
              </w:rPr>
              <w:t>UTC storage, viewer-timezone display, DST-correct drip / reminders / bookings. Currency stored with every amount even at one currency.</w:t>
            </w:r>
          </w:p>
        </w:tc>
        <w:tc>
          <w:tcPr>
            <w:tcW w:type="dxa" w:w="1440"/>
          </w:tcPr>
          <w:p>
            <w:pPr>
              <w:spacing w:after="20"/>
            </w:pPr>
            <w:r/>
            <w:r>
              <w:rPr>
                <w:sz w:val="16"/>
              </w:rPr>
              <w:t>Always</w:t>
            </w:r>
          </w:p>
        </w:tc>
      </w:tr>
      <w:tr>
        <w:tc>
          <w:tcPr>
            <w:tcW w:type="dxa" w:w="504"/>
          </w:tcPr>
          <w:p>
            <w:pPr>
              <w:spacing w:after="20"/>
            </w:pPr>
            <w:r/>
            <w:r>
              <w:rPr>
                <w:sz w:val="16"/>
              </w:rPr>
              <w:t>N51</w:t>
            </w:r>
          </w:p>
        </w:tc>
        <w:tc>
          <w:tcPr>
            <w:tcW w:type="dxa" w:w="1224"/>
          </w:tcPr>
          <w:p>
            <w:pPr>
              <w:spacing w:after="20"/>
            </w:pPr>
            <w:r/>
            <w:r>
              <w:rPr>
                <w:sz w:val="16"/>
              </w:rPr>
              <w:t>Resources</w:t>
            </w:r>
          </w:p>
        </w:tc>
        <w:tc>
          <w:tcPr>
            <w:tcW w:type="dxa" w:w="6840"/>
          </w:tcPr>
          <w:p>
            <w:pPr>
              <w:spacing w:after="20"/>
            </w:pPr>
            <w:r/>
            <w:r>
              <w:rPr>
                <w:sz w:val="16"/>
              </w:rPr>
              <w:t>Whole production stack within 8 GB RAM / 2 cores alongside Postgres. Builds and tests serialised on the shared host.</w:t>
            </w:r>
          </w:p>
        </w:tc>
        <w:tc>
          <w:tcPr>
            <w:tcW w:type="dxa" w:w="1440"/>
          </w:tcPr>
          <w:p>
            <w:pPr>
              <w:spacing w:after="20"/>
            </w:pPr>
            <w:r/>
            <w:r>
              <w:rPr>
                <w:sz w:val="16"/>
              </w:rPr>
              <w:t>Hard limit</w:t>
            </w:r>
          </w:p>
        </w:tc>
      </w:tr>
      <w:tr>
        <w:tc>
          <w:tcPr>
            <w:tcW w:type="dxa" w:w="504"/>
          </w:tcPr>
          <w:p>
            <w:pPr>
              <w:spacing w:after="20"/>
            </w:pPr>
            <w:r/>
            <w:r>
              <w:rPr>
                <w:sz w:val="16"/>
              </w:rPr>
              <w:t>N52</w:t>
            </w:r>
          </w:p>
        </w:tc>
        <w:tc>
          <w:tcPr>
            <w:tcW w:type="dxa" w:w="1224"/>
          </w:tcPr>
          <w:p>
            <w:pPr>
              <w:spacing w:after="20"/>
            </w:pPr>
            <w:r/>
            <w:r>
              <w:rPr>
                <w:sz w:val="16"/>
              </w:rPr>
              <w:t>Documentation</w:t>
            </w:r>
          </w:p>
        </w:tc>
        <w:tc>
          <w:tcPr>
            <w:tcW w:type="dxa" w:w="6840"/>
          </w:tcPr>
          <w:p>
            <w:pPr>
              <w:spacing w:after="20"/>
            </w:pPr>
            <w:r/>
            <w:r>
              <w:rPr>
                <w:sz w:val="16"/>
              </w:rPr>
              <w:t>Architecture doc, API doc, env var reference (purpose + format + failure mode), non-technical operator guide, and a single doc that takes a new engineer from clean machine to seeded local environment.</w:t>
            </w:r>
          </w:p>
        </w:tc>
        <w:tc>
          <w:tcPr>
            <w:tcW w:type="dxa" w:w="1440"/>
          </w:tcPr>
          <w:p>
            <w:pPr>
              <w:spacing w:after="20"/>
            </w:pPr>
            <w:r/>
            <w:r>
              <w:rPr>
                <w:sz w:val="16"/>
              </w:rPr>
              <w:t>Maintained</w:t>
            </w:r>
          </w:p>
        </w:tc>
      </w:tr>
    </w:tbl>
    <w:p>
      <w:pPr>
        <w:spacing w:after="20"/>
      </w:pPr>
    </w:p>
    <w:p>
      <w:pPr>
        <w:pStyle w:val="Heading1"/>
      </w:pPr>
      <w:r>
        <w:t>6. Critical journeys (the acceptance bar)</w:t>
      </w:r>
    </w:p>
    <w:tbl>
      <w:tblPr>
        <w:tblStyle w:val="TableGrid"/>
        <w:tblW w:type="auto" w:w="0"/>
        <w:jc w:val="center"/>
        <w:tblLook w:firstColumn="1" w:firstRow="1" w:lastColumn="0" w:lastRow="0" w:noHBand="0" w:noVBand="1" w:val="04A0"/>
      </w:tblPr>
      <w:tblGrid>
        <w:gridCol w:w="5112"/>
        <w:gridCol w:w="5112"/>
      </w:tblGrid>
      <w:tr>
        <w:tc>
          <w:tcPr>
            <w:tcW w:type="dxa" w:w="1008"/>
            <w:shd w:val="clear" w:color="auto" w:fill="1F3B57"/>
          </w:tcPr>
          <w:p>
            <w:r/>
            <w:r>
              <w:rPr>
                <w:b/>
                <w:color w:val="FFFFFF"/>
                <w:sz w:val="17"/>
              </w:rPr>
              <w:t>Journey</w:t>
            </w:r>
          </w:p>
        </w:tc>
        <w:tc>
          <w:tcPr>
            <w:tcW w:type="dxa" w:w="9216"/>
            <w:shd w:val="clear" w:color="auto" w:fill="1F3B57"/>
          </w:tcPr>
          <w:p>
            <w:r/>
            <w:r>
              <w:rPr>
                <w:b/>
                <w:color w:val="FFFFFF"/>
                <w:sz w:val="17"/>
              </w:rPr>
              <w:t>Must work end to end, with no staff involvement</w:t>
            </w:r>
          </w:p>
        </w:tc>
      </w:tr>
      <w:tr>
        <w:tc>
          <w:tcPr>
            <w:tcW w:type="dxa" w:w="1008"/>
          </w:tcPr>
          <w:p>
            <w:pPr>
              <w:spacing w:after="20"/>
            </w:pPr>
            <w:r/>
            <w:r>
              <w:rPr>
                <w:sz w:val="17"/>
              </w:rPr>
              <w:t>Buy</w:t>
            </w:r>
          </w:p>
        </w:tc>
        <w:tc>
          <w:tcPr>
            <w:tcW w:type="dxa" w:w="9216"/>
          </w:tcPr>
          <w:p>
            <w:pPr>
              <w:spacing w:after="20"/>
            </w:pPr>
            <w:r/>
            <w:r>
              <w:rPr>
                <w:sz w:val="17"/>
              </w:rPr>
              <w:t>Checkout a 3 × $1,250 offer with an order bump and a coupon → 3DS inline → order, transaction, payment plan, invoice and tax row written exactly once → account provisioned + set-password email → access granted → upsell charged one-click → receipt sent → buyer lands in library. Replaying every Stripe event changes nothing.</w:t>
            </w:r>
          </w:p>
        </w:tc>
      </w:tr>
      <w:tr>
        <w:tc>
          <w:tcPr>
            <w:tcW w:type="dxa" w:w="1008"/>
          </w:tcPr>
          <w:p>
            <w:pPr>
              <w:spacing w:after="20"/>
            </w:pPr>
            <w:r/>
            <w:r>
              <w:rPr>
                <w:sz w:val="17"/>
              </w:rPr>
              <w:t>Consume</w:t>
            </w:r>
          </w:p>
        </w:tc>
        <w:tc>
          <w:tcPr>
            <w:tcW w:type="dxa" w:w="9216"/>
          </w:tcPr>
          <w:p>
            <w:pPr>
              <w:spacing w:after="20"/>
            </w:pPr>
            <w:r/>
            <w:r>
              <w:rPr>
                <w:sz w:val="17"/>
              </w:rPr>
              <w:t>Open the course → later lessons visibly locked with unlock dates → watch a video → resume on another device → auto-complete at 90% → download the workbook by signed URL → pass the assessment → receive a verifiable CEU certificate PDF.</w:t>
            </w:r>
          </w:p>
        </w:tc>
      </w:tr>
      <w:tr>
        <w:tc>
          <w:tcPr>
            <w:tcW w:type="dxa" w:w="1008"/>
          </w:tcPr>
          <w:p>
            <w:pPr>
              <w:spacing w:after="20"/>
            </w:pPr>
            <w:r/>
            <w:r>
              <w:rPr>
                <w:sz w:val="17"/>
              </w:rPr>
              <w:t>Market</w:t>
            </w:r>
          </w:p>
        </w:tc>
        <w:tc>
          <w:tcPr>
            <w:tcW w:type="dxa" w:w="9216"/>
          </w:tcPr>
          <w:p>
            <w:pPr>
              <w:spacing w:after="20"/>
            </w:pPr>
            <w:r/>
            <w:r>
              <w:rPr>
                <w:sz w:val="17"/>
              </w:rPr>
              <w:t>Assessment submitted on the website → scored, branch returned → contact created/matched and tagged → automation enrols them in a 5-email sequence over 8 days in their own timezone → engagement flows back → purchase fires the exit condition so they stop being sold what they own.</w:t>
            </w:r>
          </w:p>
        </w:tc>
      </w:tr>
      <w:tr>
        <w:tc>
          <w:tcPr>
            <w:tcW w:type="dxa" w:w="1008"/>
          </w:tcPr>
          <w:p>
            <w:pPr>
              <w:spacing w:after="20"/>
            </w:pPr>
            <w:r/>
            <w:r>
              <w:rPr>
                <w:sz w:val="17"/>
              </w:rPr>
              <w:t>Service</w:t>
            </w:r>
          </w:p>
        </w:tc>
        <w:tc>
          <w:tcPr>
            <w:tcW w:type="dxa" w:w="9216"/>
          </w:tcPr>
          <w:p>
            <w:pPr>
              <w:spacing w:after="20"/>
            </w:pPr>
            <w:r/>
            <w:r>
              <w:rPr>
                <w:sz w:val="17"/>
              </w:rPr>
              <w:t>Member updates their card, downloads an invoice, cancels with a reason → access ends at the configured grace point → a failed instalment starts dunning → support requests a refund → an authorised operator approves → commission clawed back → reports reflect it the same day.</w:t>
            </w:r>
          </w:p>
        </w:tc>
      </w:tr>
      <w:tr>
        <w:tc>
          <w:tcPr>
            <w:tcW w:type="dxa" w:w="1008"/>
          </w:tcPr>
          <w:p>
            <w:pPr>
              <w:spacing w:after="20"/>
            </w:pPr>
            <w:r/>
            <w:r>
              <w:rPr>
                <w:sz w:val="17"/>
              </w:rPr>
              <w:t>Operate</w:t>
            </w:r>
          </w:p>
        </w:tc>
        <w:tc>
          <w:tcPr>
            <w:tcW w:type="dxa" w:w="9216"/>
          </w:tcPr>
          <w:p>
            <w:pPr>
              <w:spacing w:after="20"/>
            </w:pPr>
            <w:r/>
            <w:r>
              <w:rPr>
                <w:sz w:val="17"/>
              </w:rPr>
              <w:t>The non-technical owner runs products, offers, contacts, tags, sequences, automations, events, community, coaching, affiliates and every launch report from the admin portal, without an engineer.</w:t>
            </w:r>
          </w:p>
        </w:tc>
      </w:tr>
    </w:tbl>
    <w:p>
      <w:pPr>
        <w:spacing w:after="20"/>
      </w:pPr>
    </w:p>
    <w:p>
      <w:pPr>
        <w:pStyle w:val="Heading1"/>
      </w:pPr>
      <w:r>
        <w:t>7. Build order</w:t>
      </w:r>
    </w:p>
    <w:tbl>
      <w:tblPr>
        <w:tblStyle w:val="TableGrid"/>
        <w:tblW w:type="auto" w:w="0"/>
        <w:jc w:val="center"/>
        <w:tblLook w:firstColumn="1" w:firstRow="1" w:lastColumn="0" w:lastRow="0" w:noHBand="0" w:noVBand="1" w:val="04A0"/>
      </w:tblPr>
      <w:tblGrid>
        <w:gridCol w:w="3408"/>
        <w:gridCol w:w="3408"/>
        <w:gridCol w:w="3408"/>
      </w:tblGrid>
      <w:tr>
        <w:tc>
          <w:tcPr>
            <w:tcW w:type="dxa" w:w="504"/>
            <w:shd w:val="clear" w:color="auto" w:fill="1F3B57"/>
          </w:tcPr>
          <w:p>
            <w:r/>
            <w:r>
              <w:rPr>
                <w:b/>
                <w:color w:val="FFFFFF"/>
                <w:sz w:val="18"/>
              </w:rPr>
              <w:t>#</w:t>
            </w:r>
          </w:p>
        </w:tc>
        <w:tc>
          <w:tcPr>
            <w:tcW w:type="dxa" w:w="8064"/>
            <w:shd w:val="clear" w:color="auto" w:fill="1F3B57"/>
          </w:tcPr>
          <w:p>
            <w:r/>
            <w:r>
              <w:rPr>
                <w:b/>
                <w:color w:val="FFFFFF"/>
                <w:sz w:val="18"/>
              </w:rPr>
              <w:t>Stage</w:t>
            </w:r>
          </w:p>
        </w:tc>
        <w:tc>
          <w:tcPr>
            <w:tcW w:type="dxa" w:w="1296"/>
            <w:shd w:val="clear" w:color="auto" w:fill="1F3B57"/>
          </w:tcPr>
          <w:p>
            <w:r/>
            <w:r>
              <w:rPr>
                <w:b/>
                <w:color w:val="FFFFFF"/>
                <w:sz w:val="18"/>
              </w:rPr>
              <w:t>Size</w:t>
            </w:r>
          </w:p>
        </w:tc>
      </w:tr>
      <w:tr>
        <w:tc>
          <w:tcPr>
            <w:tcW w:type="dxa" w:w="504"/>
          </w:tcPr>
          <w:p>
            <w:pPr>
              <w:spacing w:after="20"/>
            </w:pPr>
            <w:r/>
            <w:r>
              <w:rPr>
                <w:sz w:val="18"/>
              </w:rPr>
              <w:t>0</w:t>
            </w:r>
          </w:p>
        </w:tc>
        <w:tc>
          <w:tcPr>
            <w:tcW w:type="dxa" w:w="8064"/>
          </w:tcPr>
          <w:p>
            <w:pPr>
              <w:spacing w:after="20"/>
            </w:pPr>
            <w:r/>
            <w:r>
              <w:rPr>
                <w:sz w:val="18"/>
              </w:rPr>
              <w:t>Schema baseline, migrations, job queue, config validation, logging/metrics skeleton.</w:t>
            </w:r>
          </w:p>
        </w:tc>
        <w:tc>
          <w:tcPr>
            <w:tcW w:type="dxa" w:w="1296"/>
          </w:tcPr>
          <w:p>
            <w:pPr>
              <w:spacing w:after="20"/>
            </w:pPr>
            <w:r/>
            <w:r>
              <w:rPr>
                <w:sz w:val="18"/>
              </w:rPr>
              <w:t>1 wk</w:t>
            </w:r>
          </w:p>
        </w:tc>
      </w:tr>
      <w:tr>
        <w:tc>
          <w:tcPr>
            <w:tcW w:type="dxa" w:w="504"/>
          </w:tcPr>
          <w:p>
            <w:pPr>
              <w:spacing w:after="20"/>
            </w:pPr>
            <w:r/>
            <w:r>
              <w:rPr>
                <w:sz w:val="18"/>
              </w:rPr>
              <w:t>1</w:t>
            </w:r>
          </w:p>
        </w:tc>
        <w:tc>
          <w:tcPr>
            <w:tcW w:type="dxa" w:w="8064"/>
          </w:tcPr>
          <w:p>
            <w:pPr>
              <w:spacing w:after="20"/>
            </w:pPr>
            <w:r/>
            <w:r>
              <w:rPr>
                <w:sz w:val="18"/>
              </w:rPr>
              <w:t>Contacts, tags, segments, timeline.</w:t>
            </w:r>
          </w:p>
        </w:tc>
        <w:tc>
          <w:tcPr>
            <w:tcW w:type="dxa" w:w="1296"/>
          </w:tcPr>
          <w:p>
            <w:pPr>
              <w:spacing w:after="20"/>
            </w:pPr>
            <w:r/>
            <w:r>
              <w:rPr>
                <w:sz w:val="18"/>
              </w:rPr>
              <w:t>1 wk</w:t>
            </w:r>
          </w:p>
        </w:tc>
      </w:tr>
      <w:tr>
        <w:tc>
          <w:tcPr>
            <w:tcW w:type="dxa" w:w="504"/>
          </w:tcPr>
          <w:p>
            <w:pPr>
              <w:spacing w:after="20"/>
            </w:pPr>
            <w:r/>
            <w:r>
              <w:rPr>
                <w:sz w:val="18"/>
              </w:rPr>
              <w:t>2</w:t>
            </w:r>
          </w:p>
        </w:tc>
        <w:tc>
          <w:tcPr>
            <w:tcW w:type="dxa" w:w="8064"/>
          </w:tcPr>
          <w:p>
            <w:pPr>
              <w:spacing w:after="20"/>
            </w:pPr>
            <w:r/>
            <w:r>
              <w:rPr>
                <w:sz w:val="18"/>
              </w:rPr>
              <w:t>Member identity and accounts.</w:t>
            </w:r>
          </w:p>
        </w:tc>
        <w:tc>
          <w:tcPr>
            <w:tcW w:type="dxa" w:w="1296"/>
          </w:tcPr>
          <w:p>
            <w:pPr>
              <w:spacing w:after="20"/>
            </w:pPr>
            <w:r/>
            <w:r>
              <w:rPr>
                <w:sz w:val="18"/>
              </w:rPr>
              <w:t>1 wk</w:t>
            </w:r>
          </w:p>
        </w:tc>
      </w:tr>
      <w:tr>
        <w:tc>
          <w:tcPr>
            <w:tcW w:type="dxa" w:w="504"/>
          </w:tcPr>
          <w:p>
            <w:pPr>
              <w:spacing w:after="20"/>
            </w:pPr>
            <w:r/>
            <w:r>
              <w:rPr>
                <w:sz w:val="18"/>
              </w:rPr>
              <w:t>3</w:t>
            </w:r>
          </w:p>
        </w:tc>
        <w:tc>
          <w:tcPr>
            <w:tcW w:type="dxa" w:w="8064"/>
          </w:tcPr>
          <w:p>
            <w:pPr>
              <w:spacing w:after="20"/>
            </w:pPr>
            <w:r/>
            <w:r>
              <w:rPr>
                <w:sz w:val="18"/>
              </w:rPr>
              <w:t>Products, access grants, entitlement.</w:t>
            </w:r>
          </w:p>
        </w:tc>
        <w:tc>
          <w:tcPr>
            <w:tcW w:type="dxa" w:w="1296"/>
          </w:tcPr>
          <w:p>
            <w:pPr>
              <w:spacing w:after="20"/>
            </w:pPr>
            <w:r/>
            <w:r>
              <w:rPr>
                <w:sz w:val="18"/>
              </w:rPr>
              <w:t>1 wk</w:t>
            </w:r>
          </w:p>
        </w:tc>
      </w:tr>
      <w:tr>
        <w:tc>
          <w:tcPr>
            <w:tcW w:type="dxa" w:w="504"/>
          </w:tcPr>
          <w:p>
            <w:pPr>
              <w:spacing w:after="20"/>
            </w:pPr>
            <w:r/>
            <w:r>
              <w:rPr>
                <w:sz w:val="18"/>
              </w:rPr>
              <w:t>4</w:t>
            </w:r>
          </w:p>
        </w:tc>
        <w:tc>
          <w:tcPr>
            <w:tcW w:type="dxa" w:w="8064"/>
          </w:tcPr>
          <w:p>
            <w:pPr>
              <w:spacing w:after="20"/>
            </w:pPr>
            <w:r/>
            <w:r>
              <w:rPr>
                <w:sz w:val="18"/>
              </w:rPr>
              <w:t>Offers, checkout, Stripe, billing. Highest risk — do not rush it.</w:t>
            </w:r>
          </w:p>
        </w:tc>
        <w:tc>
          <w:tcPr>
            <w:tcW w:type="dxa" w:w="1296"/>
          </w:tcPr>
          <w:p>
            <w:pPr>
              <w:spacing w:after="20"/>
            </w:pPr>
            <w:r/>
            <w:r>
              <w:rPr>
                <w:sz w:val="18"/>
              </w:rPr>
              <w:t>3 wk</w:t>
            </w:r>
          </w:p>
        </w:tc>
      </w:tr>
      <w:tr>
        <w:tc>
          <w:tcPr>
            <w:tcW w:type="dxa" w:w="504"/>
          </w:tcPr>
          <w:p>
            <w:pPr>
              <w:spacing w:after="20"/>
            </w:pPr>
            <w:r/>
            <w:r>
              <w:rPr>
                <w:sz w:val="18"/>
              </w:rPr>
              <w:t>5</w:t>
            </w:r>
          </w:p>
        </w:tc>
        <w:tc>
          <w:tcPr>
            <w:tcW w:type="dxa" w:w="8064"/>
          </w:tcPr>
          <w:p>
            <w:pPr>
              <w:spacing w:after="20"/>
            </w:pPr>
            <w:r/>
            <w:r>
              <w:rPr>
                <w:sz w:val="18"/>
              </w:rPr>
              <w:t>Delivery: courses, downloads, certificates, podcasts, newsletters.</w:t>
            </w:r>
          </w:p>
        </w:tc>
        <w:tc>
          <w:tcPr>
            <w:tcW w:type="dxa" w:w="1296"/>
          </w:tcPr>
          <w:p>
            <w:pPr>
              <w:spacing w:after="20"/>
            </w:pPr>
            <w:r/>
            <w:r>
              <w:rPr>
                <w:sz w:val="18"/>
              </w:rPr>
              <w:t>3–4 wk</w:t>
            </w:r>
          </w:p>
        </w:tc>
      </w:tr>
      <w:tr>
        <w:tc>
          <w:tcPr>
            <w:tcW w:type="dxa" w:w="504"/>
          </w:tcPr>
          <w:p>
            <w:pPr>
              <w:spacing w:after="20"/>
            </w:pPr>
            <w:r/>
            <w:r>
              <w:rPr>
                <w:sz w:val="18"/>
              </w:rPr>
              <w:t>6</w:t>
            </w:r>
          </w:p>
        </w:tc>
        <w:tc>
          <w:tcPr>
            <w:tcW w:type="dxa" w:w="8064"/>
          </w:tcPr>
          <w:p>
            <w:pPr>
              <w:spacing w:after="20"/>
            </w:pPr>
            <w:r/>
            <w:r>
              <w:rPr>
                <w:sz w:val="18"/>
              </w:rPr>
              <w:t>Email infrastructure, templates, broadcasts, sequences.</w:t>
            </w:r>
          </w:p>
        </w:tc>
        <w:tc>
          <w:tcPr>
            <w:tcW w:type="dxa" w:w="1296"/>
          </w:tcPr>
          <w:p>
            <w:pPr>
              <w:spacing w:after="20"/>
            </w:pPr>
            <w:r/>
            <w:r>
              <w:rPr>
                <w:sz w:val="18"/>
              </w:rPr>
              <w:t>2 wk</w:t>
            </w:r>
          </w:p>
        </w:tc>
      </w:tr>
      <w:tr>
        <w:tc>
          <w:tcPr>
            <w:tcW w:type="dxa" w:w="504"/>
          </w:tcPr>
          <w:p>
            <w:pPr>
              <w:spacing w:after="20"/>
            </w:pPr>
            <w:r/>
            <w:r>
              <w:rPr>
                <w:sz w:val="18"/>
              </w:rPr>
              <w:t>7</w:t>
            </w:r>
          </w:p>
        </w:tc>
        <w:tc>
          <w:tcPr>
            <w:tcW w:type="dxa" w:w="8064"/>
          </w:tcPr>
          <w:p>
            <w:pPr>
              <w:spacing w:after="20"/>
            </w:pPr>
            <w:r/>
            <w:r>
              <w:rPr>
                <w:sz w:val="18"/>
              </w:rPr>
              <w:t>Automations engine.</w:t>
            </w:r>
          </w:p>
        </w:tc>
        <w:tc>
          <w:tcPr>
            <w:tcW w:type="dxa" w:w="1296"/>
          </w:tcPr>
          <w:p>
            <w:pPr>
              <w:spacing w:after="20"/>
            </w:pPr>
            <w:r/>
            <w:r>
              <w:rPr>
                <w:sz w:val="18"/>
              </w:rPr>
              <w:t>1.5 wk</w:t>
            </w:r>
          </w:p>
        </w:tc>
      </w:tr>
      <w:tr>
        <w:tc>
          <w:tcPr>
            <w:tcW w:type="dxa" w:w="504"/>
          </w:tcPr>
          <w:p>
            <w:pPr>
              <w:spacing w:after="20"/>
            </w:pPr>
            <w:r/>
            <w:r>
              <w:rPr>
                <w:sz w:val="18"/>
              </w:rPr>
              <w:t>8</w:t>
            </w:r>
          </w:p>
        </w:tc>
        <w:tc>
          <w:tcPr>
            <w:tcW w:type="dxa" w:w="8064"/>
          </w:tcPr>
          <w:p>
            <w:pPr>
              <w:spacing w:after="20"/>
            </w:pPr>
            <w:r/>
            <w:r>
              <w:rPr>
                <w:sz w:val="18"/>
              </w:rPr>
              <w:t>Forms, assessments, events.</w:t>
            </w:r>
          </w:p>
        </w:tc>
        <w:tc>
          <w:tcPr>
            <w:tcW w:type="dxa" w:w="1296"/>
          </w:tcPr>
          <w:p>
            <w:pPr>
              <w:spacing w:after="20"/>
            </w:pPr>
            <w:r/>
            <w:r>
              <w:rPr>
                <w:sz w:val="18"/>
              </w:rPr>
              <w:t>2 wk</w:t>
            </w:r>
          </w:p>
        </w:tc>
      </w:tr>
      <w:tr>
        <w:tc>
          <w:tcPr>
            <w:tcW w:type="dxa" w:w="504"/>
          </w:tcPr>
          <w:p>
            <w:pPr>
              <w:spacing w:after="20"/>
            </w:pPr>
            <w:r/>
            <w:r>
              <w:rPr>
                <w:sz w:val="18"/>
              </w:rPr>
              <w:t>9</w:t>
            </w:r>
          </w:p>
        </w:tc>
        <w:tc>
          <w:tcPr>
            <w:tcW w:type="dxa" w:w="8064"/>
          </w:tcPr>
          <w:p>
            <w:pPr>
              <w:spacing w:after="20"/>
            </w:pPr>
            <w:r/>
            <w:r>
              <w:rPr>
                <w:sz w:val="18"/>
              </w:rPr>
              <w:t>Community and coaching.</w:t>
            </w:r>
          </w:p>
        </w:tc>
        <w:tc>
          <w:tcPr>
            <w:tcW w:type="dxa" w:w="1296"/>
          </w:tcPr>
          <w:p>
            <w:pPr>
              <w:spacing w:after="20"/>
            </w:pPr>
            <w:r/>
            <w:r>
              <w:rPr>
                <w:sz w:val="18"/>
              </w:rPr>
              <w:t>3 wk</w:t>
            </w:r>
          </w:p>
        </w:tc>
      </w:tr>
      <w:tr>
        <w:tc>
          <w:tcPr>
            <w:tcW w:type="dxa" w:w="504"/>
          </w:tcPr>
          <w:p>
            <w:pPr>
              <w:spacing w:after="20"/>
            </w:pPr>
            <w:r/>
            <w:r>
              <w:rPr>
                <w:sz w:val="18"/>
              </w:rPr>
              <w:t>10</w:t>
            </w:r>
          </w:p>
        </w:tc>
        <w:tc>
          <w:tcPr>
            <w:tcW w:type="dxa" w:w="8064"/>
          </w:tcPr>
          <w:p>
            <w:pPr>
              <w:spacing w:after="20"/>
            </w:pPr>
            <w:r/>
            <w:r>
              <w:rPr>
                <w:sz w:val="18"/>
              </w:rPr>
              <w:t>Affiliates.</w:t>
            </w:r>
          </w:p>
        </w:tc>
        <w:tc>
          <w:tcPr>
            <w:tcW w:type="dxa" w:w="1296"/>
          </w:tcPr>
          <w:p>
            <w:pPr>
              <w:spacing w:after="20"/>
            </w:pPr>
            <w:r/>
            <w:r>
              <w:rPr>
                <w:sz w:val="18"/>
              </w:rPr>
              <w:t>1 wk</w:t>
            </w:r>
          </w:p>
        </w:tc>
      </w:tr>
      <w:tr>
        <w:tc>
          <w:tcPr>
            <w:tcW w:type="dxa" w:w="504"/>
          </w:tcPr>
          <w:p>
            <w:pPr>
              <w:spacing w:after="20"/>
            </w:pPr>
            <w:r/>
            <w:r>
              <w:rPr>
                <w:sz w:val="18"/>
              </w:rPr>
              <w:t>11</w:t>
            </w:r>
          </w:p>
        </w:tc>
        <w:tc>
          <w:tcPr>
            <w:tcW w:type="dxa" w:w="8064"/>
          </w:tcPr>
          <w:p>
            <w:pPr>
              <w:spacing w:after="20"/>
            </w:pPr>
            <w:r/>
            <w:r>
              <w:rPr>
                <w:sz w:val="18"/>
              </w:rPr>
              <w:t>Reporting framework and launch report set.</w:t>
            </w:r>
          </w:p>
        </w:tc>
        <w:tc>
          <w:tcPr>
            <w:tcW w:type="dxa" w:w="1296"/>
          </w:tcPr>
          <w:p>
            <w:pPr>
              <w:spacing w:after="20"/>
            </w:pPr>
            <w:r/>
            <w:r>
              <w:rPr>
                <w:sz w:val="18"/>
              </w:rPr>
              <w:t>2 wk</w:t>
            </w:r>
          </w:p>
        </w:tc>
      </w:tr>
      <w:tr>
        <w:tc>
          <w:tcPr>
            <w:tcW w:type="dxa" w:w="504"/>
          </w:tcPr>
          <w:p>
            <w:pPr>
              <w:spacing w:after="20"/>
            </w:pPr>
            <w:r/>
            <w:r>
              <w:rPr>
                <w:sz w:val="18"/>
              </w:rPr>
              <w:t>12</w:t>
            </w:r>
          </w:p>
        </w:tc>
        <w:tc>
          <w:tcPr>
            <w:tcW w:type="dxa" w:w="8064"/>
          </w:tcPr>
          <w:p>
            <w:pPr>
              <w:spacing w:after="20"/>
            </w:pPr>
            <w:r/>
            <w:r>
              <w:rPr>
                <w:sz w:val="18"/>
              </w:rPr>
              <w:t>Roles, audit, settings, integrations, final hardening sweep.</w:t>
            </w:r>
          </w:p>
        </w:tc>
        <w:tc>
          <w:tcPr>
            <w:tcW w:type="dxa" w:w="1296"/>
          </w:tcPr>
          <w:p>
            <w:pPr>
              <w:spacing w:after="20"/>
            </w:pPr>
            <w:r/>
            <w:r>
              <w:rPr>
                <w:sz w:val="18"/>
              </w:rPr>
              <w:t>2 wk</w:t>
            </w:r>
          </w:p>
        </w:tc>
      </w:tr>
    </w:tbl>
    <w:p>
      <w:pPr>
        <w:spacing w:after="20"/>
      </w:pPr>
    </w:p>
    <w:p>
      <w:r>
        <w:rPr>
          <w:i/>
          <w:sz w:val="18"/>
        </w:rPr>
        <w:t>Section 5 is not stage 12. Security, testing, observability and accessibility apply from the first line of code; stage 12 is the final sweep, not the first attempt.</w:t>
      </w:r>
    </w:p>
    <w:p>
      <w:pPr>
        <w:pStyle w:val="Heading1"/>
      </w:pPr>
      <w:r>
        <w:t>8. Kajabi parity — design for, do not build</w:t>
      </w:r>
    </w:p>
    <w:p>
      <w:r>
        <w:rPr>
          <w:i w:val="0"/>
          <w:sz w:val="18"/>
        </w:rPr>
        <w:t>Long-term target is feature equivalence with Kajabi. None of this is in scope now; the point is that no decision taken today should make it expensive later.</w:t>
      </w:r>
    </w:p>
    <w:tbl>
      <w:tblPr>
        <w:tblStyle w:val="TableGrid"/>
        <w:tblW w:type="auto" w:w="0"/>
        <w:jc w:val="center"/>
        <w:tblLook w:firstColumn="1" w:firstRow="1" w:lastColumn="0" w:lastRow="0" w:noHBand="0" w:noVBand="1" w:val="04A0"/>
      </w:tblPr>
      <w:tblGrid>
        <w:gridCol w:w="5112"/>
        <w:gridCol w:w="5112"/>
      </w:tblGrid>
      <w:tr>
        <w:tc>
          <w:tcPr>
            <w:tcW w:type="dxa" w:w="2664"/>
            <w:shd w:val="clear" w:color="auto" w:fill="1F3B57"/>
          </w:tcPr>
          <w:p>
            <w:r/>
            <w:r>
              <w:rPr>
                <w:b/>
                <w:color w:val="FFFFFF"/>
                <w:sz w:val="17"/>
              </w:rPr>
              <w:t>Future capability</w:t>
            </w:r>
          </w:p>
        </w:tc>
        <w:tc>
          <w:tcPr>
            <w:tcW w:type="dxa" w:w="7560"/>
            <w:shd w:val="clear" w:color="auto" w:fill="1F3B57"/>
          </w:tcPr>
          <w:p>
            <w:r/>
            <w:r>
              <w:rPr>
                <w:b/>
                <w:color w:val="FFFFFF"/>
                <w:sz w:val="17"/>
              </w:rPr>
              <w:t>What must stay possible</w:t>
            </w:r>
          </w:p>
        </w:tc>
      </w:tr>
      <w:tr>
        <w:tc>
          <w:tcPr>
            <w:tcW w:type="dxa" w:w="2664"/>
          </w:tcPr>
          <w:p>
            <w:pPr>
              <w:spacing w:after="20"/>
            </w:pPr>
            <w:r/>
            <w:r>
              <w:rPr>
                <w:sz w:val="17"/>
              </w:rPr>
              <w:t>Plan tiers with enforced limits (products, contacts, staff seats, sites, communities, AI credits)</w:t>
            </w:r>
          </w:p>
        </w:tc>
        <w:tc>
          <w:tcPr>
            <w:tcW w:type="dxa" w:w="7560"/>
          </w:tcPr>
          <w:p>
            <w:pPr>
              <w:spacing w:after="20"/>
            </w:pPr>
            <w:r/>
            <w:r>
              <w:rPr>
                <w:sz w:val="17"/>
              </w:rPr>
              <w:t>Keep every countable resource countable, and creation paths funnelled through one choke point a limit check can be added to.</w:t>
            </w:r>
          </w:p>
        </w:tc>
      </w:tr>
      <w:tr>
        <w:tc>
          <w:tcPr>
            <w:tcW w:type="dxa" w:w="2664"/>
          </w:tcPr>
          <w:p>
            <w:pPr>
              <w:spacing w:after="20"/>
            </w:pPr>
            <w:r/>
            <w:r>
              <w:rPr>
                <w:sz w:val="17"/>
              </w:rPr>
              <w:t>Multiple sites / brands</w:t>
            </w:r>
          </w:p>
        </w:tc>
        <w:tc>
          <w:tcPr>
            <w:tcW w:type="dxa" w:w="7560"/>
          </w:tcPr>
          <w:p>
            <w:pPr>
              <w:spacing w:after="20"/>
            </w:pPr>
            <w:r/>
            <w:r>
              <w:rPr>
                <w:sz w:val="17"/>
              </w:rPr>
              <w:t>Carry a site identifier on brandable and content-owning entities even while it always holds one value.</w:t>
            </w:r>
          </w:p>
        </w:tc>
      </w:tr>
      <w:tr>
        <w:tc>
          <w:tcPr>
            <w:tcW w:type="dxa" w:w="2664"/>
          </w:tcPr>
          <w:p>
            <w:pPr>
              <w:spacing w:after="20"/>
            </w:pPr>
            <w:r/>
            <w:r>
              <w:rPr>
                <w:sz w:val="17"/>
              </w:rPr>
              <w:t>AI credit metering</w:t>
            </w:r>
          </w:p>
        </w:tc>
        <w:tc>
          <w:tcPr>
            <w:tcW w:type="dxa" w:w="7560"/>
          </w:tcPr>
          <w:p>
            <w:pPr>
              <w:spacing w:after="20"/>
            </w:pPr>
            <w:r/>
            <w:r>
              <w:rPr>
                <w:sz w:val="17"/>
              </w:rPr>
              <w:t>Meter AI calls from day one even with an unlimited allowance.</w:t>
            </w:r>
          </w:p>
        </w:tc>
      </w:tr>
      <w:tr>
        <w:tc>
          <w:tcPr>
            <w:tcW w:type="dxa" w:w="2664"/>
          </w:tcPr>
          <w:p>
            <w:pPr>
              <w:spacing w:after="20"/>
            </w:pPr>
            <w:r/>
            <w:r>
              <w:rPr>
                <w:sz w:val="17"/>
              </w:rPr>
              <w:t>Branded mobile app</w:t>
            </w:r>
          </w:p>
        </w:tc>
        <w:tc>
          <w:tcPr>
            <w:tcW w:type="dxa" w:w="7560"/>
          </w:tcPr>
          <w:p>
            <w:pPr>
              <w:spacing w:after="20"/>
            </w:pPr>
            <w:r/>
            <w:r>
              <w:rPr>
                <w:sz w:val="17"/>
              </w:rPr>
              <w:t>Everything the member app does must be reachable through the same JSON API. No behaviour lives only in a React component.</w:t>
            </w:r>
          </w:p>
        </w:tc>
      </w:tr>
      <w:tr>
        <w:tc>
          <w:tcPr>
            <w:tcW w:type="dxa" w:w="2664"/>
          </w:tcPr>
          <w:p>
            <w:pPr>
              <w:spacing w:after="20"/>
            </w:pPr>
            <w:r/>
            <w:r>
              <w:rPr>
                <w:sz w:val="17"/>
              </w:rPr>
              <w:t>Advanced multi-step automations</w:t>
            </w:r>
          </w:p>
        </w:tc>
        <w:tc>
          <w:tcPr>
            <w:tcW w:type="dxa" w:w="7560"/>
          </w:tcPr>
          <w:p>
            <w:pPr>
              <w:spacing w:after="20"/>
            </w:pPr>
            <w:r/>
            <w:r>
              <w:rPr>
                <w:sz w:val="17"/>
              </w:rPr>
              <w:t>Model actions as an ordered list of typed steps, not a fixed trigger→action pair.</w:t>
            </w:r>
          </w:p>
        </w:tc>
      </w:tr>
      <w:tr>
        <w:tc>
          <w:tcPr>
            <w:tcW w:type="dxa" w:w="2664"/>
          </w:tcPr>
          <w:p>
            <w:pPr>
              <w:spacing w:after="20"/>
            </w:pPr>
            <w:r/>
            <w:r>
              <w:rPr>
                <w:sz w:val="17"/>
              </w:rPr>
              <w:t>Access groups</w:t>
            </w:r>
          </w:p>
        </w:tc>
        <w:tc>
          <w:tcPr>
            <w:tcW w:type="dxa" w:w="7560"/>
          </w:tcPr>
          <w:p>
            <w:pPr>
              <w:spacing w:after="20"/>
            </w:pPr>
            <w:r/>
            <w:r>
              <w:rPr>
                <w:sz w:val="17"/>
              </w:rPr>
              <w:t>Entitlement is grants against products, so granting a named group is one operation — never a column on a course.</w:t>
            </w:r>
          </w:p>
        </w:tc>
      </w:tr>
      <w:tr>
        <w:tc>
          <w:tcPr>
            <w:tcW w:type="dxa" w:w="2664"/>
          </w:tcPr>
          <w:p>
            <w:pPr>
              <w:spacing w:after="20"/>
            </w:pPr>
            <w:r/>
            <w:r>
              <w:rPr>
                <w:sz w:val="17"/>
              </w:rPr>
              <w:t>Cohort courses</w:t>
            </w:r>
          </w:p>
        </w:tc>
        <w:tc>
          <w:tcPr>
            <w:tcW w:type="dxa" w:w="7560"/>
          </w:tcPr>
          <w:p>
            <w:pPr>
              <w:spacing w:after="20"/>
            </w:pPr>
            <w:r/>
            <w:r>
              <w:rPr>
                <w:sz w:val="17"/>
              </w:rPr>
              <w:t>Enrolment is a first-class record with its own start date, not derived from the purchase timestamp.</w:t>
            </w:r>
          </w:p>
        </w:tc>
      </w:tr>
      <w:tr>
        <w:tc>
          <w:tcPr>
            <w:tcW w:type="dxa" w:w="2664"/>
          </w:tcPr>
          <w:p>
            <w:pPr>
              <w:spacing w:after="20"/>
            </w:pPr>
            <w:r/>
            <w:r>
              <w:rPr>
                <w:sz w:val="17"/>
              </w:rPr>
              <w:t>Unified inbox / social DM</w:t>
            </w:r>
          </w:p>
        </w:tc>
        <w:tc>
          <w:tcPr>
            <w:tcW w:type="dxa" w:w="7560"/>
          </w:tcPr>
          <w:p>
            <w:pPr>
              <w:spacing w:after="20"/>
            </w:pPr>
            <w:r/>
            <w:r>
              <w:rPr>
                <w:sz w:val="17"/>
              </w:rPr>
              <w:t>Every inbound communication writes to the contact timeline, so an inbox is a view over existing data.</w:t>
            </w:r>
          </w:p>
        </w:tc>
      </w:tr>
      <w:tr>
        <w:tc>
          <w:tcPr>
            <w:tcW w:type="dxa" w:w="2664"/>
          </w:tcPr>
          <w:p>
            <w:pPr>
              <w:spacing w:after="20"/>
            </w:pPr>
            <w:r/>
            <w:r>
              <w:rPr>
                <w:sz w:val="17"/>
              </w:rPr>
              <w:t>Transcription and translation</w:t>
            </w:r>
          </w:p>
        </w:tc>
        <w:tc>
          <w:tcPr>
            <w:tcW w:type="dxa" w:w="7560"/>
          </w:tcPr>
          <w:p>
            <w:pPr>
              <w:spacing w:after="20"/>
            </w:pPr>
            <w:r/>
            <w:r>
              <w:rPr>
                <w:sz w:val="17"/>
              </w:rPr>
              <w:t>Lesson media is an asset with room for derived artefacts (renditions, captions, transcripts), not a single URL string.</w:t>
            </w:r>
          </w:p>
        </w:tc>
      </w:tr>
      <w:tr>
        <w:tc>
          <w:tcPr>
            <w:tcW w:type="dxa" w:w="2664"/>
          </w:tcPr>
          <w:p>
            <w:pPr>
              <w:spacing w:after="20"/>
            </w:pPr>
            <w:r/>
            <w:r>
              <w:rPr>
                <w:sz w:val="17"/>
              </w:rPr>
              <w:t>Fee tiers and gateway fees</w:t>
            </w:r>
          </w:p>
        </w:tc>
        <w:tc>
          <w:tcPr>
            <w:tcW w:type="dxa" w:w="7560"/>
          </w:tcPr>
          <w:p>
            <w:pPr>
              <w:spacing w:after="20"/>
            </w:pPr>
            <w:r/>
            <w:r>
              <w:rPr>
                <w:sz w:val="17"/>
              </w:rPr>
              <w:t>Record the processing fee as its own field on the transaction; never net it into the amount.</w:t>
            </w:r>
          </w:p>
        </w:tc>
      </w:tr>
      <w:tr>
        <w:tc>
          <w:tcPr>
            <w:tcW w:type="dxa" w:w="2664"/>
          </w:tcPr>
          <w:p>
            <w:pPr>
              <w:spacing w:after="20"/>
            </w:pPr>
            <w:r/>
            <w:r>
              <w:rPr>
                <w:sz w:val="17"/>
              </w:rPr>
              <w:t>Removable platform branding</w:t>
            </w:r>
          </w:p>
        </w:tc>
        <w:tc>
          <w:tcPr>
            <w:tcW w:type="dxa" w:w="7560"/>
          </w:tcPr>
          <w:p>
            <w:pPr>
              <w:spacing w:after="20"/>
            </w:pPr>
            <w:r/>
            <w:r>
              <w:rPr>
                <w:sz w:val="17"/>
              </w:rPr>
              <w:t>All branding rendered from settings, never hard-coded into templates.</w:t>
            </w:r>
          </w:p>
        </w:tc>
      </w:tr>
      <w:tr>
        <w:tc>
          <w:tcPr>
            <w:tcW w:type="dxa" w:w="2664"/>
          </w:tcPr>
          <w:p>
            <w:pPr>
              <w:spacing w:after="20"/>
            </w:pPr>
            <w:r/>
            <w:r>
              <w:rPr>
                <w:sz w:val="17"/>
              </w:rPr>
              <w:t>Public API / webhooks as a paid feature</w:t>
            </w:r>
          </w:p>
        </w:tc>
        <w:tc>
          <w:tcPr>
            <w:tcW w:type="dxa" w:w="7560"/>
          </w:tcPr>
          <w:p>
            <w:pPr>
              <w:spacing w:after="20"/>
            </w:pPr>
            <w:r/>
            <w:r>
              <w:rPr>
                <w:sz w:val="17"/>
              </w:rPr>
              <w:t>Already versioned and scoped (FR-15.6, 15.7) — gate per plan later.</w:t>
            </w:r>
          </w:p>
        </w:tc>
      </w:tr>
    </w:tbl>
    <w:p>
      <w:pPr>
        <w:spacing w:after="20"/>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 xml:space="preserve">Boss Clinician Platform — System Design &amp; Requirements Brief v1.0  ·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8A5A2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