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886DC">
      <w:pPr>
        <w:spacing w:before="156" w:beforeLines="50"/>
        <w:ind w:firstLine="0" w:firstLineChars="0"/>
        <w:jc w:val="center"/>
        <w:rPr>
          <w:rFonts w:eastAsia="黑体" w:cs="黑体"/>
          <w:bCs/>
          <w:sz w:val="44"/>
          <w:szCs w:val="44"/>
        </w:rPr>
      </w:pPr>
      <w:r>
        <w:rPr>
          <w:rFonts w:hint="eastAsia" w:eastAsia="黑体" w:cs="黑体"/>
          <w:bCs/>
          <w:sz w:val="39"/>
          <w:szCs w:val="39"/>
          <w:lang w:val="en-US" w:eastAsia="zh-CN"/>
        </w:rPr>
        <w:t>________________外墙保温施工方案</w:t>
      </w:r>
    </w:p>
    <w:p w14:paraId="4C61D8A5">
      <w:pPr>
        <w:ind w:firstLine="0" w:firstLineChars="0"/>
        <w:rPr>
          <w:b/>
          <w:sz w:val="44"/>
          <w:szCs w:val="44"/>
        </w:rPr>
      </w:pPr>
    </w:p>
    <w:p w14:paraId="3B61A178">
      <w:pPr>
        <w:ind w:firstLine="480"/>
        <w:jc w:val="center"/>
        <w:rPr>
          <w:rFonts w:eastAsia="黑体"/>
          <w:b/>
          <w:sz w:val="36"/>
        </w:rPr>
      </w:pPr>
      <w:r>
        <w:rPr>
          <w:rFonts w:eastAsia="楷体_GB2312"/>
        </w:rPr>
        <w:drawing>
          <wp:inline distT="0" distB="0" distL="114300" distR="114300">
            <wp:extent cx="3056890" cy="2686685"/>
            <wp:effectExtent l="0" t="0" r="1016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楷体_GB2312"/>
        </w:rPr>
        <w:t xml:space="preserve"> </w:t>
      </w:r>
    </w:p>
    <w:p w14:paraId="42FA12C5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  <w:u w:val="single"/>
        </w:rPr>
      </w:pPr>
      <w:r>
        <w:rPr>
          <w:rFonts w:hint="eastAsia" w:eastAsia="黑体" w:cs="黑体"/>
          <w:bCs/>
          <w:sz w:val="39"/>
          <w:szCs w:val="39"/>
        </w:rPr>
        <w:t>编制人：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4542E386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审核人：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42C03C8F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批准人：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75F3B970">
      <w:pPr>
        <w:spacing w:line="600" w:lineRule="exact"/>
        <w:ind w:firstLine="1560" w:firstLineChars="400"/>
        <w:rPr>
          <w:rFonts w:eastAsia="黑体" w:cs="黑体"/>
          <w:bCs/>
          <w:sz w:val="39"/>
          <w:szCs w:val="39"/>
        </w:rPr>
      </w:pPr>
    </w:p>
    <w:p w14:paraId="148BB638">
      <w:pPr>
        <w:spacing w:line="600" w:lineRule="exact"/>
        <w:ind w:firstLine="1560" w:firstLineChars="400"/>
        <w:rPr>
          <w:rFonts w:eastAsia="黑体" w:cs="黑体"/>
          <w:bCs/>
          <w:sz w:val="39"/>
          <w:szCs w:val="39"/>
        </w:rPr>
      </w:pPr>
    </w:p>
    <w:p w14:paraId="6C07F5BC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</w:p>
    <w:p w14:paraId="71B513AA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陕西建工第九建设集团有限公司</w:t>
      </w:r>
    </w:p>
    <w:p w14:paraId="3D28AB5F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</w:p>
    <w:p w14:paraId="657B52D1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202</w:t>
      </w:r>
      <w:r>
        <w:rPr>
          <w:rFonts w:hint="eastAsia" w:eastAsia="黑体" w:cs="黑体"/>
          <w:bCs/>
          <w:sz w:val="39"/>
          <w:szCs w:val="39"/>
          <w:lang w:val="en-US" w:eastAsia="zh-CN"/>
        </w:rPr>
        <w:t>5</w:t>
      </w:r>
      <w:r>
        <w:rPr>
          <w:rFonts w:hint="eastAsia" w:eastAsia="黑体" w:cs="黑体"/>
          <w:bCs/>
          <w:sz w:val="39"/>
          <w:szCs w:val="39"/>
        </w:rPr>
        <w:t>年</w:t>
      </w:r>
      <w:r>
        <w:rPr>
          <w:rFonts w:eastAsia="黑体" w:cs="黑体"/>
          <w:bCs/>
          <w:sz w:val="39"/>
          <w:szCs w:val="39"/>
        </w:rPr>
        <w:t xml:space="preserve">   </w:t>
      </w:r>
      <w:r>
        <w:rPr>
          <w:rFonts w:hint="eastAsia" w:eastAsia="黑体" w:cs="黑体"/>
          <w:bCs/>
          <w:sz w:val="39"/>
          <w:szCs w:val="39"/>
        </w:rPr>
        <w:t>月</w:t>
      </w:r>
      <w:r>
        <w:rPr>
          <w:rFonts w:eastAsia="黑体" w:cs="黑体"/>
          <w:bCs/>
          <w:sz w:val="39"/>
          <w:szCs w:val="39"/>
        </w:rPr>
        <w:t xml:space="preserve">   </w:t>
      </w:r>
      <w:r>
        <w:rPr>
          <w:rFonts w:hint="eastAsia" w:eastAsia="黑体" w:cs="黑体"/>
          <w:bCs/>
          <w:sz w:val="39"/>
          <w:szCs w:val="39"/>
        </w:rPr>
        <w:t>日</w:t>
      </w:r>
    </w:p>
    <w:p w14:paraId="0246EB38">
      <w:pPr>
        <w:numPr>
          <w:ilvl w:val="0"/>
          <w:numId w:val="0"/>
        </w:numPr>
        <w:jc w:val="center"/>
        <w:rPr>
          <w:rFonts w:hint="eastAsia" w:ascii="宋体" w:hAnsi="宋体" w:cs="宋体"/>
          <w:b/>
          <w:bCs/>
          <w:color w:val="000000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6"/>
          <w:szCs w:val="36"/>
        </w:rPr>
        <w:id w:val="14745694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color w:val="000000"/>
          <w:kern w:val="2"/>
          <w:sz w:val="28"/>
          <w:szCs w:val="30"/>
          <w:lang w:val="en-US" w:eastAsia="zh-CN"/>
        </w:rPr>
      </w:sdtEndPr>
      <w:sdtContent>
        <w:p w14:paraId="47AD24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bookmarkStart w:id="60" w:name="_GoBack"/>
          <w:bookmarkEnd w:id="60"/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37D06F4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instrText xml:space="preserve">TOC \o "1-2" \h \u </w:instrText>
          </w: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_Toc13503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一、</w:t>
          </w:r>
          <w:r>
            <w:t>工程概况</w:t>
          </w:r>
          <w:r>
            <w:tab/>
          </w:r>
          <w:r>
            <w:fldChar w:fldCharType="begin"/>
          </w:r>
          <w:r>
            <w:instrText xml:space="preserve"> PAGEREF _Toc13503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440ADF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_Toc1873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 工程基本情况</w:t>
          </w:r>
          <w:r>
            <w:tab/>
          </w:r>
          <w:r>
            <w:fldChar w:fldCharType="begin"/>
          </w:r>
          <w:r>
            <w:instrText xml:space="preserve"> PAGEREF _Toc1873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65FF70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_Toc23189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外墙保温工程概况</w:t>
          </w:r>
          <w:r>
            <w:tab/>
          </w:r>
          <w:r>
            <w:fldChar w:fldCharType="begin"/>
          </w:r>
          <w:r>
            <w:instrText xml:space="preserve"> PAGEREF _Toc23189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EE7AC0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_Toc8524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1.3 </w:t>
          </w:r>
          <w:r>
            <w:t>施工环境和气候条件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42CA27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_Toc26446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1.4 </w:t>
          </w:r>
          <w:r>
            <w:t>主要施工单位</w:t>
          </w:r>
          <w:r>
            <w:tab/>
          </w:r>
          <w:r>
            <w:fldChar w:fldCharType="begin"/>
          </w:r>
          <w:r>
            <w:instrText xml:space="preserve"> PAGEREF _Toc26446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703155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_Toc29638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1.5 </w:t>
          </w:r>
          <w:r>
            <w:t>本方案的施工难点</w:t>
          </w:r>
          <w:r>
            <w:rPr>
              <w:rFonts w:hint="eastAsia"/>
              <w:lang w:val="en-US" w:eastAsia="zh-CN"/>
            </w:rPr>
            <w:t>及</w:t>
          </w:r>
          <w:r>
            <w:t>要点</w:t>
          </w:r>
          <w:r>
            <w:tab/>
          </w:r>
          <w:r>
            <w:fldChar w:fldCharType="begin"/>
          </w:r>
          <w:r>
            <w:instrText xml:space="preserve"> PAGEREF _Toc29638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024BB80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_Toc27672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二、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_Toc27672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D87867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_Toc15971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法律依据</w:t>
          </w:r>
          <w:r>
            <w:tab/>
          </w:r>
          <w:r>
            <w:fldChar w:fldCharType="begin"/>
          </w:r>
          <w:r>
            <w:instrText xml:space="preserve"> PAGEREF _Toc15971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D7E6F1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_Toc6256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规范标准</w:t>
          </w:r>
          <w:r>
            <w:tab/>
          </w:r>
          <w:r>
            <w:fldChar w:fldCharType="begin"/>
          </w:r>
          <w:r>
            <w:instrText xml:space="preserve"> PAGEREF _Toc6256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A28F0E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_Toc20335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 </w:t>
          </w:r>
          <w:r>
            <w:t>项目文件</w:t>
          </w:r>
          <w:r>
            <w:tab/>
          </w:r>
          <w:r>
            <w:fldChar w:fldCharType="begin"/>
          </w:r>
          <w:r>
            <w:instrText xml:space="preserve"> PAGEREF _Toc20335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A9306C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_Toc29481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施工组织设计</w:t>
          </w:r>
          <w:r>
            <w:tab/>
          </w:r>
          <w:r>
            <w:fldChar w:fldCharType="begin"/>
          </w:r>
          <w:r>
            <w:instrText xml:space="preserve"> PAGEREF _Toc29481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B7A634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_Toc9543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企业标准及文件</w:t>
          </w:r>
          <w:r>
            <w:tab/>
          </w:r>
          <w:r>
            <w:fldChar w:fldCharType="begin"/>
          </w:r>
          <w:r>
            <w:instrText xml:space="preserve"> PAGEREF _Toc9543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BD3529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_Toc4285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三、</w:t>
          </w:r>
          <w:r>
            <w:t>总体要求及控制目标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E8CC39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_Toc31706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进度目标</w:t>
          </w:r>
          <w:r>
            <w:tab/>
          </w:r>
          <w:r>
            <w:fldChar w:fldCharType="begin"/>
          </w:r>
          <w:r>
            <w:instrText xml:space="preserve"> PAGEREF _Toc31706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2A1D38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_Toc22835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总体质量目标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011475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_Toc12168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分项工程控制目标</w:t>
          </w:r>
          <w:r>
            <w:tab/>
          </w:r>
          <w:r>
            <w:fldChar w:fldCharType="begin"/>
          </w:r>
          <w:r>
            <w:instrText xml:space="preserve"> PAGEREF _Toc12168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C34AE7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_Toc16922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分项工程检验批划分</w:t>
          </w:r>
          <w:r>
            <w:tab/>
          </w:r>
          <w:r>
            <w:fldChar w:fldCharType="begin"/>
          </w:r>
          <w:r>
            <w:instrText xml:space="preserve"> PAGEREF _Toc16922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335762F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_Toc26535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四、</w:t>
          </w:r>
          <w:r>
            <w:t>施工部署及技术准备</w:t>
          </w:r>
          <w:r>
            <w:tab/>
          </w:r>
          <w:r>
            <w:fldChar w:fldCharType="begin"/>
          </w:r>
          <w:r>
            <w:instrText xml:space="preserve"> PAGEREF _Toc26535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0706A8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_Toc17763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施工部署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C1D992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_Toc20083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技术准备</w:t>
          </w:r>
          <w:r>
            <w:tab/>
          </w:r>
          <w:r>
            <w:fldChar w:fldCharType="begin"/>
          </w:r>
          <w:r>
            <w:instrText xml:space="preserve"> PAGEREF _Toc20083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81B37B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_Toc25645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方案及技术交底要求</w:t>
          </w:r>
          <w:r>
            <w:tab/>
          </w:r>
          <w:r>
            <w:fldChar w:fldCharType="begin"/>
          </w:r>
          <w:r>
            <w:instrText xml:space="preserve"> PAGEREF _Toc25645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9E4765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_Toc2354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管理人员配备及要求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966F1F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_Toc15543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五、</w:t>
          </w:r>
          <w:r>
            <w:t>施工计划</w:t>
          </w:r>
          <w:r>
            <w:tab/>
          </w:r>
          <w:r>
            <w:fldChar w:fldCharType="begin"/>
          </w:r>
          <w:r>
            <w:instrText xml:space="preserve"> PAGEREF _Toc15543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EBE09D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_Toc31449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进度计划</w:t>
          </w:r>
          <w:r>
            <w:tab/>
          </w:r>
          <w:r>
            <w:fldChar w:fldCharType="begin"/>
          </w:r>
          <w:r>
            <w:instrText xml:space="preserve"> PAGEREF _Toc31449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3704A2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_Toc13588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材料计划及要求</w:t>
          </w:r>
          <w:r>
            <w:tab/>
          </w:r>
          <w:r>
            <w:fldChar w:fldCharType="begin"/>
          </w:r>
          <w:r>
            <w:instrText xml:space="preserve"> PAGEREF _Toc13588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70A16D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_Toc27763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设备计划及要求</w:t>
          </w:r>
          <w:r>
            <w:tab/>
          </w:r>
          <w:r>
            <w:fldChar w:fldCharType="begin"/>
          </w:r>
          <w:r>
            <w:instrText xml:space="preserve"> PAGEREF _Toc27763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4E0F8B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_Toc2136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劳动力计划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0900CE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_Toc21010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特种作业人员要求</w:t>
          </w:r>
          <w:r>
            <w:tab/>
          </w:r>
          <w:r>
            <w:fldChar w:fldCharType="begin"/>
          </w:r>
          <w:r>
            <w:instrText xml:space="preserve"> PAGEREF _Toc21010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9A6058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_Toc12886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5.6 细部节点策划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F4216B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_Toc22562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六、</w:t>
          </w:r>
          <w:r>
            <w:t>施工流程及操作要求</w:t>
          </w:r>
          <w:r>
            <w:tab/>
          </w:r>
          <w:r>
            <w:fldChar w:fldCharType="begin"/>
          </w:r>
          <w:r>
            <w:instrText xml:space="preserve"> PAGEREF _Toc22562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22DCBD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_Toc22057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6.1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工艺流程</w:t>
          </w:r>
          <w:r>
            <w:tab/>
          </w:r>
          <w:r>
            <w:fldChar w:fldCharType="begin"/>
          </w:r>
          <w:r>
            <w:instrText xml:space="preserve"> PAGEREF _Toc22057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7F37B7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_Toc1090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6.2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操作要求</w:t>
          </w:r>
          <w:r>
            <w:tab/>
          </w:r>
          <w:r>
            <w:fldChar w:fldCharType="begin"/>
          </w:r>
          <w:r>
            <w:instrText xml:space="preserve"> PAGEREF _Toc1090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8D01F4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_Toc24089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七、</w:t>
          </w:r>
          <w:r>
            <w:t>检测及验收与要求</w:t>
          </w:r>
          <w:r>
            <w:tab/>
          </w:r>
          <w:r>
            <w:fldChar w:fldCharType="begin"/>
          </w:r>
          <w:r>
            <w:instrText xml:space="preserve"> PAGEREF _Toc24089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2791B7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_Toc19998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材料检验试验计划及要求</w:t>
          </w:r>
          <w:r>
            <w:tab/>
          </w:r>
          <w:r>
            <w:fldChar w:fldCharType="begin"/>
          </w:r>
          <w:r>
            <w:instrText xml:space="preserve"> PAGEREF _Toc19998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B22839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_Toc18336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</w:rPr>
            <w:t>7.2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专项检测要求</w:t>
          </w:r>
          <w:r>
            <w:tab/>
          </w:r>
          <w:r>
            <w:fldChar w:fldCharType="begin"/>
          </w:r>
          <w:r>
            <w:instrText xml:space="preserve"> PAGEREF _Toc18336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F740F4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_Toc30683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质量验收标准</w:t>
          </w:r>
          <w:r>
            <w:tab/>
          </w:r>
          <w:r>
            <w:fldChar w:fldCharType="begin"/>
          </w:r>
          <w:r>
            <w:instrText xml:space="preserve"> PAGEREF _Toc30683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018D63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_Toc25750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质量验收人员及程序</w:t>
          </w:r>
          <w:r>
            <w:tab/>
          </w:r>
          <w:r>
            <w:fldChar w:fldCharType="begin"/>
          </w:r>
          <w:r>
            <w:instrText xml:space="preserve"> PAGEREF _Toc25750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F497B2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_Toc27407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验收主要内容</w:t>
          </w:r>
          <w:r>
            <w:tab/>
          </w:r>
          <w:r>
            <w:fldChar w:fldCharType="begin"/>
          </w:r>
          <w:r>
            <w:instrText xml:space="preserve"> PAGEREF _Toc27407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A592E9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_Toc25301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7.6</w:t>
          </w:r>
          <w:r>
            <w:rPr>
              <w:rFonts w:hint="eastAsia"/>
              <w:lang w:val="en-US" w:eastAsia="zh-CN"/>
            </w:rPr>
            <w:t xml:space="preserve"> </w:t>
          </w:r>
          <w:r>
            <w:t>资料要求</w:t>
          </w:r>
          <w:r>
            <w:tab/>
          </w:r>
          <w:r>
            <w:fldChar w:fldCharType="begin"/>
          </w:r>
          <w:r>
            <w:instrText xml:space="preserve"> PAGEREF _Toc25301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CA50F5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_Toc18019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八、</w:t>
          </w:r>
          <w:r>
            <w:t>季节性施工</w:t>
          </w:r>
          <w:r>
            <w:tab/>
          </w:r>
          <w:r>
            <w:fldChar w:fldCharType="begin"/>
          </w:r>
          <w:r>
            <w:instrText xml:space="preserve"> PAGEREF _Toc18019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CF3AA8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_Toc13771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九、</w:t>
          </w:r>
          <w:r>
            <w:t>施工质量保证措施</w:t>
          </w:r>
          <w:r>
            <w:tab/>
          </w:r>
          <w:r>
            <w:fldChar w:fldCharType="begin"/>
          </w:r>
          <w:r>
            <w:instrText xml:space="preserve"> PAGEREF _Toc13771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1C2E34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_Toc26954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质量保证体系及人员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A7864A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_Toc6616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质量保证措施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26E10A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_Toc30328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质量培训及技术交底</w:t>
          </w:r>
          <w:r>
            <w:tab/>
          </w:r>
          <w:r>
            <w:fldChar w:fldCharType="begin"/>
          </w:r>
          <w:r>
            <w:instrText xml:space="preserve"> PAGEREF _Toc30328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5E627B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_Toc26479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实测实</w:t>
          </w:r>
          <w:r>
            <w:rPr>
              <w:rFonts w:hint="eastAsia"/>
              <w:lang w:val="en-US" w:eastAsia="zh-CN"/>
            </w:rPr>
            <w:t>量</w:t>
          </w:r>
          <w:r>
            <w:tab/>
          </w:r>
          <w:r>
            <w:fldChar w:fldCharType="begin"/>
          </w:r>
          <w:r>
            <w:instrText xml:space="preserve"> PAGEREF _Toc26479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73454F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_Toc19190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质量通病防治</w:t>
          </w:r>
          <w:r>
            <w:tab/>
          </w:r>
          <w:r>
            <w:fldChar w:fldCharType="begin"/>
          </w:r>
          <w:r>
            <w:instrText xml:space="preserve"> PAGEREF _Toc19190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818BE6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_Toc23624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9.6</w:t>
          </w:r>
          <w:r>
            <w:rPr>
              <w:rFonts w:hint="eastAsia"/>
              <w:lang w:val="en-US" w:eastAsia="zh-CN"/>
            </w:rPr>
            <w:t xml:space="preserve"> </w:t>
          </w:r>
          <w:r>
            <w:t>成品保护要求</w:t>
          </w:r>
          <w:r>
            <w:tab/>
          </w:r>
          <w:r>
            <w:fldChar w:fldCharType="begin"/>
          </w:r>
          <w:r>
            <w:instrText xml:space="preserve"> PAGEREF _Toc23624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72D8D2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_Toc5905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十、</w:t>
          </w:r>
          <w:r>
            <w:t>安全文明与绿色施工</w:t>
          </w:r>
          <w:r>
            <w:tab/>
          </w:r>
          <w:r>
            <w:fldChar w:fldCharType="begin"/>
          </w:r>
          <w:r>
            <w:instrText xml:space="preserve"> PAGEREF _Toc5905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13AC4E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_Toc29483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安全保证体系及人员</w:t>
          </w:r>
          <w:r>
            <w:tab/>
          </w:r>
          <w:r>
            <w:fldChar w:fldCharType="begin"/>
          </w:r>
          <w:r>
            <w:instrText xml:space="preserve"> PAGEREF _Toc29483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2A06DF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_Toc28525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安全检查</w:t>
          </w:r>
          <w:r>
            <w:tab/>
          </w:r>
          <w:r>
            <w:fldChar w:fldCharType="begin"/>
          </w:r>
          <w:r>
            <w:instrText xml:space="preserve"> PAGEREF _Toc28525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F8C8C1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_Toc26401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安全职责</w:t>
          </w:r>
          <w:r>
            <w:tab/>
          </w:r>
          <w:r>
            <w:fldChar w:fldCharType="begin"/>
          </w:r>
          <w:r>
            <w:instrText xml:space="preserve"> PAGEREF _Toc26401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A1B16D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_Toc8198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绿色施工要求</w:t>
          </w:r>
          <w:r>
            <w:tab/>
          </w:r>
          <w:r>
            <w:fldChar w:fldCharType="begin"/>
          </w:r>
          <w:r>
            <w:instrText xml:space="preserve"> PAGEREF _Toc8198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2639D13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_Toc9479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十一、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_Toc9479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A72345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_Toc6117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建立急救援组织</w:t>
          </w:r>
          <w:r>
            <w:tab/>
          </w:r>
          <w:r>
            <w:fldChar w:fldCharType="begin"/>
          </w:r>
          <w:r>
            <w:instrText xml:space="preserve"> PAGEREF _Toc6117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853CFF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_Toc18134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应急物资准备</w:t>
          </w:r>
          <w:r>
            <w:tab/>
          </w:r>
          <w:r>
            <w:fldChar w:fldCharType="begin"/>
          </w:r>
          <w:r>
            <w:instrText xml:space="preserve"> PAGEREF _Toc18134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CEF7AE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_Toc15315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识别危险源及对每个危险源应采取的措施</w:t>
          </w:r>
          <w:r>
            <w:tab/>
          </w:r>
          <w:r>
            <w:fldChar w:fldCharType="begin"/>
          </w:r>
          <w:r>
            <w:instrText xml:space="preserve"> PAGEREF _Toc15315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77F67B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_Toc20003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救援信息</w:t>
          </w:r>
          <w:r>
            <w:tab/>
          </w:r>
          <w:r>
            <w:fldChar w:fldCharType="begin"/>
          </w:r>
          <w:r>
            <w:instrText xml:space="preserve"> PAGEREF _Toc20003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DEC18A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_Toc8016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十二、</w:t>
          </w:r>
          <w:r>
            <w:t>计算书及相关施工图纸</w:t>
          </w:r>
          <w:r>
            <w:tab/>
          </w:r>
          <w:r>
            <w:fldChar w:fldCharType="begin"/>
          </w:r>
          <w:r>
            <w:instrText xml:space="preserve"> PAGEREF _Toc8016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5A5474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_Toc16288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12.1 计算书</w:t>
          </w:r>
          <w:r>
            <w:tab/>
          </w:r>
          <w:r>
            <w:fldChar w:fldCharType="begin"/>
          </w:r>
          <w:r>
            <w:instrText xml:space="preserve"> PAGEREF _Toc16288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513C92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_Toc24217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12.2 施工图纸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8594159">
          <w:pPr>
            <w:numPr>
              <w:ilvl w:val="0"/>
              <w:numId w:val="0"/>
            </w:numPr>
            <w:jc w:val="center"/>
            <w:rPr>
              <w:rFonts w:hint="eastAsia" w:ascii="宋体" w:hAnsi="宋体" w:eastAsia="宋体" w:cs="宋体"/>
              <w:bCs/>
              <w:color w:val="000000"/>
              <w:kern w:val="2"/>
              <w:sz w:val="28"/>
              <w:szCs w:val="30"/>
              <w:lang w:val="en-US" w:eastAsia="zh-CN"/>
            </w:rPr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</w:sdtContent>
    </w:sdt>
    <w:p w14:paraId="12DE6D4C">
      <w:pPr>
        <w:pStyle w:val="17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B0C8D9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0" w:name="_Toc13503"/>
      <w:r>
        <w:rPr>
          <w:rFonts w:hint="eastAsia" w:ascii="Times New Roman" w:hAnsi="Times New Roman" w:eastAsia="黑体" w:cs="Times New Roman"/>
          <w:b/>
          <w:kern w:val="44"/>
          <w:sz w:val="32"/>
        </w:rPr>
        <w:t>一、</w:t>
      </w:r>
      <w:r>
        <w:t>工程概况</w:t>
      </w:r>
      <w:bookmarkEnd w:id="0"/>
    </w:p>
    <w:p w14:paraId="2A243045">
      <w:pPr>
        <w:pStyle w:val="4"/>
        <w:bidi w:val="0"/>
        <w:rPr>
          <w:rFonts w:hint="default"/>
          <w:lang w:val="en-US" w:eastAsia="zh-CN"/>
        </w:rPr>
      </w:pPr>
      <w:bookmarkStart w:id="1" w:name="_Toc1873"/>
      <w:r>
        <w:rPr>
          <w:rFonts w:hint="eastAsia"/>
          <w:lang w:val="en-US" w:eastAsia="zh-CN"/>
        </w:rPr>
        <w:t>1.1 工程基本情况</w:t>
      </w:r>
      <w:bookmarkEnd w:id="1"/>
    </w:p>
    <w:p w14:paraId="1EFD72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说明本工程的建设地点、建筑面积、结构形式、层数、高度、安全等级、耐火等级、防水等级、抗震烈度及建筑类别、功能、使用年限、环境等级、基础形式、以及工程施工条件和项目难点和特点等。</w:t>
      </w:r>
      <w:r>
        <w:rPr>
          <w:rFonts w:ascii="宋体" w:hAnsi="宋体" w:eastAsia="宋体" w:cs="宋体"/>
          <w:sz w:val="28"/>
          <w:szCs w:val="28"/>
        </w:rPr>
        <w:t xml:space="preserve"> </w:t>
      </w:r>
    </w:p>
    <w:p w14:paraId="240D2AFB">
      <w:pPr>
        <w:pStyle w:val="2"/>
      </w:pPr>
    </w:p>
    <w:p w14:paraId="3857C60C">
      <w:pPr>
        <w:pStyle w:val="4"/>
        <w:bidi w:val="0"/>
        <w:rPr>
          <w:rFonts w:hint="default"/>
          <w:lang w:val="en-US"/>
        </w:rPr>
      </w:pPr>
      <w:bookmarkStart w:id="2" w:name="_Toc23189"/>
      <w:r>
        <w:rPr>
          <w:rFonts w:hint="eastAsia"/>
          <w:lang w:val="en-US" w:eastAsia="zh-CN"/>
        </w:rPr>
        <w:t>1.2 外墙保温工程概况</w:t>
      </w:r>
      <w:bookmarkEnd w:id="2"/>
    </w:p>
    <w:p w14:paraId="76D7E2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外墙保温</w:t>
      </w:r>
      <w:r>
        <w:rPr>
          <w:rFonts w:ascii="宋体" w:hAnsi="宋体" w:eastAsia="宋体" w:cs="宋体"/>
          <w:sz w:val="28"/>
          <w:szCs w:val="28"/>
        </w:rPr>
        <w:t>的</w:t>
      </w:r>
      <w:r>
        <w:rPr>
          <w:rFonts w:ascii="宋体" w:hAnsi="宋体" w:eastAsia="宋体" w:cs="宋体"/>
          <w:b/>
          <w:bCs/>
          <w:sz w:val="28"/>
          <w:szCs w:val="28"/>
        </w:rPr>
        <w:t>主要部位、工程量、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防火等级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保温材料种类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保温材料的厚度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保温材料的固定方式、保温的基层、外墙保温的构造做法</w:t>
      </w:r>
      <w:r>
        <w:rPr>
          <w:rFonts w:ascii="宋体" w:hAnsi="宋体" w:eastAsia="宋体" w:cs="宋体"/>
          <w:sz w:val="28"/>
          <w:szCs w:val="28"/>
        </w:rPr>
        <w:t>等，应配以图表进行阐述。</w:t>
      </w:r>
    </w:p>
    <w:p w14:paraId="4A8C3C15">
      <w:pPr>
        <w:pStyle w:val="2"/>
      </w:pPr>
    </w:p>
    <w:p w14:paraId="62219492">
      <w:pPr>
        <w:pStyle w:val="4"/>
        <w:bidi w:val="0"/>
      </w:pPr>
      <w:bookmarkStart w:id="3" w:name="_Toc8524"/>
      <w:r>
        <w:rPr>
          <w:rFonts w:hint="eastAsia"/>
          <w:lang w:val="en-US" w:eastAsia="zh-CN"/>
        </w:rPr>
        <w:t xml:space="preserve">1.3 </w:t>
      </w:r>
      <w:r>
        <w:t>施工环境和气候条件</w:t>
      </w:r>
      <w:bookmarkEnd w:id="3"/>
    </w:p>
    <w:p w14:paraId="662E1E6D">
      <w:pPr>
        <w:bidi w:val="0"/>
        <w:rPr>
          <w:rFonts w:hint="default" w:eastAsia="宋体"/>
          <w:lang w:val="en-US" w:eastAsia="zh-CN"/>
        </w:rPr>
      </w:pPr>
      <w:r>
        <w:t>主要影响</w:t>
      </w:r>
      <w:r>
        <w:rPr>
          <w:rFonts w:hint="eastAsia"/>
          <w:lang w:val="en-US" w:eastAsia="zh-CN"/>
        </w:rPr>
        <w:t>外保温</w:t>
      </w:r>
      <w:r>
        <w:t>实施的周边气候、 环境、</w:t>
      </w:r>
      <w:r>
        <w:rPr>
          <w:rFonts w:hint="eastAsia"/>
          <w:lang w:val="en-US" w:eastAsia="zh-CN"/>
        </w:rPr>
        <w:t>材料堆放场地等</w:t>
      </w:r>
      <w:r>
        <w:t>潜在主要危险源外部环境。</w:t>
      </w:r>
      <w:r>
        <w:rPr>
          <w:rFonts w:hint="eastAsia"/>
          <w:lang w:val="en-US" w:eastAsia="zh-CN"/>
        </w:rPr>
        <w:t>含义解释:</w:t>
      </w:r>
    </w:p>
    <w:p w14:paraId="38DE54AB">
      <w:pPr>
        <w:pStyle w:val="2"/>
        <w:rPr>
          <w:rFonts w:hint="default" w:eastAsia="宋体"/>
          <w:lang w:val="en-US" w:eastAsia="zh-CN"/>
        </w:rPr>
      </w:pPr>
      <w:r>
        <w:t>气候</w:t>
      </w:r>
      <w:r>
        <w:rPr>
          <w:rFonts w:hint="eastAsia"/>
          <w:lang w:val="en-US" w:eastAsia="zh-CN"/>
        </w:rPr>
        <w:t>：天气环境，刮风、下雨等影响高空作业。</w:t>
      </w:r>
    </w:p>
    <w:p w14:paraId="28379CE9">
      <w:pPr>
        <w:pStyle w:val="2"/>
        <w:rPr>
          <w:rFonts w:hint="eastAsia"/>
          <w:lang w:val="en-US" w:eastAsia="zh-CN"/>
        </w:rPr>
      </w:pPr>
      <w:r>
        <w:t>环境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高空作业，周围环境，警戒线等。</w:t>
      </w:r>
    </w:p>
    <w:p w14:paraId="34D8C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材料堆放场地：材料存放地方。</w:t>
      </w:r>
    </w:p>
    <w:p w14:paraId="0B6DD1B1">
      <w:pPr>
        <w:pStyle w:val="2"/>
        <w:rPr>
          <w:rFonts w:hint="default"/>
          <w:lang w:val="en-US" w:eastAsia="zh-CN"/>
        </w:rPr>
      </w:pPr>
    </w:p>
    <w:p w14:paraId="47BB8C86">
      <w:pPr>
        <w:pStyle w:val="4"/>
        <w:bidi w:val="0"/>
      </w:pPr>
      <w:bookmarkStart w:id="4" w:name="_Toc26446"/>
      <w:r>
        <w:rPr>
          <w:rFonts w:hint="eastAsia"/>
          <w:lang w:val="en-US" w:eastAsia="zh-CN"/>
        </w:rPr>
        <w:t xml:space="preserve">1.4 </w:t>
      </w:r>
      <w:r>
        <w:t>主要施工单位</w:t>
      </w:r>
      <w:bookmarkEnd w:id="4"/>
    </w:p>
    <w:p w14:paraId="1D5C1B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尤其是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保温材料厂家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、</w:t>
      </w:r>
      <w:r>
        <w:rPr>
          <w:rFonts w:hint="eastAsia" w:ascii="宋体" w:hAnsi="宋体" w:cs="宋体"/>
          <w:sz w:val="28"/>
          <w:szCs w:val="28"/>
          <w:lang w:val="zh-CN" w:eastAsia="zh-CN"/>
        </w:rPr>
        <w:t>参建各方责任主体单位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劳务班组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等情况。</w:t>
      </w:r>
    </w:p>
    <w:p w14:paraId="07765918">
      <w:pPr>
        <w:pStyle w:val="2"/>
      </w:pPr>
    </w:p>
    <w:p w14:paraId="550B37C2">
      <w:pPr>
        <w:pStyle w:val="4"/>
        <w:bidi w:val="0"/>
      </w:pPr>
      <w:bookmarkStart w:id="5" w:name="_Toc29638"/>
      <w:r>
        <w:rPr>
          <w:rFonts w:hint="eastAsia"/>
          <w:lang w:val="en-US" w:eastAsia="zh-CN"/>
        </w:rPr>
        <w:t xml:space="preserve">1.5 </w:t>
      </w:r>
      <w:r>
        <w:t>本方案的施工难点</w:t>
      </w:r>
      <w:r>
        <w:rPr>
          <w:rFonts w:hint="eastAsia"/>
          <w:lang w:val="en-US" w:eastAsia="zh-CN"/>
        </w:rPr>
        <w:t>及</w:t>
      </w:r>
      <w:r>
        <w:t>要点</w:t>
      </w:r>
      <w:bookmarkEnd w:id="5"/>
    </w:p>
    <w:p w14:paraId="726BA2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技术方面难点，管理（管理人员、管理材料等）方面难点。</w:t>
      </w:r>
    </w:p>
    <w:p w14:paraId="1D23E4C2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</w:p>
    <w:p w14:paraId="0B65C157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6" w:name="_Toc27672"/>
      <w:r>
        <w:rPr>
          <w:rFonts w:hint="eastAsia" w:ascii="Times New Roman" w:hAnsi="Times New Roman" w:eastAsia="黑体" w:cs="Times New Roman"/>
          <w:b/>
          <w:kern w:val="44"/>
          <w:sz w:val="32"/>
        </w:rPr>
        <w:t>二、</w:t>
      </w:r>
      <w:r>
        <w:t>编制依据</w:t>
      </w:r>
      <w:bookmarkEnd w:id="6"/>
    </w:p>
    <w:p w14:paraId="405DC7F5">
      <w:pPr>
        <w:pStyle w:val="4"/>
        <w:bidi w:val="0"/>
      </w:pPr>
      <w:bookmarkStart w:id="7" w:name="_Toc15971"/>
      <w:r>
        <w:t>2.1</w:t>
      </w:r>
      <w:r>
        <w:rPr>
          <w:rFonts w:hint="eastAsia"/>
          <w:lang w:val="en-US" w:eastAsia="zh-CN"/>
        </w:rPr>
        <w:t xml:space="preserve"> </w:t>
      </w:r>
      <w:r>
        <w:t>法律依据</w:t>
      </w:r>
      <w:bookmarkEnd w:id="7"/>
    </w:p>
    <w:p w14:paraId="58F28C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本方案涉及的主要法律法规。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不少于5个；</w:t>
      </w:r>
    </w:p>
    <w:p w14:paraId="7F2E6ADC">
      <w:pPr>
        <w:pStyle w:val="4"/>
        <w:bidi w:val="0"/>
      </w:pPr>
      <w:bookmarkStart w:id="8" w:name="_Toc6256"/>
      <w:r>
        <w:t>2.2</w:t>
      </w:r>
      <w:r>
        <w:rPr>
          <w:rFonts w:hint="eastAsia"/>
          <w:lang w:val="en-US" w:eastAsia="zh-CN"/>
        </w:rPr>
        <w:t xml:space="preserve"> </w:t>
      </w:r>
      <w:r>
        <w:t>规范标准</w:t>
      </w:r>
      <w:bookmarkEnd w:id="8"/>
    </w:p>
    <w:p w14:paraId="1E1D56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明确应用的规范、标准。按照GB、GB/T、JGJ、 DB 等顺序依次明确切实相关规范标准。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规范尽量齐全，主要规范不缺失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）</w:t>
      </w:r>
    </w:p>
    <w:p w14:paraId="154F146D">
      <w:pPr>
        <w:pStyle w:val="4"/>
        <w:bidi w:val="0"/>
      </w:pPr>
      <w:bookmarkStart w:id="9" w:name="_Toc20335"/>
      <w:r>
        <w:rPr>
          <w:rFonts w:hint="eastAsia"/>
          <w:lang w:val="en-US" w:eastAsia="zh-CN"/>
        </w:rPr>
        <w:t xml:space="preserve">2.3 </w:t>
      </w:r>
      <w:r>
        <w:t>项目文件</w:t>
      </w:r>
      <w:bookmarkEnd w:id="9"/>
    </w:p>
    <w:p w14:paraId="6DC2F28B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列举</w:t>
      </w:r>
      <w:r>
        <w:t>设计图纸、专业合同</w:t>
      </w:r>
      <w:r>
        <w:rPr>
          <w:rFonts w:hint="eastAsia"/>
          <w:lang w:eastAsia="zh-CN"/>
        </w:rPr>
        <w:t>、</w:t>
      </w:r>
      <w:r>
        <w:t>其他项目提供的主要依据报告等。</w:t>
      </w:r>
    </w:p>
    <w:p w14:paraId="55609AD6">
      <w:pPr>
        <w:pStyle w:val="4"/>
        <w:bidi w:val="0"/>
      </w:pPr>
      <w:bookmarkStart w:id="10" w:name="_Toc29481"/>
      <w:r>
        <w:t>2.4</w:t>
      </w:r>
      <w:r>
        <w:rPr>
          <w:rFonts w:hint="eastAsia"/>
          <w:lang w:val="en-US" w:eastAsia="zh-CN"/>
        </w:rPr>
        <w:t xml:space="preserve"> </w:t>
      </w:r>
      <w:r>
        <w:t>施工组织设计</w:t>
      </w:r>
      <w:bookmarkEnd w:id="10"/>
    </w:p>
    <w:p w14:paraId="548D0DC1">
      <w:pPr>
        <w:pStyle w:val="2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列举专项工程、</w:t>
      </w:r>
      <w:r>
        <w:t xml:space="preserve"> </w:t>
      </w:r>
      <w:r>
        <w:rPr>
          <w:rFonts w:hint="eastAsia"/>
          <w:lang w:val="en-US" w:eastAsia="zh-CN"/>
        </w:rPr>
        <w:t>单位、单项工程、建设工程等施工组织设计。</w:t>
      </w:r>
    </w:p>
    <w:p w14:paraId="3AF8C027">
      <w:pPr>
        <w:pStyle w:val="4"/>
        <w:bidi w:val="0"/>
      </w:pPr>
      <w:bookmarkStart w:id="11" w:name="_Toc9543"/>
      <w:r>
        <w:t>2.5</w:t>
      </w:r>
      <w:r>
        <w:rPr>
          <w:rFonts w:hint="eastAsia"/>
          <w:lang w:val="en-US" w:eastAsia="zh-CN"/>
        </w:rPr>
        <w:t xml:space="preserve"> </w:t>
      </w:r>
      <w:r>
        <w:t>企业标准及文件</w:t>
      </w:r>
      <w:bookmarkEnd w:id="11"/>
    </w:p>
    <w:p w14:paraId="3C1B3DFF">
      <w:pPr>
        <w:bidi w:val="0"/>
      </w:pPr>
      <w:r>
        <w:t>与本方案相关的企业标准</w:t>
      </w:r>
      <w:r>
        <w:rPr>
          <w:rFonts w:hint="eastAsia"/>
          <w:lang w:val="en-US" w:eastAsia="zh-CN"/>
        </w:rPr>
        <w:t>(包含总公司)</w:t>
      </w:r>
      <w:r>
        <w:t xml:space="preserve">。 </w:t>
      </w:r>
    </w:p>
    <w:p w14:paraId="72179754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12" w:name="_Toc4285"/>
      <w:r>
        <w:rPr>
          <w:rFonts w:hint="eastAsia" w:ascii="Times New Roman" w:hAnsi="Times New Roman" w:eastAsia="黑体" w:cs="Times New Roman"/>
          <w:b/>
          <w:kern w:val="44"/>
          <w:sz w:val="32"/>
        </w:rPr>
        <w:t>三、</w:t>
      </w:r>
      <w:r>
        <w:t>总体要求及控制目标</w:t>
      </w:r>
      <w:bookmarkEnd w:id="12"/>
      <w:r>
        <w:t xml:space="preserve"> </w:t>
      </w:r>
    </w:p>
    <w:p w14:paraId="57B698EA">
      <w:pPr>
        <w:pStyle w:val="4"/>
        <w:bidi w:val="0"/>
      </w:pPr>
      <w:bookmarkStart w:id="13" w:name="_Toc31706"/>
      <w:r>
        <w:t>3.1</w:t>
      </w:r>
      <w:r>
        <w:rPr>
          <w:rFonts w:hint="eastAsia"/>
          <w:lang w:val="en-US" w:eastAsia="zh-CN"/>
        </w:rPr>
        <w:t xml:space="preserve"> </w:t>
      </w:r>
      <w:r>
        <w:t>进度目标</w:t>
      </w:r>
      <w:bookmarkEnd w:id="13"/>
    </w:p>
    <w:p w14:paraId="21ABE81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合同或建设单位约定的总体进度目标，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不同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外保温材料或单体</w:t>
      </w:r>
      <w:r>
        <w:rPr>
          <w:rFonts w:ascii="宋体" w:hAnsi="宋体" w:eastAsia="宋体" w:cs="宋体"/>
          <w:sz w:val="28"/>
          <w:szCs w:val="28"/>
        </w:rPr>
        <w:t xml:space="preserve">进度目标。 </w:t>
      </w:r>
    </w:p>
    <w:p w14:paraId="4D559881">
      <w:pPr>
        <w:pStyle w:val="4"/>
        <w:bidi w:val="0"/>
      </w:pPr>
      <w:bookmarkStart w:id="14" w:name="_Toc22835"/>
      <w:r>
        <w:t>3.2</w:t>
      </w:r>
      <w:r>
        <w:rPr>
          <w:rFonts w:hint="eastAsia"/>
          <w:lang w:val="en-US" w:eastAsia="zh-CN"/>
        </w:rPr>
        <w:t xml:space="preserve"> </w:t>
      </w:r>
      <w:r>
        <w:t>总体质量目标</w:t>
      </w:r>
      <w:bookmarkEnd w:id="14"/>
    </w:p>
    <w:p w14:paraId="1562FAE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合同或建设单位约定的总体质量目标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或者企业目标责任书目标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2C5D1897">
      <w:pPr>
        <w:pStyle w:val="4"/>
        <w:bidi w:val="0"/>
      </w:pPr>
      <w:bookmarkStart w:id="15" w:name="_Toc12168"/>
      <w:r>
        <w:t>3.3</w:t>
      </w:r>
      <w:r>
        <w:rPr>
          <w:rFonts w:hint="eastAsia"/>
          <w:lang w:val="en-US" w:eastAsia="zh-CN"/>
        </w:rPr>
        <w:t xml:space="preserve"> </w:t>
      </w:r>
      <w:r>
        <w:t>分项工程控制目标</w:t>
      </w:r>
      <w:bookmarkEnd w:id="15"/>
    </w:p>
    <w:p w14:paraId="1AA6623B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说明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</w:t>
      </w:r>
      <w:r>
        <w:rPr>
          <w:rFonts w:ascii="宋体" w:hAnsi="宋体" w:eastAsia="宋体" w:cs="宋体"/>
          <w:sz w:val="28"/>
          <w:szCs w:val="28"/>
        </w:rPr>
        <w:t>要达到具体的定性或定量的目标要求。</w:t>
      </w:r>
    </w:p>
    <w:p w14:paraId="037A7E3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例</w:t>
      </w:r>
      <w:r>
        <w:rPr>
          <w:rFonts w:ascii="宋体" w:hAnsi="宋体" w:eastAsia="宋体" w:cs="宋体"/>
          <w:sz w:val="28"/>
          <w:szCs w:val="28"/>
        </w:rPr>
        <w:t xml:space="preserve">如：所有检验批主控项目全部合格，一般项目满足规范规定要求。观感质量“好”。 </w:t>
      </w:r>
    </w:p>
    <w:p w14:paraId="16AAE627">
      <w:pPr>
        <w:pStyle w:val="4"/>
        <w:bidi w:val="0"/>
      </w:pPr>
      <w:bookmarkStart w:id="16" w:name="_Toc16922"/>
      <w:r>
        <w:t>3.4</w:t>
      </w:r>
      <w:r>
        <w:rPr>
          <w:rFonts w:hint="eastAsia"/>
          <w:lang w:val="en-US" w:eastAsia="zh-CN"/>
        </w:rPr>
        <w:t xml:space="preserve"> </w:t>
      </w:r>
      <w:r>
        <w:t>分项工程检验批划分</w:t>
      </w:r>
      <w:bookmarkEnd w:id="16"/>
    </w:p>
    <w:p w14:paraId="6CB3BC4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以表格形式明确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</w:t>
      </w:r>
      <w:r>
        <w:rPr>
          <w:rFonts w:ascii="宋体" w:hAnsi="宋体" w:eastAsia="宋体" w:cs="宋体"/>
          <w:sz w:val="28"/>
          <w:szCs w:val="28"/>
        </w:rPr>
        <w:t>涉及的检验批数量或划分要求。</w:t>
      </w:r>
    </w:p>
    <w:p w14:paraId="2C3F2A67">
      <w:pPr>
        <w:pStyle w:val="2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</w:p>
    <w:p w14:paraId="79A0B894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17" w:name="_Toc26535"/>
      <w:r>
        <w:rPr>
          <w:rFonts w:hint="eastAsia" w:ascii="Times New Roman" w:hAnsi="Times New Roman" w:eastAsia="黑体" w:cs="Times New Roman"/>
          <w:b/>
          <w:kern w:val="44"/>
          <w:sz w:val="32"/>
        </w:rPr>
        <w:t>四、</w:t>
      </w:r>
      <w:r>
        <w:t>施工部署及技术准备</w:t>
      </w:r>
      <w:bookmarkEnd w:id="17"/>
      <w:r>
        <w:t xml:space="preserve"> </w:t>
      </w:r>
    </w:p>
    <w:p w14:paraId="55311F08">
      <w:pPr>
        <w:pStyle w:val="4"/>
        <w:bidi w:val="0"/>
      </w:pPr>
      <w:bookmarkStart w:id="18" w:name="_Toc17763"/>
      <w:r>
        <w:t>4.1</w:t>
      </w:r>
      <w:r>
        <w:rPr>
          <w:rFonts w:hint="eastAsia"/>
          <w:lang w:val="en-US" w:eastAsia="zh-CN"/>
        </w:rPr>
        <w:t xml:space="preserve"> </w:t>
      </w:r>
      <w:r>
        <w:t>施工部署</w:t>
      </w:r>
      <w:bookmarkEnd w:id="18"/>
    </w:p>
    <w:p w14:paraId="39A25408">
      <w:pPr>
        <w:bidi w:val="0"/>
      </w:pPr>
      <w:r>
        <w:t>说明</w:t>
      </w:r>
      <w:r>
        <w:rPr>
          <w:rFonts w:hint="eastAsia"/>
          <w:lang w:val="en-US" w:eastAsia="zh-CN"/>
        </w:rPr>
        <w:t>外保温</w:t>
      </w:r>
      <w:r>
        <w:t>施工的总体安排情况，包括</w:t>
      </w:r>
      <w:r>
        <w:rPr>
          <w:rFonts w:hint="eastAsia"/>
          <w:lang w:val="en-US" w:eastAsia="zh-CN"/>
        </w:rPr>
        <w:t>不同外墙保温材料或者单体</w:t>
      </w:r>
      <w:r>
        <w:t>施工顺序、</w:t>
      </w:r>
      <w:r>
        <w:rPr>
          <w:rFonts w:hint="eastAsia"/>
          <w:lang w:val="en-US" w:eastAsia="zh-CN"/>
        </w:rPr>
        <w:t>劳务</w:t>
      </w:r>
      <w:r>
        <w:t>队伍安排、现场平面总体布置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保温材料场地</w:t>
      </w:r>
      <w:r>
        <w:rPr>
          <w:rFonts w:hint="eastAsia"/>
          <w:lang w:eastAsia="zh-CN"/>
        </w:rPr>
        <w:t>）</w:t>
      </w:r>
      <w:r>
        <w:t>等。</w:t>
      </w:r>
    </w:p>
    <w:p w14:paraId="77F93D73">
      <w:pPr>
        <w:pStyle w:val="4"/>
        <w:bidi w:val="0"/>
      </w:pPr>
      <w:bookmarkStart w:id="19" w:name="_Toc20083"/>
      <w:r>
        <w:t>4.2</w:t>
      </w:r>
      <w:r>
        <w:rPr>
          <w:rFonts w:hint="eastAsia"/>
          <w:lang w:val="en-US" w:eastAsia="zh-CN"/>
        </w:rPr>
        <w:t xml:space="preserve"> </w:t>
      </w:r>
      <w:r>
        <w:t>技术准备</w:t>
      </w:r>
      <w:bookmarkEnd w:id="19"/>
    </w:p>
    <w:p w14:paraId="3EE2C462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涉及到四新技术，需要将技术、工艺、材料、设备进行说明。例如外保温新技术、新设备内容、BIM技术应用要求、外保温部位的深化、管理人员，测量仪器，送检试验、外保温实体样板等要求。</w:t>
      </w:r>
    </w:p>
    <w:p w14:paraId="0157AC0A">
      <w:pPr>
        <w:ind w:left="0" w:leftChars="0" w:firstLine="0" w:firstLineChars="0"/>
        <w:rPr>
          <w:rFonts w:hint="default"/>
          <w:lang w:val="en-US"/>
        </w:rPr>
      </w:pPr>
    </w:p>
    <w:p w14:paraId="58515A22">
      <w:pPr>
        <w:pStyle w:val="4"/>
        <w:bidi w:val="0"/>
      </w:pPr>
      <w:bookmarkStart w:id="20" w:name="_Toc25645"/>
      <w:r>
        <w:t>4.3</w:t>
      </w:r>
      <w:r>
        <w:rPr>
          <w:rFonts w:hint="eastAsia"/>
          <w:lang w:val="en-US" w:eastAsia="zh-CN"/>
        </w:rPr>
        <w:t xml:space="preserve"> </w:t>
      </w:r>
      <w:r>
        <w:t>方案及技术交底要求</w:t>
      </w:r>
      <w:bookmarkEnd w:id="20"/>
    </w:p>
    <w:p w14:paraId="594EEB1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方案要求（编制时间，审核时间，编制人等）、交底要求（交底人，被交底人，交底时间，交底的形式等）。</w:t>
      </w:r>
    </w:p>
    <w:p w14:paraId="5B2C5CB3">
      <w:pPr>
        <w:pStyle w:val="4"/>
        <w:bidi w:val="0"/>
      </w:pPr>
      <w:bookmarkStart w:id="21" w:name="_Toc2354"/>
      <w:r>
        <w:t>4.4</w:t>
      </w:r>
      <w:r>
        <w:rPr>
          <w:rFonts w:hint="eastAsia"/>
          <w:lang w:val="en-US" w:eastAsia="zh-CN"/>
        </w:rPr>
        <w:t xml:space="preserve"> </w:t>
      </w:r>
      <w:r>
        <w:t>管理人员配备及要求</w:t>
      </w:r>
      <w:bookmarkEnd w:id="21"/>
    </w:p>
    <w:p w14:paraId="6B55F2AF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主要为名单、职责；</w:t>
      </w:r>
    </w:p>
    <w:p w14:paraId="6771FA7C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22" w:name="_Toc15543"/>
      <w:r>
        <w:rPr>
          <w:rFonts w:hint="eastAsia" w:ascii="Times New Roman" w:hAnsi="Times New Roman" w:eastAsia="黑体" w:cs="Times New Roman"/>
          <w:b/>
          <w:kern w:val="44"/>
          <w:sz w:val="32"/>
        </w:rPr>
        <w:t>五、</w:t>
      </w:r>
      <w:r>
        <w:t>施工计划</w:t>
      </w:r>
      <w:bookmarkEnd w:id="22"/>
      <w:r>
        <w:t xml:space="preserve"> </w:t>
      </w:r>
    </w:p>
    <w:p w14:paraId="53786B54">
      <w:pPr>
        <w:pStyle w:val="4"/>
        <w:bidi w:val="0"/>
      </w:pPr>
      <w:bookmarkStart w:id="23" w:name="_Toc31449"/>
      <w:r>
        <w:t>5.1</w:t>
      </w:r>
      <w:r>
        <w:rPr>
          <w:rFonts w:hint="eastAsia"/>
          <w:lang w:val="en-US" w:eastAsia="zh-CN"/>
        </w:rPr>
        <w:t xml:space="preserve"> </w:t>
      </w:r>
      <w:r>
        <w:t>进度计划</w:t>
      </w:r>
      <w:bookmarkEnd w:id="23"/>
    </w:p>
    <w:p w14:paraId="67E369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涉及外保温内容总体进度安排，不同外保温材料或者单体施工队伍进度要求。 </w:t>
      </w:r>
    </w:p>
    <w:p w14:paraId="4D7DD49E">
      <w:pPr>
        <w:pStyle w:val="4"/>
        <w:bidi w:val="0"/>
      </w:pPr>
      <w:bookmarkStart w:id="24" w:name="_Toc13588"/>
      <w:r>
        <w:t>5.2</w:t>
      </w:r>
      <w:r>
        <w:rPr>
          <w:rFonts w:hint="eastAsia"/>
          <w:lang w:val="en-US" w:eastAsia="zh-CN"/>
        </w:rPr>
        <w:t xml:space="preserve"> </w:t>
      </w:r>
      <w:r>
        <w:t>材料计划及要求</w:t>
      </w:r>
      <w:bookmarkEnd w:id="24"/>
    </w:p>
    <w:p w14:paraId="408830C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zh-CN"/>
        </w:rPr>
        <w:t>选用的材料进出场明细表</w:t>
      </w:r>
      <w:r>
        <w:rPr>
          <w:rFonts w:hint="eastAsia" w:ascii="宋体" w:hAnsi="宋体" w:cs="宋体"/>
          <w:sz w:val="28"/>
          <w:szCs w:val="28"/>
          <w:lang w:val="zh-CN"/>
        </w:rPr>
        <w:t>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时间和数量</w:t>
      </w:r>
      <w:r>
        <w:rPr>
          <w:rFonts w:hint="eastAsia" w:ascii="宋体" w:hAnsi="宋体" w:cs="宋体"/>
          <w:sz w:val="28"/>
          <w:szCs w:val="28"/>
          <w:lang w:val="zh-CN"/>
        </w:rPr>
        <w:t>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材料性能及指标要求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0B12FCFC">
      <w:pPr>
        <w:pStyle w:val="4"/>
        <w:bidi w:val="0"/>
      </w:pPr>
      <w:bookmarkStart w:id="25" w:name="_Toc27763"/>
      <w:r>
        <w:t>5.3</w:t>
      </w:r>
      <w:r>
        <w:rPr>
          <w:rFonts w:hint="eastAsia"/>
          <w:lang w:val="en-US" w:eastAsia="zh-CN"/>
        </w:rPr>
        <w:t xml:space="preserve"> </w:t>
      </w:r>
      <w:r>
        <w:t>设备计划及要求</w:t>
      </w:r>
      <w:bookmarkEnd w:id="25"/>
    </w:p>
    <w:p w14:paraId="091F3FB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zh-CN"/>
        </w:rPr>
        <w:t>选用的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设备（工器具）</w:t>
      </w:r>
      <w:r>
        <w:rPr>
          <w:rFonts w:hint="eastAsia" w:ascii="宋体" w:hAnsi="宋体" w:eastAsia="宋体" w:cs="宋体"/>
          <w:sz w:val="28"/>
          <w:szCs w:val="28"/>
          <w:lang w:val="zh-CN"/>
        </w:rPr>
        <w:t>进出场明细表</w:t>
      </w:r>
      <w:r>
        <w:rPr>
          <w:rFonts w:hint="eastAsia" w:ascii="宋体" w:hAnsi="宋体" w:cs="宋体"/>
          <w:sz w:val="28"/>
          <w:szCs w:val="28"/>
          <w:lang w:val="zh-CN"/>
        </w:rPr>
        <w:t>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时间和数量</w:t>
      </w:r>
      <w:r>
        <w:rPr>
          <w:rFonts w:hint="eastAsia" w:ascii="宋体" w:hAnsi="宋体" w:cs="宋体"/>
          <w:sz w:val="28"/>
          <w:szCs w:val="28"/>
          <w:lang w:val="zh-CN"/>
        </w:rPr>
        <w:t>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材料性能及指标要求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B9884C3">
      <w:pPr>
        <w:pStyle w:val="4"/>
        <w:bidi w:val="0"/>
      </w:pPr>
      <w:bookmarkStart w:id="26" w:name="_Toc2136"/>
      <w:r>
        <w:t>5.4</w:t>
      </w:r>
      <w:r>
        <w:rPr>
          <w:rFonts w:hint="eastAsia"/>
          <w:lang w:val="en-US" w:eastAsia="zh-CN"/>
        </w:rPr>
        <w:t xml:space="preserve"> </w:t>
      </w:r>
      <w:r>
        <w:t>劳动力计划</w:t>
      </w:r>
      <w:bookmarkEnd w:id="26"/>
    </w:p>
    <w:p w14:paraId="0E3BFD5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施工队伍要求，每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个</w:t>
      </w:r>
      <w:r>
        <w:rPr>
          <w:rFonts w:ascii="宋体" w:hAnsi="宋体" w:eastAsia="宋体" w:cs="宋体"/>
          <w:sz w:val="28"/>
          <w:szCs w:val="28"/>
        </w:rPr>
        <w:t>施工队伍的人员要求</w:t>
      </w:r>
      <w:r>
        <w:rPr>
          <w:rFonts w:hint="eastAsia" w:ascii="宋体" w:hAnsi="宋体" w:cs="宋体"/>
          <w:sz w:val="28"/>
          <w:szCs w:val="28"/>
          <w:lang w:eastAsia="zh-CN"/>
        </w:rPr>
        <w:t>；</w:t>
      </w:r>
    </w:p>
    <w:p w14:paraId="60505722">
      <w:pPr>
        <w:pStyle w:val="4"/>
        <w:bidi w:val="0"/>
      </w:pPr>
      <w:bookmarkStart w:id="27" w:name="_Toc21010"/>
      <w:r>
        <w:t>5.5</w:t>
      </w:r>
      <w:r>
        <w:rPr>
          <w:rFonts w:hint="eastAsia"/>
          <w:lang w:val="en-US" w:eastAsia="zh-CN"/>
        </w:rPr>
        <w:t xml:space="preserve"> </w:t>
      </w:r>
      <w:r>
        <w:t>特种作业人员要求</w:t>
      </w:r>
      <w:bookmarkEnd w:id="27"/>
    </w:p>
    <w:p w14:paraId="324E3549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明确特种人员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数量</w:t>
      </w:r>
      <w:r>
        <w:rPr>
          <w:rFonts w:hint="eastAsia" w:ascii="宋体" w:hAnsi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工种持证上岗。</w:t>
      </w:r>
    </w:p>
    <w:p w14:paraId="0C6A8CFA">
      <w:pPr>
        <w:pStyle w:val="4"/>
        <w:bidi w:val="0"/>
        <w:rPr>
          <w:rFonts w:hint="eastAsia"/>
          <w:lang w:val="en-US" w:eastAsia="zh-CN"/>
        </w:rPr>
      </w:pPr>
      <w:bookmarkStart w:id="28" w:name="_Toc12886"/>
      <w:r>
        <w:rPr>
          <w:rFonts w:hint="eastAsia"/>
          <w:lang w:val="en-US" w:eastAsia="zh-CN"/>
        </w:rPr>
        <w:t>5.6 细部节点策划</w:t>
      </w:r>
      <w:bookmarkEnd w:id="28"/>
    </w:p>
    <w:p w14:paraId="1517DD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以表格形式明确并附图或说明，窗盘、侧保温施工、凸窗保温施工、阳台、雨棚、空调板保温施工、墙面阴阳角、女儿墙内侧防火隔离带，穿墙螺栓及出墙管预留洞处理等。</w:t>
      </w:r>
    </w:p>
    <w:p w14:paraId="2C65D0D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提示：不同项目不一样，满足相关内容即可。</w:t>
      </w:r>
    </w:p>
    <w:p w14:paraId="2107A2E0">
      <w:pPr>
        <w:rPr>
          <w:rFonts w:hint="default"/>
          <w:lang w:val="en-US" w:eastAsia="zh-CN"/>
        </w:rPr>
      </w:pPr>
    </w:p>
    <w:p w14:paraId="02AD2E2D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29" w:name="_Toc22562"/>
      <w:r>
        <w:rPr>
          <w:rFonts w:hint="eastAsia" w:ascii="Times New Roman" w:hAnsi="Times New Roman" w:eastAsia="黑体" w:cs="Times New Roman"/>
          <w:b/>
          <w:kern w:val="44"/>
          <w:sz w:val="32"/>
        </w:rPr>
        <w:t>六、</w:t>
      </w:r>
      <w:r>
        <w:t>施工流程及操作要求</w:t>
      </w:r>
      <w:bookmarkEnd w:id="29"/>
    </w:p>
    <w:p w14:paraId="6AD64060">
      <w:pPr>
        <w:pStyle w:val="4"/>
        <w:bidi w:val="0"/>
      </w:pPr>
      <w:bookmarkStart w:id="30" w:name="_Toc22057"/>
      <w:r>
        <w:t>6.1</w:t>
      </w:r>
      <w:r>
        <w:rPr>
          <w:rFonts w:hint="eastAsia"/>
          <w:lang w:val="en-US" w:eastAsia="zh-CN"/>
        </w:rPr>
        <w:t xml:space="preserve"> </w:t>
      </w:r>
      <w:r>
        <w:t>工艺流程</w:t>
      </w:r>
      <w:bookmarkEnd w:id="30"/>
    </w:p>
    <w:p w14:paraId="0CECF2C6">
      <w:pPr>
        <w:bidi w:val="0"/>
        <w:rPr>
          <w:rFonts w:hint="eastAsia"/>
          <w:lang w:val="en-US" w:eastAsia="zh-CN"/>
        </w:rPr>
      </w:pPr>
      <w:r>
        <w:t>明确</w:t>
      </w:r>
      <w:r>
        <w:rPr>
          <w:rFonts w:hint="eastAsia"/>
          <w:lang w:val="en-US" w:eastAsia="zh-CN"/>
        </w:rPr>
        <w:t>各种不同保温材料或单位工程</w:t>
      </w:r>
      <w:r>
        <w:t>的主要工艺</w:t>
      </w:r>
      <w:r>
        <w:rPr>
          <w:rFonts w:hint="eastAsia"/>
          <w:lang w:val="en-US" w:eastAsia="zh-CN"/>
        </w:rPr>
        <w:t>流程，材料的进场、保温层、实体样板制作、界面砂浆层、找平层、锚固、抹面层等。</w:t>
      </w:r>
    </w:p>
    <w:p w14:paraId="2B7E6A50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781B2EA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提示：不同项目不一样，满足相关内容即可。</w:t>
      </w:r>
    </w:p>
    <w:p w14:paraId="732D450F">
      <w:pPr>
        <w:rPr>
          <w:rFonts w:hint="default"/>
          <w:lang w:val="en-US" w:eastAsia="zh-CN"/>
        </w:rPr>
      </w:pPr>
    </w:p>
    <w:p w14:paraId="528AB074">
      <w:pPr>
        <w:pStyle w:val="4"/>
        <w:bidi w:val="0"/>
      </w:pPr>
      <w:bookmarkStart w:id="31" w:name="_Toc1090"/>
      <w:r>
        <w:t>6.2</w:t>
      </w:r>
      <w:r>
        <w:rPr>
          <w:rFonts w:hint="eastAsia"/>
          <w:lang w:val="en-US" w:eastAsia="zh-CN"/>
        </w:rPr>
        <w:t xml:space="preserve"> </w:t>
      </w:r>
      <w:r>
        <w:t>操作要求</w:t>
      </w:r>
      <w:bookmarkEnd w:id="31"/>
    </w:p>
    <w:p w14:paraId="4A4A4E35">
      <w:pPr>
        <w:bidi w:val="0"/>
        <w:rPr>
          <w:rFonts w:hint="eastAsia"/>
          <w:lang w:val="en-US" w:eastAsia="zh-CN"/>
        </w:rPr>
      </w:pPr>
      <w:r>
        <w:t>按照流程顺序逐条展开，写每一步施工的</w:t>
      </w:r>
      <w:r>
        <w:rPr>
          <w:rFonts w:hint="eastAsia"/>
          <w:lang w:val="en-US" w:eastAsia="zh-CN"/>
        </w:rPr>
        <w:t>施工方法、</w:t>
      </w:r>
      <w:r>
        <w:t>操作要求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以实体效果图片表达施工动态过程。</w:t>
      </w:r>
    </w:p>
    <w:p w14:paraId="5CA9343A">
      <w:pPr>
        <w:pStyle w:val="2"/>
        <w:rPr>
          <w:rFonts w:hint="default"/>
          <w:lang w:val="en-US" w:eastAsia="zh-CN"/>
        </w:rPr>
      </w:pPr>
    </w:p>
    <w:p w14:paraId="3513DB4E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32" w:name="_Toc24089"/>
      <w:r>
        <w:rPr>
          <w:rFonts w:hint="eastAsia" w:ascii="Times New Roman" w:hAnsi="Times New Roman" w:eastAsia="黑体" w:cs="Times New Roman"/>
          <w:b/>
          <w:kern w:val="44"/>
          <w:sz w:val="32"/>
        </w:rPr>
        <w:t>七、</w:t>
      </w:r>
      <w:r>
        <w:t>检测及验收与要求</w:t>
      </w:r>
      <w:bookmarkEnd w:id="32"/>
      <w:r>
        <w:t xml:space="preserve"> </w:t>
      </w:r>
    </w:p>
    <w:p w14:paraId="2C4B9B89">
      <w:pPr>
        <w:pStyle w:val="4"/>
        <w:bidi w:val="0"/>
      </w:pPr>
      <w:bookmarkStart w:id="33" w:name="_Toc19998"/>
      <w:r>
        <w:t>7.1</w:t>
      </w:r>
      <w:r>
        <w:rPr>
          <w:rFonts w:hint="eastAsia"/>
          <w:lang w:val="en-US" w:eastAsia="zh-CN"/>
        </w:rPr>
        <w:t xml:space="preserve"> </w:t>
      </w:r>
      <w:r>
        <w:t>材料检验试验计划及要求</w:t>
      </w:r>
      <w:bookmarkEnd w:id="33"/>
    </w:p>
    <w:p w14:paraId="560887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试验计划列表，写清楚试验的内容，开始时间，完成时间，试验的具体要求和达到的合格标准： 例如保温板抗拉强度试验、拉伸粘结强度试验、系统热阻试验、抹面层不透水性试验、防护层水蒸气渗透性能试验、系统吸水量试验、系统抗冲击性试验、系统抗冲击性试验、系统耐候性试验、试样制备、养护和状态调节。</w:t>
      </w:r>
    </w:p>
    <w:p w14:paraId="114760D9">
      <w:pPr>
        <w:pStyle w:val="4"/>
        <w:bidi w:val="0"/>
        <w:rPr>
          <w:rFonts w:hint="eastAsia"/>
        </w:rPr>
      </w:pPr>
      <w:bookmarkStart w:id="34" w:name="_Toc18336"/>
      <w:r>
        <w:rPr>
          <w:rFonts w:hint="eastAsia"/>
        </w:rPr>
        <w:t>7.2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专项检测要求</w:t>
      </w:r>
      <w:bookmarkEnd w:id="34"/>
    </w:p>
    <w:p w14:paraId="5E0D6A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外观检测、</w:t>
      </w:r>
      <w:r>
        <w:rPr>
          <w:rFonts w:hint="eastAsia"/>
        </w:rPr>
        <w:t>保温材料的种类和厚度检测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后置锚固件检测</w:t>
      </w:r>
      <w:r>
        <w:rPr>
          <w:rFonts w:hint="eastAsia"/>
          <w:lang w:eastAsia="zh-CN"/>
        </w:rPr>
        <w:t>、</w:t>
      </w:r>
      <w:r>
        <w:rPr>
          <w:rFonts w:hint="eastAsia"/>
        </w:rPr>
        <w:t>保温板与基层拉伸粘结强度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材料质量检测</w:t>
      </w:r>
      <w:r>
        <w:rPr>
          <w:rFonts w:hint="eastAsia"/>
          <w:lang w:val="en-US" w:eastAsia="zh-CN"/>
        </w:rPr>
        <w:t>等。</w:t>
      </w:r>
    </w:p>
    <w:p w14:paraId="21CBCCF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对整体的检测</w:t>
      </w:r>
    </w:p>
    <w:p w14:paraId="07B3C4EB">
      <w:pPr>
        <w:pStyle w:val="4"/>
        <w:bidi w:val="0"/>
      </w:pPr>
      <w:bookmarkStart w:id="35" w:name="_Toc30683"/>
      <w:r>
        <w:t>7.3</w:t>
      </w:r>
      <w:r>
        <w:rPr>
          <w:rFonts w:hint="eastAsia"/>
          <w:lang w:val="en-US" w:eastAsia="zh-CN"/>
        </w:rPr>
        <w:t xml:space="preserve"> </w:t>
      </w:r>
      <w:r>
        <w:t>质量验收标准</w:t>
      </w:r>
      <w:bookmarkEnd w:id="35"/>
    </w:p>
    <w:p w14:paraId="0A3BCA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20" w:firstLineChars="0"/>
        <w:textAlignment w:val="auto"/>
        <w:outlineLvl w:val="9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根据</w:t>
      </w:r>
      <w:r>
        <w:rPr>
          <w:rFonts w:hint="eastAsia" w:ascii="宋体" w:hAnsi="宋体" w:eastAsia="宋体" w:cs="宋体"/>
          <w:sz w:val="28"/>
          <w:szCs w:val="28"/>
        </w:rPr>
        <w:t>施工工艺明确相关验收标准及验收条件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 w14:paraId="289E3A3A">
      <w:pPr>
        <w:pStyle w:val="2"/>
        <w:rPr>
          <w:rFonts w:hint="eastAsia"/>
          <w:lang w:eastAsia="zh-CN"/>
        </w:rPr>
      </w:pPr>
    </w:p>
    <w:p w14:paraId="63645C41">
      <w:pPr>
        <w:pStyle w:val="4"/>
        <w:bidi w:val="0"/>
      </w:pPr>
      <w:bookmarkStart w:id="36" w:name="_Toc25750"/>
      <w:r>
        <w:t>7.4</w:t>
      </w:r>
      <w:r>
        <w:rPr>
          <w:rFonts w:hint="eastAsia"/>
          <w:lang w:val="en-US" w:eastAsia="zh-CN"/>
        </w:rPr>
        <w:t xml:space="preserve"> </w:t>
      </w:r>
      <w:r>
        <w:t>质量验收人员及程序</w:t>
      </w:r>
      <w:bookmarkEnd w:id="36"/>
    </w:p>
    <w:p w14:paraId="385597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具体验收程序，确定验收人员组成（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建设、设计、</w:t>
      </w:r>
      <w:r>
        <w:rPr>
          <w:rFonts w:hint="eastAsia" w:ascii="宋体" w:hAnsi="宋体" w:eastAsia="宋体" w:cs="宋体"/>
          <w:sz w:val="28"/>
          <w:szCs w:val="28"/>
        </w:rPr>
        <w:t>施工、监理、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检测</w:t>
      </w:r>
      <w:r>
        <w:rPr>
          <w:rFonts w:hint="eastAsia" w:ascii="宋体" w:hAnsi="宋体" w:eastAsia="宋体" w:cs="宋体"/>
          <w:sz w:val="28"/>
          <w:szCs w:val="28"/>
        </w:rPr>
        <w:t>等单位相关负责人）。</w:t>
      </w:r>
    </w:p>
    <w:p w14:paraId="30BF9D09">
      <w:pPr>
        <w:pStyle w:val="4"/>
        <w:bidi w:val="0"/>
      </w:pPr>
      <w:bookmarkStart w:id="37" w:name="_Toc27407"/>
      <w:r>
        <w:t>7.5</w:t>
      </w:r>
      <w:r>
        <w:rPr>
          <w:rFonts w:hint="eastAsia"/>
          <w:lang w:val="en-US" w:eastAsia="zh-CN"/>
        </w:rPr>
        <w:t xml:space="preserve"> </w:t>
      </w:r>
      <w:r>
        <w:t>验收主要内容</w:t>
      </w:r>
      <w:bookmarkEnd w:id="37"/>
    </w:p>
    <w:p w14:paraId="1045DD57">
      <w:pPr>
        <w:bidi w:val="0"/>
        <w:rPr>
          <w:rFonts w:hint="eastAsia"/>
          <w:lang w:eastAsia="zh-CN"/>
        </w:rPr>
      </w:pPr>
      <w:r>
        <w:rPr>
          <w:rFonts w:hint="eastAsia"/>
          <w:lang w:val="zh-CN"/>
        </w:rPr>
        <w:t>材料构配件及质量、</w:t>
      </w:r>
      <w:r>
        <w:rPr>
          <w:rFonts w:hint="eastAsia"/>
          <w:lang w:val="en-US" w:eastAsia="zh-CN"/>
        </w:rPr>
        <w:t>外保温系统及主要组成材料性能</w:t>
      </w:r>
      <w:r>
        <w:rPr>
          <w:rFonts w:hint="eastAsia"/>
          <w:lang w:val="zh-CN"/>
        </w:rPr>
        <w:t>、</w:t>
      </w:r>
      <w:r>
        <w:rPr>
          <w:rFonts w:hint="eastAsia"/>
          <w:lang w:val="en-US" w:eastAsia="zh-CN"/>
        </w:rPr>
        <w:t>保温层厚度、保温板粘贴面积、抹面层和饰面层施工质量、外保温工程抗冲击性</w:t>
      </w:r>
      <w:r>
        <w:rPr>
          <w:rFonts w:hint="eastAsia"/>
          <w:lang w:val="zh-CN"/>
        </w:rPr>
        <w:t>、</w:t>
      </w:r>
      <w:r>
        <w:rPr>
          <w:rFonts w:hint="eastAsia"/>
          <w:lang w:val="en-US" w:eastAsia="zh-CN"/>
        </w:rPr>
        <w:t>观感效果</w:t>
      </w:r>
      <w:r>
        <w:rPr>
          <w:rFonts w:hint="eastAsia"/>
          <w:lang w:val="zh-CN"/>
        </w:rPr>
        <w:t>等。</w:t>
      </w:r>
    </w:p>
    <w:p w14:paraId="43DA4B0C">
      <w:pPr>
        <w:pStyle w:val="4"/>
        <w:bidi w:val="0"/>
      </w:pPr>
      <w:bookmarkStart w:id="38" w:name="_Toc25301"/>
      <w:r>
        <w:t>7.6</w:t>
      </w:r>
      <w:r>
        <w:rPr>
          <w:rFonts w:hint="eastAsia"/>
          <w:lang w:val="en-US" w:eastAsia="zh-CN"/>
        </w:rPr>
        <w:t xml:space="preserve"> </w:t>
      </w:r>
      <w:r>
        <w:t>资料要求</w:t>
      </w:r>
      <w:bookmarkEnd w:id="38"/>
    </w:p>
    <w:p w14:paraId="43053372">
      <w:pPr>
        <w:numPr>
          <w:ilvl w:val="0"/>
          <w:numId w:val="0"/>
        </w:numPr>
        <w:ind w:firstLine="42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管理资料、技术资料内容，开始和完成时间及责任人。</w:t>
      </w:r>
    </w:p>
    <w:p w14:paraId="393A68FC">
      <w:pPr>
        <w:pStyle w:val="2"/>
        <w:rPr>
          <w:rFonts w:hint="default"/>
          <w:lang w:val="en-US" w:eastAsia="zh-CN"/>
        </w:rPr>
      </w:pPr>
    </w:p>
    <w:p w14:paraId="208F8031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39" w:name="_Toc18019"/>
      <w:r>
        <w:rPr>
          <w:rFonts w:hint="eastAsia" w:ascii="Times New Roman" w:hAnsi="Times New Roman" w:eastAsia="黑体" w:cs="Times New Roman"/>
          <w:b/>
          <w:kern w:val="44"/>
          <w:sz w:val="32"/>
        </w:rPr>
        <w:t>八、</w:t>
      </w:r>
      <w:r>
        <w:t>季节性施工</w:t>
      </w:r>
      <w:bookmarkEnd w:id="39"/>
    </w:p>
    <w:p w14:paraId="02E5DBEF">
      <w:r>
        <w:rPr>
          <w:rFonts w:ascii="Times New Roman" w:hAnsi="Times New Roman" w:eastAsia="宋体"/>
        </w:rPr>
        <w:t>对可能涉及到冬季、雨季、</w:t>
      </w:r>
      <w:r>
        <w:rPr>
          <w:rFonts w:hint="eastAsia"/>
          <w:lang w:val="en-US" w:eastAsia="zh-CN"/>
        </w:rPr>
        <w:t>高温</w:t>
      </w:r>
      <w:r>
        <w:rPr>
          <w:rFonts w:ascii="Times New Roman" w:hAnsi="Times New Roman" w:eastAsia="宋体"/>
        </w:rPr>
        <w:t>等，明确具体措施</w:t>
      </w:r>
      <w:r>
        <w:rPr>
          <w:rFonts w:hint="eastAsia" w:ascii="Times New Roman" w:hAnsi="Times New Roman" w:eastAsia="宋体"/>
          <w:lang w:val="en-US" w:eastAsia="zh-CN"/>
        </w:rPr>
        <w:t>和准备实施时间</w:t>
      </w:r>
    </w:p>
    <w:p w14:paraId="01A08B60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40" w:name="_Toc13771"/>
      <w:r>
        <w:rPr>
          <w:rFonts w:hint="eastAsia" w:ascii="Times New Roman" w:hAnsi="Times New Roman" w:eastAsia="黑体" w:cs="Times New Roman"/>
          <w:b/>
          <w:kern w:val="44"/>
          <w:sz w:val="32"/>
        </w:rPr>
        <w:t>九、</w:t>
      </w:r>
      <w:r>
        <w:t>施工质量保证措施</w:t>
      </w:r>
      <w:bookmarkEnd w:id="40"/>
      <w:r>
        <w:t xml:space="preserve"> </w:t>
      </w:r>
    </w:p>
    <w:p w14:paraId="4A7B659C">
      <w:pPr>
        <w:pStyle w:val="4"/>
        <w:bidi w:val="0"/>
        <w:rPr>
          <w:rFonts w:hint="eastAsia"/>
          <w:lang w:eastAsia="zh-CN"/>
        </w:rPr>
      </w:pPr>
      <w:bookmarkStart w:id="41" w:name="_Toc26954"/>
      <w:r>
        <w:t>9.1</w:t>
      </w:r>
      <w:r>
        <w:rPr>
          <w:rFonts w:hint="eastAsia"/>
          <w:lang w:val="en-US" w:eastAsia="zh-CN"/>
        </w:rPr>
        <w:t xml:space="preserve"> </w:t>
      </w:r>
      <w:r>
        <w:t>质量保证体系及人员</w:t>
      </w:r>
      <w:bookmarkEnd w:id="41"/>
    </w:p>
    <w:p w14:paraId="68C62094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保证体系及人工名单及职责。</w:t>
      </w:r>
    </w:p>
    <w:p w14:paraId="78A54248">
      <w:pPr>
        <w:pStyle w:val="4"/>
        <w:bidi w:val="0"/>
      </w:pPr>
      <w:bookmarkStart w:id="42" w:name="_Toc6616"/>
      <w:r>
        <w:t>9.2</w:t>
      </w:r>
      <w:r>
        <w:rPr>
          <w:rFonts w:hint="eastAsia"/>
          <w:lang w:val="en-US" w:eastAsia="zh-CN"/>
        </w:rPr>
        <w:t xml:space="preserve"> </w:t>
      </w:r>
      <w:r>
        <w:t>质量保证措施</w:t>
      </w:r>
      <w:bookmarkEnd w:id="42"/>
    </w:p>
    <w:p w14:paraId="0EC1AE42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如环境保证、设备有效性保证、材料合格性保证及劳动力量及人员素质保证。 </w:t>
      </w:r>
    </w:p>
    <w:p w14:paraId="43CC0F6B">
      <w:pPr>
        <w:pStyle w:val="4"/>
        <w:bidi w:val="0"/>
      </w:pPr>
      <w:bookmarkStart w:id="43" w:name="_Toc30328"/>
      <w:r>
        <w:t>9.3</w:t>
      </w:r>
      <w:r>
        <w:rPr>
          <w:rFonts w:hint="eastAsia"/>
          <w:lang w:val="en-US" w:eastAsia="zh-CN"/>
        </w:rPr>
        <w:t xml:space="preserve"> </w:t>
      </w:r>
      <w:r>
        <w:t>质量培训及技术交底</w:t>
      </w:r>
      <w:bookmarkEnd w:id="43"/>
    </w:p>
    <w:p w14:paraId="7760B27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培训的内容，培训的方式，交底的形式和时间计划等</w:t>
      </w:r>
    </w:p>
    <w:p w14:paraId="7B873543">
      <w:pPr>
        <w:pStyle w:val="4"/>
        <w:bidi w:val="0"/>
        <w:rPr>
          <w:rFonts w:hint="eastAsia"/>
          <w:lang w:val="en-US" w:eastAsia="zh-CN"/>
        </w:rPr>
      </w:pPr>
      <w:bookmarkStart w:id="44" w:name="_Toc26479"/>
      <w:r>
        <w:t>9.4</w:t>
      </w:r>
      <w:r>
        <w:rPr>
          <w:rFonts w:hint="eastAsia"/>
          <w:lang w:val="en-US" w:eastAsia="zh-CN"/>
        </w:rPr>
        <w:t xml:space="preserve"> </w:t>
      </w:r>
      <w:r>
        <w:t>实测实</w:t>
      </w:r>
      <w:r>
        <w:rPr>
          <w:rFonts w:hint="eastAsia"/>
          <w:lang w:val="en-US" w:eastAsia="zh-CN"/>
        </w:rPr>
        <w:t>量</w:t>
      </w:r>
      <w:bookmarkEnd w:id="44"/>
    </w:p>
    <w:p w14:paraId="7B619348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保温隔离带、保温厚度、粘贴面积和拼缝、收头、网格布包封和抗裂层、锚栓等，测量方式。</w:t>
      </w:r>
    </w:p>
    <w:p w14:paraId="1B75248F">
      <w:pPr>
        <w:pStyle w:val="4"/>
        <w:bidi w:val="0"/>
      </w:pPr>
      <w:bookmarkStart w:id="45" w:name="_Toc19190"/>
      <w:r>
        <w:t>9.5</w:t>
      </w:r>
      <w:r>
        <w:rPr>
          <w:rFonts w:hint="eastAsia"/>
          <w:lang w:val="en-US" w:eastAsia="zh-CN"/>
        </w:rPr>
        <w:t xml:space="preserve"> </w:t>
      </w:r>
      <w:r>
        <w:t>质量通病防治</w:t>
      </w:r>
      <w:bookmarkEnd w:id="45"/>
    </w:p>
    <w:p w14:paraId="547A4DE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列举可能得质量通病，给出防止措施。例如：</w:t>
      </w:r>
    </w:p>
    <w:p w14:paraId="391EED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由于所用材料的质量问题或施工工艺不佳，外墙保温板容易发生移位、空鼓、脱落问题、抹灰层开裂开裂、室内冷凝问题、外墙保温系统变形问题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保温板拼缝至洞口边缘＜200mm问题等。</w:t>
      </w:r>
    </w:p>
    <w:p w14:paraId="1DCA4607">
      <w:pPr>
        <w:pStyle w:val="4"/>
        <w:bidi w:val="0"/>
      </w:pPr>
      <w:bookmarkStart w:id="46" w:name="_Toc23624"/>
      <w:r>
        <w:t>9.6</w:t>
      </w:r>
      <w:r>
        <w:rPr>
          <w:rFonts w:hint="eastAsia"/>
          <w:lang w:val="en-US" w:eastAsia="zh-CN"/>
        </w:rPr>
        <w:t xml:space="preserve"> </w:t>
      </w:r>
      <w:r>
        <w:t>成品保护要求</w:t>
      </w:r>
      <w:bookmarkEnd w:id="46"/>
    </w:p>
    <w:p w14:paraId="0B693D4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给出成品保护的要求，例如：</w:t>
      </w:r>
    </w:p>
    <w:p w14:paraId="08E476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保温板存放时应有防火、防潮和防水措施、防止污染、防止明水浸湿保温墙面、保温墙体施工后不得随意开凿孔洞。</w:t>
      </w:r>
    </w:p>
    <w:p w14:paraId="09FE277E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47" w:name="_Toc5905"/>
      <w:r>
        <w:rPr>
          <w:rFonts w:hint="eastAsia" w:ascii="Times New Roman" w:hAnsi="Times New Roman" w:eastAsia="黑体" w:cs="Times New Roman"/>
          <w:b/>
          <w:kern w:val="44"/>
          <w:sz w:val="32"/>
        </w:rPr>
        <w:t>十、</w:t>
      </w:r>
      <w:r>
        <w:t>安全文明与绿色施工</w:t>
      </w:r>
      <w:bookmarkEnd w:id="47"/>
    </w:p>
    <w:p w14:paraId="5A32565D">
      <w:pPr>
        <w:pStyle w:val="4"/>
        <w:bidi w:val="0"/>
      </w:pPr>
      <w:bookmarkStart w:id="48" w:name="_Toc29483"/>
      <w:r>
        <w:t>10.1</w:t>
      </w:r>
      <w:r>
        <w:rPr>
          <w:rFonts w:hint="eastAsia"/>
          <w:lang w:val="en-US" w:eastAsia="zh-CN"/>
        </w:rPr>
        <w:t xml:space="preserve"> </w:t>
      </w:r>
      <w:r>
        <w:t>安全保证体系及人员</w:t>
      </w:r>
      <w:bookmarkEnd w:id="48"/>
    </w:p>
    <w:p w14:paraId="2714E48C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保证体系及人工名单及职责。</w:t>
      </w:r>
    </w:p>
    <w:p w14:paraId="133BC2D5">
      <w:pPr>
        <w:pStyle w:val="4"/>
        <w:bidi w:val="0"/>
      </w:pPr>
      <w:bookmarkStart w:id="49" w:name="_Toc28525"/>
      <w:r>
        <w:t>10.2</w:t>
      </w:r>
      <w:r>
        <w:rPr>
          <w:rFonts w:hint="eastAsia"/>
          <w:lang w:val="en-US" w:eastAsia="zh-CN"/>
        </w:rPr>
        <w:t xml:space="preserve"> </w:t>
      </w:r>
      <w:r>
        <w:t>安全检查</w:t>
      </w:r>
      <w:bookmarkEnd w:id="49"/>
    </w:p>
    <w:p w14:paraId="22669E8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安全检查的内容，检查的形式，检查的人员，检查的处理。</w:t>
      </w:r>
    </w:p>
    <w:p w14:paraId="12C2B919">
      <w:pPr>
        <w:pStyle w:val="4"/>
        <w:bidi w:val="0"/>
      </w:pPr>
      <w:bookmarkStart w:id="50" w:name="_Toc26401"/>
      <w:r>
        <w:t>10.3</w:t>
      </w:r>
      <w:r>
        <w:rPr>
          <w:rFonts w:hint="eastAsia"/>
          <w:lang w:val="en-US" w:eastAsia="zh-CN"/>
        </w:rPr>
        <w:t xml:space="preserve"> </w:t>
      </w:r>
      <w:r>
        <w:t>安全职责</w:t>
      </w:r>
      <w:bookmarkEnd w:id="50"/>
    </w:p>
    <w:p w14:paraId="7D43CECE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包括总包管理安全职责及分包管理安全职责。 </w:t>
      </w:r>
    </w:p>
    <w:p w14:paraId="7641C51F">
      <w:pPr>
        <w:pStyle w:val="4"/>
        <w:bidi w:val="0"/>
      </w:pPr>
      <w:bookmarkStart w:id="51" w:name="_Toc8198"/>
      <w:r>
        <w:t>10.4</w:t>
      </w:r>
      <w:r>
        <w:rPr>
          <w:rFonts w:hint="eastAsia"/>
          <w:lang w:val="en-US" w:eastAsia="zh-CN"/>
        </w:rPr>
        <w:t xml:space="preserve"> </w:t>
      </w:r>
      <w:r>
        <w:t>绿色施工要求</w:t>
      </w:r>
      <w:bookmarkEnd w:id="51"/>
    </w:p>
    <w:p w14:paraId="78CAB33D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四节一环保的措施。</w:t>
      </w:r>
    </w:p>
    <w:p w14:paraId="7419ACD0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52" w:name="_Toc9479"/>
      <w:r>
        <w:rPr>
          <w:rFonts w:hint="eastAsia" w:ascii="Times New Roman" w:hAnsi="Times New Roman" w:eastAsia="黑体" w:cs="Times New Roman"/>
          <w:b/>
          <w:kern w:val="44"/>
          <w:sz w:val="32"/>
        </w:rPr>
        <w:t>十一、</w:t>
      </w:r>
      <w:r>
        <w:t>应急预案</w:t>
      </w:r>
      <w:bookmarkEnd w:id="52"/>
    </w:p>
    <w:p w14:paraId="0FA92E72">
      <w:pPr>
        <w:pStyle w:val="4"/>
        <w:bidi w:val="0"/>
      </w:pPr>
      <w:bookmarkStart w:id="53" w:name="_Toc6117"/>
      <w:r>
        <w:t>11.1</w:t>
      </w:r>
      <w:r>
        <w:rPr>
          <w:rFonts w:hint="eastAsia"/>
          <w:lang w:val="en-US" w:eastAsia="zh-CN"/>
        </w:rPr>
        <w:t xml:space="preserve"> </w:t>
      </w:r>
      <w:r>
        <w:t>建立急救援组织</w:t>
      </w:r>
      <w:bookmarkEnd w:id="53"/>
    </w:p>
    <w:p w14:paraId="0FB04757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应急处置领导小组 组成与职责、应急救援小组组成与职责，包括抢险、安保、后勤、 医救、善后、应急救援工作流程、联系方式等。</w:t>
      </w:r>
    </w:p>
    <w:p w14:paraId="06365069">
      <w:pPr>
        <w:pStyle w:val="4"/>
        <w:bidi w:val="0"/>
      </w:pPr>
      <w:bookmarkStart w:id="54" w:name="_Toc18134"/>
      <w:r>
        <w:t>11.2</w:t>
      </w:r>
      <w:r>
        <w:rPr>
          <w:rFonts w:hint="eastAsia"/>
          <w:lang w:val="en-US" w:eastAsia="zh-CN"/>
        </w:rPr>
        <w:t xml:space="preserve"> </w:t>
      </w:r>
      <w:r>
        <w:t>应急物资准备</w:t>
      </w:r>
      <w:bookmarkEnd w:id="54"/>
    </w:p>
    <w:p w14:paraId="37120558">
      <w:pPr>
        <w:numPr>
          <w:ilvl w:val="0"/>
          <w:numId w:val="0"/>
        </w:numPr>
        <w:ind w:firstLine="420" w:firstLineChars="0"/>
        <w:rPr>
          <w:rFonts w:hint="default" w:ascii="宋体" w:hAnsi="宋体" w:eastAsia="黑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</w:rPr>
        <w:t>医疗器材及药品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应急通讯，应急救援等物资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。</w:t>
      </w:r>
    </w:p>
    <w:p w14:paraId="6C740AA2">
      <w:pPr>
        <w:pStyle w:val="4"/>
        <w:bidi w:val="0"/>
      </w:pPr>
      <w:bookmarkStart w:id="55" w:name="_Toc15315"/>
      <w:r>
        <w:t>11.3</w:t>
      </w:r>
      <w:r>
        <w:rPr>
          <w:rFonts w:hint="eastAsia"/>
          <w:lang w:val="en-US" w:eastAsia="zh-CN"/>
        </w:rPr>
        <w:t xml:space="preserve"> </w:t>
      </w:r>
      <w:r>
        <w:t>识别危险源及对每个危险源应采取的措施</w:t>
      </w:r>
      <w:bookmarkEnd w:id="55"/>
    </w:p>
    <w:p w14:paraId="65178CAC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主要针对</w:t>
      </w:r>
      <w:r>
        <w:rPr>
          <w:rFonts w:hint="eastAsia" w:ascii="宋体" w:hAnsi="宋体" w:eastAsia="宋体" w:cs="宋体"/>
          <w:sz w:val="28"/>
          <w:szCs w:val="28"/>
          <w:lang w:val="zh-CN"/>
        </w:rPr>
        <w:t>重大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隐患和事故采取的措施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。</w:t>
      </w:r>
    </w:p>
    <w:p w14:paraId="19C8B465">
      <w:pPr>
        <w:pStyle w:val="4"/>
        <w:bidi w:val="0"/>
      </w:pPr>
      <w:bookmarkStart w:id="56" w:name="_Toc20003"/>
      <w:r>
        <w:t>11.4</w:t>
      </w:r>
      <w:r>
        <w:rPr>
          <w:rFonts w:hint="eastAsia"/>
          <w:lang w:val="en-US" w:eastAsia="zh-CN"/>
        </w:rPr>
        <w:t xml:space="preserve"> </w:t>
      </w:r>
      <w:r>
        <w:t>救援信息</w:t>
      </w:r>
      <w:bookmarkEnd w:id="56"/>
    </w:p>
    <w:p w14:paraId="322B0D7D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救援医院信息(名称、电话、救援线路)，说明事故发生后的工作安排。 </w:t>
      </w:r>
    </w:p>
    <w:p w14:paraId="185F7C24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 w:ascii="Times New Roman" w:hAnsi="Times New Roman" w:eastAsia="黑体" w:cs="Times New Roman"/>
          <w:b/>
          <w:kern w:val="44"/>
          <w:sz w:val="32"/>
        </w:rPr>
      </w:pPr>
    </w:p>
    <w:p w14:paraId="77F5860F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57" w:name="_Toc8016"/>
      <w:r>
        <w:rPr>
          <w:rFonts w:hint="eastAsia" w:ascii="Times New Roman" w:hAnsi="Times New Roman" w:eastAsia="黑体" w:cs="Times New Roman"/>
          <w:b/>
          <w:kern w:val="44"/>
          <w:sz w:val="32"/>
        </w:rPr>
        <w:t>十二、</w:t>
      </w:r>
      <w:r>
        <w:t>计算书及相关施工图纸</w:t>
      </w:r>
      <w:bookmarkEnd w:id="57"/>
    </w:p>
    <w:p w14:paraId="4F7EC92F">
      <w:pPr>
        <w:pStyle w:val="4"/>
        <w:bidi w:val="0"/>
        <w:rPr>
          <w:rFonts w:hint="eastAsia"/>
          <w:lang w:val="en-US" w:eastAsia="zh-CN"/>
        </w:rPr>
      </w:pPr>
      <w:bookmarkStart w:id="58" w:name="_Toc16288"/>
      <w:r>
        <w:rPr>
          <w:rFonts w:hint="eastAsia"/>
          <w:lang w:val="en-US" w:eastAsia="zh-CN"/>
        </w:rPr>
        <w:t>12.1 计算书</w:t>
      </w:r>
      <w:bookmarkEnd w:id="58"/>
    </w:p>
    <w:p w14:paraId="4D9D9D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保温层导热系数计算；</w:t>
      </w:r>
    </w:p>
    <w:p w14:paraId="444B998A">
      <w:pPr>
        <w:pStyle w:val="4"/>
        <w:bidi w:val="0"/>
        <w:rPr>
          <w:rFonts w:hint="eastAsia"/>
          <w:lang w:val="en-US" w:eastAsia="zh-CN"/>
        </w:rPr>
      </w:pPr>
      <w:bookmarkStart w:id="59" w:name="_Toc24217"/>
      <w:r>
        <w:rPr>
          <w:rFonts w:hint="eastAsia"/>
          <w:lang w:val="en-US" w:eastAsia="zh-CN"/>
        </w:rPr>
        <w:t>12.2 施工图纸</w:t>
      </w:r>
      <w:bookmarkEnd w:id="59"/>
    </w:p>
    <w:p w14:paraId="2FA4EDD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不同材料的保温系统做法图、特殊部位保温层细部做法图等。</w:t>
      </w:r>
    </w:p>
    <w:p w14:paraId="78810592"/>
    <w:p w14:paraId="484D50A8">
      <w:pPr>
        <w:pStyle w:val="17"/>
        <w:rPr>
          <w:rFonts w:hint="default"/>
          <w:lang w:val="en-US" w:eastAsia="zh-CN"/>
        </w:rPr>
      </w:pPr>
    </w:p>
    <w:p w14:paraId="1E330CC3">
      <w:pPr>
        <w:rPr>
          <w:rFonts w:hint="default" w:eastAsia="宋体"/>
          <w:lang w:val="en-US" w:eastAsia="zh-CN"/>
        </w:rPr>
      </w:pPr>
    </w:p>
    <w:p w14:paraId="1B125A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FD38"/>
    <w:multiLevelType w:val="multilevel"/>
    <w:tmpl w:val="8B8EFD38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E9886A74"/>
    <w:multiLevelType w:val="multilevel"/>
    <w:tmpl w:val="E9886A7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2．%3"/>
      <w:lvlJc w:val="left"/>
      <w:pPr>
        <w:tabs>
          <w:tab w:val="left" w:pos="0"/>
        </w:tabs>
        <w:ind w:left="0" w:firstLine="402"/>
      </w:pPr>
      <w:rPr>
        <w:rFonts w:hint="eastAsia" w:ascii="Calibri" w:hAnsi="Calibri" w:cs="Calibri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4807"/>
    <w:rsid w:val="00F46D15"/>
    <w:rsid w:val="01027C35"/>
    <w:rsid w:val="013A3612"/>
    <w:rsid w:val="02C646E1"/>
    <w:rsid w:val="030F42DA"/>
    <w:rsid w:val="033549D3"/>
    <w:rsid w:val="03A03184"/>
    <w:rsid w:val="03EA2651"/>
    <w:rsid w:val="040A2CF3"/>
    <w:rsid w:val="04545D1C"/>
    <w:rsid w:val="04AB0032"/>
    <w:rsid w:val="04BF393A"/>
    <w:rsid w:val="05880374"/>
    <w:rsid w:val="05950818"/>
    <w:rsid w:val="05BE5B43"/>
    <w:rsid w:val="05C018BB"/>
    <w:rsid w:val="06227FCD"/>
    <w:rsid w:val="062C0CFF"/>
    <w:rsid w:val="07306FC6"/>
    <w:rsid w:val="075C3866"/>
    <w:rsid w:val="07AB20F7"/>
    <w:rsid w:val="07EF46DA"/>
    <w:rsid w:val="083245C7"/>
    <w:rsid w:val="08485B98"/>
    <w:rsid w:val="086A1FB2"/>
    <w:rsid w:val="088766C0"/>
    <w:rsid w:val="088E0328"/>
    <w:rsid w:val="092959CA"/>
    <w:rsid w:val="096D1D5A"/>
    <w:rsid w:val="096E3588"/>
    <w:rsid w:val="0998330D"/>
    <w:rsid w:val="09C53944"/>
    <w:rsid w:val="09C6602A"/>
    <w:rsid w:val="0A1B17B6"/>
    <w:rsid w:val="0A1B7A08"/>
    <w:rsid w:val="0A474359"/>
    <w:rsid w:val="0A84735B"/>
    <w:rsid w:val="0AD876A7"/>
    <w:rsid w:val="0AEC6CAF"/>
    <w:rsid w:val="0CA23AC9"/>
    <w:rsid w:val="0CC31C91"/>
    <w:rsid w:val="0D576FA9"/>
    <w:rsid w:val="0D5A43A4"/>
    <w:rsid w:val="0DD5327C"/>
    <w:rsid w:val="0DEA1BCB"/>
    <w:rsid w:val="0E2055ED"/>
    <w:rsid w:val="0EEC3721"/>
    <w:rsid w:val="0F21132C"/>
    <w:rsid w:val="0F225395"/>
    <w:rsid w:val="0F7A0D2D"/>
    <w:rsid w:val="0F9F2542"/>
    <w:rsid w:val="0FA13F40"/>
    <w:rsid w:val="0FA53A62"/>
    <w:rsid w:val="100625C1"/>
    <w:rsid w:val="10525806"/>
    <w:rsid w:val="10A2678D"/>
    <w:rsid w:val="117F6ACF"/>
    <w:rsid w:val="12555A81"/>
    <w:rsid w:val="12BF0434"/>
    <w:rsid w:val="130848A2"/>
    <w:rsid w:val="13174AE5"/>
    <w:rsid w:val="135E44C2"/>
    <w:rsid w:val="137B1518"/>
    <w:rsid w:val="13C22CA3"/>
    <w:rsid w:val="13D053C0"/>
    <w:rsid w:val="13F05A62"/>
    <w:rsid w:val="141D632E"/>
    <w:rsid w:val="1457788F"/>
    <w:rsid w:val="14AB3737"/>
    <w:rsid w:val="14EB6229"/>
    <w:rsid w:val="15282FD9"/>
    <w:rsid w:val="15347BD0"/>
    <w:rsid w:val="1557566D"/>
    <w:rsid w:val="159627D2"/>
    <w:rsid w:val="16005D04"/>
    <w:rsid w:val="16247C45"/>
    <w:rsid w:val="164107F7"/>
    <w:rsid w:val="164E6A70"/>
    <w:rsid w:val="166326AF"/>
    <w:rsid w:val="16A36823"/>
    <w:rsid w:val="176522C3"/>
    <w:rsid w:val="17EE050A"/>
    <w:rsid w:val="180B10BC"/>
    <w:rsid w:val="181A12FF"/>
    <w:rsid w:val="18320EF5"/>
    <w:rsid w:val="18E35B95"/>
    <w:rsid w:val="19120228"/>
    <w:rsid w:val="19265A82"/>
    <w:rsid w:val="197D7D98"/>
    <w:rsid w:val="197E141A"/>
    <w:rsid w:val="1A474DF4"/>
    <w:rsid w:val="1A4A39F2"/>
    <w:rsid w:val="1A6C5716"/>
    <w:rsid w:val="1A8A3E9A"/>
    <w:rsid w:val="1A952EBF"/>
    <w:rsid w:val="1A9C424D"/>
    <w:rsid w:val="1AD6068B"/>
    <w:rsid w:val="1B067919"/>
    <w:rsid w:val="1B210BF7"/>
    <w:rsid w:val="1C4A1A87"/>
    <w:rsid w:val="1C6D680C"/>
    <w:rsid w:val="1C850D11"/>
    <w:rsid w:val="1C90264F"/>
    <w:rsid w:val="1CD04682"/>
    <w:rsid w:val="1CE1063D"/>
    <w:rsid w:val="1D174F3D"/>
    <w:rsid w:val="1D8B67FB"/>
    <w:rsid w:val="1E6A657E"/>
    <w:rsid w:val="1E6C03DB"/>
    <w:rsid w:val="1EFA3C38"/>
    <w:rsid w:val="1F2E6B9D"/>
    <w:rsid w:val="1F49245C"/>
    <w:rsid w:val="1F6115C2"/>
    <w:rsid w:val="1F8359DC"/>
    <w:rsid w:val="1F8B2AE2"/>
    <w:rsid w:val="202A40A9"/>
    <w:rsid w:val="20663D00"/>
    <w:rsid w:val="20ED1600"/>
    <w:rsid w:val="210B3EDB"/>
    <w:rsid w:val="2149055F"/>
    <w:rsid w:val="21C36564"/>
    <w:rsid w:val="22606C0B"/>
    <w:rsid w:val="22FD5AA5"/>
    <w:rsid w:val="23A10B26"/>
    <w:rsid w:val="23B00D6A"/>
    <w:rsid w:val="23C40371"/>
    <w:rsid w:val="23F52C20"/>
    <w:rsid w:val="23F70746"/>
    <w:rsid w:val="242D4168"/>
    <w:rsid w:val="244D65B8"/>
    <w:rsid w:val="245F009A"/>
    <w:rsid w:val="24967F5F"/>
    <w:rsid w:val="24997A50"/>
    <w:rsid w:val="24B76870"/>
    <w:rsid w:val="24C43B4D"/>
    <w:rsid w:val="25145328"/>
    <w:rsid w:val="25553977"/>
    <w:rsid w:val="2624159B"/>
    <w:rsid w:val="268F2EB8"/>
    <w:rsid w:val="26EC20B9"/>
    <w:rsid w:val="26ED7BDF"/>
    <w:rsid w:val="273D0B66"/>
    <w:rsid w:val="274A5031"/>
    <w:rsid w:val="27764078"/>
    <w:rsid w:val="277B168E"/>
    <w:rsid w:val="27D843EB"/>
    <w:rsid w:val="27FD02F5"/>
    <w:rsid w:val="285F68BA"/>
    <w:rsid w:val="28612632"/>
    <w:rsid w:val="28D41056"/>
    <w:rsid w:val="28F33BD2"/>
    <w:rsid w:val="291F7550"/>
    <w:rsid w:val="296A19BB"/>
    <w:rsid w:val="29B42C36"/>
    <w:rsid w:val="29B669AE"/>
    <w:rsid w:val="2A0239A1"/>
    <w:rsid w:val="2A5F2BA2"/>
    <w:rsid w:val="2A7F3244"/>
    <w:rsid w:val="2A88659C"/>
    <w:rsid w:val="2ABA24CE"/>
    <w:rsid w:val="2B004385"/>
    <w:rsid w:val="2B836D64"/>
    <w:rsid w:val="2BED335A"/>
    <w:rsid w:val="2C3562B0"/>
    <w:rsid w:val="2C892158"/>
    <w:rsid w:val="2CAB6572"/>
    <w:rsid w:val="2CB90C8F"/>
    <w:rsid w:val="2CC82C80"/>
    <w:rsid w:val="2D83304B"/>
    <w:rsid w:val="2DCC2C44"/>
    <w:rsid w:val="2DD45655"/>
    <w:rsid w:val="2DF33D2D"/>
    <w:rsid w:val="2E257314"/>
    <w:rsid w:val="2E84707B"/>
    <w:rsid w:val="2E905A1F"/>
    <w:rsid w:val="2EF266DA"/>
    <w:rsid w:val="2F5729E1"/>
    <w:rsid w:val="2F8310E0"/>
    <w:rsid w:val="30676C54"/>
    <w:rsid w:val="30D20571"/>
    <w:rsid w:val="30F878AC"/>
    <w:rsid w:val="310E70CF"/>
    <w:rsid w:val="314D5E4A"/>
    <w:rsid w:val="322A76CD"/>
    <w:rsid w:val="32543208"/>
    <w:rsid w:val="32F02F31"/>
    <w:rsid w:val="32FE2435"/>
    <w:rsid w:val="335E60EC"/>
    <w:rsid w:val="337E678E"/>
    <w:rsid w:val="33A45AC9"/>
    <w:rsid w:val="33CD5020"/>
    <w:rsid w:val="33F702EF"/>
    <w:rsid w:val="349447B4"/>
    <w:rsid w:val="350D17A9"/>
    <w:rsid w:val="358F4C83"/>
    <w:rsid w:val="36154A5C"/>
    <w:rsid w:val="363D46DF"/>
    <w:rsid w:val="3676199F"/>
    <w:rsid w:val="369260AD"/>
    <w:rsid w:val="36A4541C"/>
    <w:rsid w:val="36C22E36"/>
    <w:rsid w:val="3724764D"/>
    <w:rsid w:val="37E50832"/>
    <w:rsid w:val="37F012DD"/>
    <w:rsid w:val="381226D1"/>
    <w:rsid w:val="3825367C"/>
    <w:rsid w:val="3834566E"/>
    <w:rsid w:val="38871C41"/>
    <w:rsid w:val="389D610E"/>
    <w:rsid w:val="39477622"/>
    <w:rsid w:val="397C551E"/>
    <w:rsid w:val="39B5458C"/>
    <w:rsid w:val="3A31418E"/>
    <w:rsid w:val="3AA54601"/>
    <w:rsid w:val="3AB17449"/>
    <w:rsid w:val="3AEA4709"/>
    <w:rsid w:val="3AF86E26"/>
    <w:rsid w:val="3B1672AC"/>
    <w:rsid w:val="3B2C6AD0"/>
    <w:rsid w:val="3B47390A"/>
    <w:rsid w:val="3B660234"/>
    <w:rsid w:val="3BF05D4F"/>
    <w:rsid w:val="3C3245BA"/>
    <w:rsid w:val="3C3C2D43"/>
    <w:rsid w:val="3CD15B81"/>
    <w:rsid w:val="3CDE3DFA"/>
    <w:rsid w:val="3D09356D"/>
    <w:rsid w:val="3D0F66A9"/>
    <w:rsid w:val="3D361E88"/>
    <w:rsid w:val="3DEB2C72"/>
    <w:rsid w:val="3DEC361C"/>
    <w:rsid w:val="3DEE4511"/>
    <w:rsid w:val="3E1958BD"/>
    <w:rsid w:val="3E7C7D6E"/>
    <w:rsid w:val="3EF73899"/>
    <w:rsid w:val="3F0044FB"/>
    <w:rsid w:val="3F381EE7"/>
    <w:rsid w:val="3F397A0D"/>
    <w:rsid w:val="3F5C5D42"/>
    <w:rsid w:val="3F964E60"/>
    <w:rsid w:val="3FBF5776"/>
    <w:rsid w:val="3FDD6ABB"/>
    <w:rsid w:val="401A783F"/>
    <w:rsid w:val="4028049C"/>
    <w:rsid w:val="404E1296"/>
    <w:rsid w:val="405A5E8D"/>
    <w:rsid w:val="412871E3"/>
    <w:rsid w:val="41412BA9"/>
    <w:rsid w:val="4157061F"/>
    <w:rsid w:val="42332E3A"/>
    <w:rsid w:val="42416149"/>
    <w:rsid w:val="43324E9F"/>
    <w:rsid w:val="435B43F6"/>
    <w:rsid w:val="43B81849"/>
    <w:rsid w:val="44496945"/>
    <w:rsid w:val="449851D6"/>
    <w:rsid w:val="44A122DD"/>
    <w:rsid w:val="44BF09B5"/>
    <w:rsid w:val="44CC6C2E"/>
    <w:rsid w:val="44F56185"/>
    <w:rsid w:val="45EF7078"/>
    <w:rsid w:val="46641814"/>
    <w:rsid w:val="46A2233C"/>
    <w:rsid w:val="46E26BDC"/>
    <w:rsid w:val="46F32B98"/>
    <w:rsid w:val="46FA4182"/>
    <w:rsid w:val="47281438"/>
    <w:rsid w:val="478B021B"/>
    <w:rsid w:val="479E48B1"/>
    <w:rsid w:val="4803505C"/>
    <w:rsid w:val="484F2050"/>
    <w:rsid w:val="48792264"/>
    <w:rsid w:val="48847F4B"/>
    <w:rsid w:val="489E2F22"/>
    <w:rsid w:val="49247A00"/>
    <w:rsid w:val="492B0EAD"/>
    <w:rsid w:val="49757894"/>
    <w:rsid w:val="499C63A2"/>
    <w:rsid w:val="49B1558A"/>
    <w:rsid w:val="49CC5D18"/>
    <w:rsid w:val="49F66C27"/>
    <w:rsid w:val="4AB4263E"/>
    <w:rsid w:val="4B5005B9"/>
    <w:rsid w:val="4BC66ACD"/>
    <w:rsid w:val="4C520360"/>
    <w:rsid w:val="4C6644FE"/>
    <w:rsid w:val="4C6D6F48"/>
    <w:rsid w:val="4CD62D3F"/>
    <w:rsid w:val="4D04165B"/>
    <w:rsid w:val="4DA62712"/>
    <w:rsid w:val="4DE2784F"/>
    <w:rsid w:val="4EA74993"/>
    <w:rsid w:val="4EAD7AD0"/>
    <w:rsid w:val="4EC47EF5"/>
    <w:rsid w:val="4ED41501"/>
    <w:rsid w:val="4F3B332E"/>
    <w:rsid w:val="4F6B3C13"/>
    <w:rsid w:val="4F950C90"/>
    <w:rsid w:val="500278C3"/>
    <w:rsid w:val="50047BC4"/>
    <w:rsid w:val="5043249A"/>
    <w:rsid w:val="51450494"/>
    <w:rsid w:val="514F30C0"/>
    <w:rsid w:val="517B2107"/>
    <w:rsid w:val="51C70EA9"/>
    <w:rsid w:val="51CD2963"/>
    <w:rsid w:val="51E424ED"/>
    <w:rsid w:val="5208399B"/>
    <w:rsid w:val="520D0FB1"/>
    <w:rsid w:val="522307D5"/>
    <w:rsid w:val="52A116FA"/>
    <w:rsid w:val="52A631B4"/>
    <w:rsid w:val="53861423"/>
    <w:rsid w:val="53AE2320"/>
    <w:rsid w:val="53AF7E46"/>
    <w:rsid w:val="53B45D93"/>
    <w:rsid w:val="53E126F6"/>
    <w:rsid w:val="53F1220D"/>
    <w:rsid w:val="540463E4"/>
    <w:rsid w:val="54B73456"/>
    <w:rsid w:val="55B55BE8"/>
    <w:rsid w:val="55BF6A67"/>
    <w:rsid w:val="561B779B"/>
    <w:rsid w:val="56A1616C"/>
    <w:rsid w:val="56D4592B"/>
    <w:rsid w:val="576378C6"/>
    <w:rsid w:val="57D04F5B"/>
    <w:rsid w:val="58A75590"/>
    <w:rsid w:val="58B24661"/>
    <w:rsid w:val="58BA1767"/>
    <w:rsid w:val="58C93758"/>
    <w:rsid w:val="58CB127E"/>
    <w:rsid w:val="58D75E75"/>
    <w:rsid w:val="591C0E16"/>
    <w:rsid w:val="59413C36"/>
    <w:rsid w:val="596A4F3B"/>
    <w:rsid w:val="598622B9"/>
    <w:rsid w:val="598853C1"/>
    <w:rsid w:val="5A0A227A"/>
    <w:rsid w:val="5AFC08CE"/>
    <w:rsid w:val="5BCD17B1"/>
    <w:rsid w:val="5C6043D4"/>
    <w:rsid w:val="5C764DF0"/>
    <w:rsid w:val="5CFA0384"/>
    <w:rsid w:val="5D6879E4"/>
    <w:rsid w:val="5D997B9D"/>
    <w:rsid w:val="5DB524FD"/>
    <w:rsid w:val="5E03770C"/>
    <w:rsid w:val="5E2002BE"/>
    <w:rsid w:val="5ECA1FD8"/>
    <w:rsid w:val="5F592DFB"/>
    <w:rsid w:val="5F5C70D4"/>
    <w:rsid w:val="5F7A57AC"/>
    <w:rsid w:val="5F85487D"/>
    <w:rsid w:val="5FBE38EB"/>
    <w:rsid w:val="5FC609F2"/>
    <w:rsid w:val="5FCD7FD2"/>
    <w:rsid w:val="5FDE0AD6"/>
    <w:rsid w:val="60B1344C"/>
    <w:rsid w:val="60D07D7A"/>
    <w:rsid w:val="61330309"/>
    <w:rsid w:val="616B1851"/>
    <w:rsid w:val="625D412A"/>
    <w:rsid w:val="626A7D5A"/>
    <w:rsid w:val="62944DD7"/>
    <w:rsid w:val="62DC3E7F"/>
    <w:rsid w:val="63584057"/>
    <w:rsid w:val="64234664"/>
    <w:rsid w:val="64283A29"/>
    <w:rsid w:val="642F1185"/>
    <w:rsid w:val="64340620"/>
    <w:rsid w:val="64446389"/>
    <w:rsid w:val="653B3EFD"/>
    <w:rsid w:val="65CE6852"/>
    <w:rsid w:val="65D11E9E"/>
    <w:rsid w:val="65E9368C"/>
    <w:rsid w:val="66DD4F9F"/>
    <w:rsid w:val="67230062"/>
    <w:rsid w:val="674C5C80"/>
    <w:rsid w:val="6784541A"/>
    <w:rsid w:val="67ED1736"/>
    <w:rsid w:val="68F95994"/>
    <w:rsid w:val="69264186"/>
    <w:rsid w:val="69313380"/>
    <w:rsid w:val="69601EB7"/>
    <w:rsid w:val="6A6634FD"/>
    <w:rsid w:val="6ABA55F7"/>
    <w:rsid w:val="6B2A62D8"/>
    <w:rsid w:val="6B362ECF"/>
    <w:rsid w:val="6B5D66AE"/>
    <w:rsid w:val="6C2E3E4D"/>
    <w:rsid w:val="6D1C4347"/>
    <w:rsid w:val="6D205BE5"/>
    <w:rsid w:val="6D413DAD"/>
    <w:rsid w:val="6DC75C60"/>
    <w:rsid w:val="6DCF760B"/>
    <w:rsid w:val="6E4C0C5C"/>
    <w:rsid w:val="6EED3736"/>
    <w:rsid w:val="6F341C7B"/>
    <w:rsid w:val="6FC30AAA"/>
    <w:rsid w:val="6FDB4045"/>
    <w:rsid w:val="70096E04"/>
    <w:rsid w:val="71044695"/>
    <w:rsid w:val="71EF3FF7"/>
    <w:rsid w:val="71FE226D"/>
    <w:rsid w:val="726E11A1"/>
    <w:rsid w:val="72B7421D"/>
    <w:rsid w:val="72CB65F3"/>
    <w:rsid w:val="73614861"/>
    <w:rsid w:val="740D2C3B"/>
    <w:rsid w:val="746A6679"/>
    <w:rsid w:val="754C32EF"/>
    <w:rsid w:val="75C13CBB"/>
    <w:rsid w:val="760A030B"/>
    <w:rsid w:val="765E777E"/>
    <w:rsid w:val="76C92E49"/>
    <w:rsid w:val="76D50943"/>
    <w:rsid w:val="775A26DD"/>
    <w:rsid w:val="77626189"/>
    <w:rsid w:val="779C055E"/>
    <w:rsid w:val="77D25D2E"/>
    <w:rsid w:val="77EB3293"/>
    <w:rsid w:val="782222B6"/>
    <w:rsid w:val="782642CC"/>
    <w:rsid w:val="787119EB"/>
    <w:rsid w:val="78DE6954"/>
    <w:rsid w:val="78FE2B52"/>
    <w:rsid w:val="79075EAB"/>
    <w:rsid w:val="7993773F"/>
    <w:rsid w:val="79F85AE4"/>
    <w:rsid w:val="7A0423EA"/>
    <w:rsid w:val="7A7A445B"/>
    <w:rsid w:val="7ADA0435"/>
    <w:rsid w:val="7AEA5A84"/>
    <w:rsid w:val="7AEF6BF7"/>
    <w:rsid w:val="7B0F1047"/>
    <w:rsid w:val="7B4156BF"/>
    <w:rsid w:val="7B89704B"/>
    <w:rsid w:val="7B9F23CB"/>
    <w:rsid w:val="7BCB7664"/>
    <w:rsid w:val="7BE2675B"/>
    <w:rsid w:val="7BE27D1D"/>
    <w:rsid w:val="7BEC3136"/>
    <w:rsid w:val="7C63789C"/>
    <w:rsid w:val="7D40198C"/>
    <w:rsid w:val="7D8E7B5B"/>
    <w:rsid w:val="7DB61C4E"/>
    <w:rsid w:val="7E3C65F7"/>
    <w:rsid w:val="7E8F2BCB"/>
    <w:rsid w:val="7F0F170B"/>
    <w:rsid w:val="7F6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60" w:lineRule="auto"/>
      <w:ind w:firstLine="1120" w:firstLineChars="200"/>
      <w:jc w:val="both"/>
    </w:pPr>
    <w:rPr>
      <w:rFonts w:ascii="Times New Roman" w:hAnsi="Times New Roman" w:eastAsia="宋体" w:cs="Times New Roman"/>
      <w:kern w:val="2"/>
      <w:sz w:val="28"/>
    </w:rPr>
  </w:style>
  <w:style w:type="paragraph" w:styleId="3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firstLineChars="0"/>
      <w:jc w:val="center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4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0"/>
      </w:numPr>
      <w:tabs>
        <w:tab w:val="left" w:pos="0"/>
      </w:tabs>
      <w:spacing w:beforeLines="0" w:beforeAutospacing="0" w:afterLines="0" w:afterAutospacing="0" w:line="360" w:lineRule="auto"/>
      <w:ind w:firstLineChars="0"/>
      <w:outlineLvl w:val="1"/>
    </w:pPr>
    <w:rPr>
      <w:rFonts w:ascii="Arial" w:hAnsi="Arial" w:eastAsia="黑体"/>
    </w:rPr>
  </w:style>
  <w:style w:type="paragraph" w:styleId="5">
    <w:name w:val="heading 3"/>
    <w:basedOn w:val="1"/>
    <w:next w:val="1"/>
    <w:link w:val="21"/>
    <w:semiHidden/>
    <w:unhideWhenUsed/>
    <w:qFormat/>
    <w:uiPriority w:val="0"/>
    <w:pPr>
      <w:keepNext/>
      <w:keepLines/>
      <w:numPr>
        <w:ilvl w:val="2"/>
        <w:numId w:val="2"/>
      </w:numPr>
      <w:spacing w:before="120" w:beforeLines="0" w:beforeAutospacing="0" w:after="120" w:afterLines="0" w:afterAutospacing="0" w:line="360" w:lineRule="auto"/>
      <w:ind w:firstLine="400"/>
      <w:jc w:val="left"/>
      <w:outlineLvl w:val="2"/>
    </w:pPr>
    <w:rPr>
      <w:b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402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2160"/>
      </w:tabs>
      <w:spacing w:before="240" w:beforeLines="0" w:beforeAutospacing="0" w:after="64" w:afterLines="0" w:afterAutospacing="0" w:line="317" w:lineRule="auto"/>
      <w:ind w:left="0" w:firstLine="402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jc w:val="left"/>
    </w:pPr>
    <w:rPr>
      <w:sz w:val="28"/>
      <w:szCs w:val="24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Body Text First Indent 2"/>
    <w:basedOn w:val="13"/>
    <w:qFormat/>
    <w:uiPriority w:val="0"/>
    <w:pPr>
      <w:ind w:firstLine="420" w:firstLineChars="200"/>
    </w:pPr>
  </w:style>
  <w:style w:type="character" w:customStyle="1" w:styleId="20">
    <w:name w:val="标题 1 Char"/>
    <w:basedOn w:val="19"/>
    <w:link w:val="3"/>
    <w:qFormat/>
    <w:uiPriority w:val="0"/>
    <w:rPr>
      <w:rFonts w:ascii="Times New Roman" w:hAnsi="Times New Roman" w:eastAsia="黑体" w:cs="Times New Roman"/>
      <w:b/>
      <w:snapToGrid w:val="0"/>
      <w:kern w:val="44"/>
      <w:sz w:val="32"/>
      <w:szCs w:val="20"/>
    </w:rPr>
  </w:style>
  <w:style w:type="character" w:customStyle="1" w:styleId="21">
    <w:name w:val="标题 3 Char"/>
    <w:basedOn w:val="19"/>
    <w:link w:val="5"/>
    <w:qFormat/>
    <w:uiPriority w:val="0"/>
    <w:rPr>
      <w:rFonts w:ascii="Times New Roman" w:hAnsi="Times New Roman" w:eastAsia="宋体" w:cs="Times New Roman"/>
      <w:b/>
      <w:snapToGrid w:val="0"/>
      <w:color w:val="000000" w:themeColor="text1"/>
      <w:sz w:val="28"/>
      <w:szCs w:val="20"/>
      <w14:textFill>
        <w14:solidFill>
          <w14:schemeClr w14:val="tx1"/>
        </w14:solidFill>
      </w14:textFill>
    </w:rPr>
  </w:style>
  <w:style w:type="character" w:customStyle="1" w:styleId="22">
    <w:name w:val="标题 2 Char"/>
    <w:link w:val="4"/>
    <w:unhideWhenUsed/>
    <w:qFormat/>
    <w:uiPriority w:val="99"/>
    <w:rPr>
      <w:rFonts w:ascii="Arial" w:hAnsi="Arial"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3064</Words>
  <Characters>3332</Characters>
  <Lines>0</Lines>
  <Paragraphs>0</Paragraphs>
  <TotalTime>0</TotalTime>
  <ScaleCrop>false</ScaleCrop>
  <LinksUpToDate>false</LinksUpToDate>
  <CharactersWithSpaces>3649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2024-09-20T03:12:00Z</dcterms:created>
  <dc:creator>Administrator</dc:creator>
  <cp:lastModifiedBy>呼忠忠</cp:lastModifiedBy>
  <dcterms:modified xsi:type="dcterms:W3CDTF">2025-05-12T08:27:27Z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2E55CA0B3C514264B341F38A5B11C443_12</vt:lpwstr>
  </property>
  <property fmtid="{D5CDD505-2E9C-101B-9397-08002B2CF9AE}" pid="4" name="KSOTemplateDocerSaveRecord">
    <vt:lpwstr>eyJoZGlkIjoiOGFlNGNlMTMxY2JmZGNkYTJiNTA0MDBjMTZhOTYzZjQiLCJ1c2VySWQiOiIxMjk1NDEwMTgxIn0=</vt:lpwstr>
  </property>
</Properties>
</file>