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1FADFE" w14:textId="77777777" w:rsidR="00155E59" w:rsidRDefault="00000000">
      <w:pPr>
        <w:spacing w:after="80"/>
      </w:pPr>
      <w:r>
        <w:rPr>
          <w:noProof/>
        </w:rPr>
        <w:drawing>
          <wp:inline distT="0" distB="0" distL="0" distR="0" wp14:anchorId="5190A11D" wp14:editId="3481C734">
            <wp:extent cx="1143000" cy="228600"/>
            <wp:effectExtent l="0" t="0" r="0" b="0"/>
            <wp:docPr id="1" name="Pearson" descr="Pearson logo" title="Pear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143000" cy="228600"/>
                    </a:xfrm>
                    <a:prstGeom prst="rect">
                      <a:avLst/>
                    </a:prstGeom>
                  </pic:spPr>
                </pic:pic>
              </a:graphicData>
            </a:graphic>
          </wp:inline>
        </w:drawing>
      </w:r>
    </w:p>
    <w:p w14:paraId="0362CEE2" w14:textId="77777777" w:rsidR="00155E59" w:rsidRDefault="00000000">
      <w:pPr>
        <w:spacing w:after="40"/>
      </w:pPr>
      <w:r>
        <w:rPr>
          <w:b/>
          <w:bCs/>
          <w:color w:val="512EAB"/>
          <w:sz w:val="15"/>
          <w:szCs w:val="15"/>
        </w:rPr>
        <w:t>CARROWMORE BRIEF · SENIOR PRODUCT MANAGER, ZERO TO ONE · CALLIE RAE MCSPADDEN</w:t>
      </w:r>
    </w:p>
    <w:p w14:paraId="00A763E9" w14:textId="77777777" w:rsidR="00155E59" w:rsidRDefault="00000000">
      <w:pPr>
        <w:pBdr>
          <w:bottom w:val="single" w:sz="6" w:space="6" w:color="56E2E1"/>
        </w:pBdr>
        <w:spacing w:after="100"/>
      </w:pPr>
      <w:r>
        <w:rPr>
          <w:b/>
          <w:bCs/>
          <w:color w:val="0D004D"/>
          <w:sz w:val="16"/>
          <w:szCs w:val="16"/>
        </w:rPr>
        <w:t>Prototype:</w:t>
      </w:r>
      <w:r>
        <w:rPr>
          <w:color w:val="0D004D"/>
          <w:sz w:val="16"/>
          <w:szCs w:val="16"/>
        </w:rPr>
        <w:t xml:space="preserve"> callierae.github.io/CarrowmorePrototype/prototype/   </w:t>
      </w:r>
      <w:r>
        <w:rPr>
          <w:b/>
          <w:bCs/>
          <w:color w:val="0D004D"/>
          <w:sz w:val="16"/>
          <w:szCs w:val="16"/>
        </w:rPr>
        <w:t>Repository:</w:t>
      </w:r>
      <w:r>
        <w:rPr>
          <w:color w:val="0D004D"/>
          <w:sz w:val="16"/>
          <w:szCs w:val="16"/>
        </w:rPr>
        <w:t xml:space="preserve"> github.com/CallieRae/CarrowmorePrototype</w:t>
      </w:r>
    </w:p>
    <w:p w14:paraId="30B090C7" w14:textId="77777777" w:rsidR="00155E59" w:rsidRDefault="00000000">
      <w:pPr>
        <w:pStyle w:val="Heading1"/>
      </w:pPr>
      <w:r>
        <w:t>Frame</w:t>
      </w:r>
    </w:p>
    <w:p w14:paraId="00AEDF71" w14:textId="20242FBF" w:rsidR="00155E59" w:rsidRPr="009C5A97" w:rsidRDefault="00B0063E">
      <w:pPr>
        <w:spacing w:after="50"/>
        <w:rPr>
          <w:b/>
          <w:bCs/>
          <w:color w:val="002060"/>
        </w:rPr>
      </w:pPr>
      <w:r>
        <w:rPr>
          <w:b/>
          <w:bCs/>
          <w:color w:val="002060"/>
        </w:rPr>
        <w:t xml:space="preserve">Forty years of logbooks can be translated into an employer’s terms, graded impartially, and used to show a keeper what they are qualified for or the route to get there.</w:t>
      </w:r>
    </w:p>
    <w:p w14:paraId="4FBE930E" w14:textId="77777777" w:rsidR="00155E59" w:rsidRDefault="00000000">
      <w:pPr>
        <w:pStyle w:val="Heading2"/>
      </w:pPr>
      <w:r>
        <w:t>Whose problem</w:t>
      </w:r>
    </w:p>
    <w:p w14:paraId="5D1C6D98" w14:textId="77777777" w:rsidR="00FE1A36" w:rsidRDefault="00000000">
      <w:pPr>
        <w:spacing w:after="50"/>
      </w:pPr>
      <w:r>
        <w:rPr>
          <w:b/>
          <w:bCs/>
        </w:rPr>
        <w:t>The keeper’s:</w:t>
      </w:r>
      <w:r>
        <w:t xml:space="preserve"> </w:t>
      </w:r>
      <w:r>
        <w:rPr>
          <w:i/>
          <w:iCs/>
        </w:rPr>
        <w:t>what am I qualified for, what am I nearly qualified for, and what is the shortest route from here to a job?</w:t>
      </w:r>
      <w:r>
        <w:t xml:space="preserve"> The employer’s problem runs on the same evidence, so one record serves both views.</w:t>
      </w:r>
    </w:p>
    <w:p w14:paraId="26A54453" w14:textId="77777777" w:rsidR="00155E59" w:rsidRDefault="006550CE">
      <w:pPr>
        <w:pStyle w:val="Heading2"/>
      </w:pPr>
      <w:r>
        <w:t xml:space="preserve">Assumptions </w:t>
      </w:r>
    </w:p>
    <w:p w14:paraId="2D3AF168" w14:textId="77777777" w:rsidR="00155E59" w:rsidRDefault="00000000">
      <w:pPr>
        <w:pStyle w:val="ListParagraph"/>
        <w:numPr>
          <w:ilvl w:val="0"/>
          <w:numId w:val="2"/>
        </w:numPr>
        <w:spacing w:after="30"/>
      </w:pPr>
      <w:r>
        <w:t>Skills are what you know, not how you learned them: “isolated no.2 and earthed off” is what a module assesses.</w:t>
      </w:r>
    </w:p>
    <w:p w14:paraId="494BE0AC" w14:textId="77777777" w:rsidR="00155E59" w:rsidRDefault="00000000">
      <w:pPr>
        <w:pStyle w:val="ListParagraph"/>
        <w:numPr>
          <w:ilvl w:val="0"/>
          <w:numId w:val="2"/>
        </w:numPr>
        <w:spacing w:after="30"/>
      </w:pPr>
      <w:r>
        <w:t>Translation is the value, even where the keeper already knows the skill.</w:t>
      </w:r>
    </w:p>
    <w:p w14:paraId="7EF701AB" w14:textId="77777777" w:rsidR="00155E59" w:rsidRDefault="00000000">
      <w:pPr>
        <w:pStyle w:val="ListParagraph"/>
        <w:numPr>
          <w:ilvl w:val="0"/>
          <w:numId w:val="2"/>
        </w:numPr>
        <w:spacing w:after="30"/>
      </w:pPr>
      <w:r>
        <w:t>Most keepers are nearly qualified: 23 of 38 hold some HV Authorized Person modules; 2 hold the full certificate.</w:t>
      </w:r>
    </w:p>
    <w:p w14:paraId="6507FF7F" w14:textId="77777777" w:rsidR="00155E59" w:rsidRDefault="00000000">
      <w:pPr>
        <w:pStyle w:val="ListParagraph"/>
        <w:numPr>
          <w:ilvl w:val="0"/>
          <w:numId w:val="2"/>
        </w:numPr>
        <w:spacing w:after="30"/>
      </w:pPr>
      <w:r>
        <w:t>Employers will weigh inferred evidence where marked for follow-up. Not testable in mock scenario.</w:t>
      </w:r>
    </w:p>
    <w:p w14:paraId="7EE18712" w14:textId="77777777" w:rsidR="00155E59" w:rsidRDefault="00000000">
      <w:pPr>
        <w:pStyle w:val="Heading2"/>
      </w:pPr>
      <w:r>
        <w:t>The Sink</w:t>
      </w:r>
    </w:p>
    <w:p w14:paraId="2D07B8DF" w14:textId="77777777" w:rsidR="00FE1A36" w:rsidRDefault="00000000">
      <w:pPr>
        <w:spacing w:after="50"/>
      </w:pPr>
      <w:r>
        <w:rPr>
          <w:b/>
          <w:bCs/>
        </w:rPr>
        <w:t>AI can map logs to employer requirements and word the result plainly enough that a keeper understands and acts on it correctly.</w:t>
      </w:r>
      <w:r>
        <w:t xml:space="preserve"> If wrong, or read as a guarantee, it sends a candidate to an interview unqualified.</w:t>
      </w:r>
    </w:p>
    <w:p w14:paraId="1C4C1C1B" w14:textId="77777777" w:rsidR="00155E59" w:rsidRDefault="009C5A97">
      <w:pPr>
        <w:pStyle w:val="Heading2"/>
      </w:pPr>
      <w:r>
        <w:t>Testing</w:t>
      </w:r>
    </w:p>
    <w:p w14:paraId="2EDEEA29" w14:textId="77777777" w:rsidR="00FE1A36" w:rsidRDefault="00000000">
      <w:pPr>
        <w:spacing w:after="50"/>
      </w:pPr>
      <w:r>
        <w:rPr>
          <w:b/>
          <w:bCs/>
        </w:rPr>
        <w:t>Method:</w:t>
      </w:r>
      <w:r>
        <w:t xml:space="preserve"> On the Authority’s cleaned subset (the question is inference, not OCR repair), ten keepers, chosen by rule with three held out from tuning, were graded blind by hand on five requirements before the AI graded them, citing every log line. No match score: four evidence tiers, and logs never mark an insurer gate as met.</w:t>
      </w:r>
    </w:p>
    <w:p w14:paraId="38CA0322" w14:textId="6F5A8A1B" w:rsidR="00FE1A36" w:rsidRDefault="00000000">
      <w:pPr>
        <w:spacing w:after="50"/>
      </w:pPr>
      <w:bookmarkStart w:id="0" w:name="OLE_LINK3"/>
      <w:r>
        <w:rPr>
          <w:b/>
          <w:bCs/>
        </w:rPr>
        <w:t>Kill rules</w:t>
      </w:r>
      <w:bookmarkEnd w:id="0"/>
      <w:r>
        <w:rPr>
          <w:b/>
          <w:bCs/>
        </w:rPr>
        <w:t>, set before results:</w:t>
      </w:r>
      <w:r>
        <w:t xml:space="preserve"> beat keyword search on the held-out keepers, find at least half the real evidence, and be wrong no more than 1 time in 10 to persevere (more than 1 in 4 to kill).</w:t>
      </w:r>
    </w:p>
    <w:p w14:paraId="38E6F9D5" w14:textId="77777777" w:rsidR="00155E59" w:rsidRDefault="009C5A97">
      <w:pPr>
        <w:pStyle w:val="Heading2"/>
      </w:pPr>
      <w:r>
        <w:t>What wasn’t built</w:t>
      </w:r>
    </w:p>
    <w:p w14:paraId="100B28FD" w14:textId="77777777" w:rsidR="00FE1A36" w:rsidRDefault="00000000">
      <w:pPr>
        <w:spacing w:after="50"/>
      </w:pPr>
      <w:r>
        <w:t>The raw pack (attribution took the Authority three weeks for 40 keepers; at 340 it is the kill at scale), four of six postings, small-boat work (needs the employer’s definition of small boats and swell), appraisals and manager notes (the tool seeks only what it needs), two untested desirables (supervising contractors, mentoring), the age-dependent “younger colleagues” criterion (age is not used), and real authentication (the mock sign-in shows who sees what, with no security).</w:t>
      </w:r>
    </w:p>
    <w:p w14:paraId="173025C3" w14:textId="7C4ED53E" w:rsidR="00155E59" w:rsidRDefault="00000000">
      <w:pPr>
        <w:pStyle w:val="Heading1"/>
      </w:pPr>
      <w:r>
        <w:t xml:space="preserve">The call: persevere, with advisor review</w:t>
      </w:r>
    </w:p>
    <w:p w14:paraId="6CD0A09B" w14:textId="2382CB07" w:rsidR="00BE0BE9" w:rsidRDefault="00B85DD4" w:rsidP="00BE0BE9">
      <w:pPr>
        <w:spacing w:after="50"/>
        <w:rPr>
          <w:i/>
          <w:iCs/>
        </w:rPr>
      </w:pPr>
      <w:r>
        <w:rPr>
          <w:b/>
          <w:bCs/>
        </w:rPr>
        <w:t xml:space="preserve">My rules return inconclusive, leaning persevere; my call is to persevere.</w:t>
      </w:r>
      <w:r>
        <w:t xml:space="preserve"> </w:t>
      </w:r>
      <w:r>
        <w:t xml:space="preserve">The AI beat the comparative keyword search for keepers’ qualifications, was wrong no more than 1 time in 10, and found more than half of the real evidence. Ship with advisor review until retesting with larger samples affirms or refines the logic.</w:t>
      </w:r>
    </w:p>
    <w:p w14:paraId="3E120895" w14:textId="1AAE42D6" w:rsidR="00B85DD4" w:rsidRDefault="00B85DD4" w:rsidP="00665434">
      <w:pPr>
        <w:spacing w:before="100" w:after="5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80"/>
        <w:gridCol w:w="3300"/>
        <w:gridCol w:w="2700"/>
      </w:tblGrid>
      <w:tr w:rsidR="00155E59" w14:paraId="26AC9431" w14:textId="77777777">
        <w:trPr>
          <w:cantSplit/>
          <w:tblHeader/>
        </w:trPr>
        <w:tc>
          <w:tcPr>
            <w:tcW w:w="4080" w:type="dxa"/>
            <w:tcBorders>
              <w:top w:val="single" w:sz="4" w:space="0" w:color="C1BFFF"/>
              <w:left w:val="single" w:sz="4" w:space="0" w:color="C1BFFF"/>
              <w:bottom w:val="single" w:sz="4" w:space="0" w:color="C1BFFF"/>
              <w:right w:val="single" w:sz="4" w:space="0" w:color="C1BFFF"/>
            </w:tcBorders>
            <w:shd w:val="clear" w:color="auto" w:fill="0D004D"/>
            <w:tcMar>
              <w:top w:w="30" w:type="dxa"/>
              <w:left w:w="110" w:type="dxa"/>
              <w:bottom w:w="30" w:type="dxa"/>
              <w:right w:w="110" w:type="dxa"/>
            </w:tcMar>
          </w:tcPr>
          <w:p w14:paraId="11791010" w14:textId="77777777" w:rsidR="00155E59" w:rsidRDefault="00155E59">
            <w:pPr>
              <w:keepNext/>
            </w:pPr>
            <w:bookmarkStart w:id="1" w:name="OLE_LINK2"/>
          </w:p>
        </w:tc>
        <w:tc>
          <w:tcPr>
            <w:tcW w:w="3300" w:type="dxa"/>
            <w:tcBorders>
              <w:top w:val="single" w:sz="4" w:space="0" w:color="C1BFFF"/>
              <w:left w:val="single" w:sz="4" w:space="0" w:color="C1BFFF"/>
              <w:bottom w:val="single" w:sz="4" w:space="0" w:color="C1BFFF"/>
              <w:right w:val="single" w:sz="4" w:space="0" w:color="C1BFFF"/>
            </w:tcBorders>
            <w:shd w:val="clear" w:color="auto" w:fill="0D004D"/>
            <w:tcMar>
              <w:top w:w="30" w:type="dxa"/>
              <w:left w:w="110" w:type="dxa"/>
              <w:bottom w:w="30" w:type="dxa"/>
              <w:right w:w="110" w:type="dxa"/>
            </w:tcMar>
          </w:tcPr>
          <w:p w14:paraId="6C69DF8C" w14:textId="77777777" w:rsidR="00155E59" w:rsidRDefault="00000000">
            <w:pPr>
              <w:keepNext/>
            </w:pPr>
            <w:r>
              <w:rPr>
                <w:b/>
                <w:bCs/>
                <w:color w:val="FFFFFF"/>
              </w:rPr>
              <w:t>AI (Prototype)</w:t>
            </w:r>
          </w:p>
        </w:tc>
        <w:tc>
          <w:tcPr>
            <w:tcW w:w="2700" w:type="dxa"/>
            <w:tcBorders>
              <w:top w:val="single" w:sz="4" w:space="0" w:color="C1BFFF"/>
              <w:left w:val="single" w:sz="4" w:space="0" w:color="C1BFFF"/>
              <w:bottom w:val="single" w:sz="4" w:space="0" w:color="C1BFFF"/>
              <w:right w:val="single" w:sz="4" w:space="0" w:color="C1BFFF"/>
            </w:tcBorders>
            <w:shd w:val="clear" w:color="auto" w:fill="0D004D"/>
            <w:tcMar>
              <w:top w:w="30" w:type="dxa"/>
              <w:left w:w="110" w:type="dxa"/>
              <w:bottom w:w="30" w:type="dxa"/>
              <w:right w:w="110" w:type="dxa"/>
            </w:tcMar>
          </w:tcPr>
          <w:p w14:paraId="34B1DE5E" w14:textId="77777777" w:rsidR="00155E59" w:rsidRDefault="00000000">
            <w:pPr>
              <w:keepNext/>
            </w:pPr>
            <w:r>
              <w:rPr>
                <w:b/>
                <w:bCs/>
                <w:color w:val="FFFFFF"/>
              </w:rPr>
              <w:t>Keyword search</w:t>
            </w:r>
          </w:p>
        </w:tc>
      </w:tr>
      <w:tr w:rsidR="00155E59" w14:paraId="7A9F5C64" w14:textId="77777777">
        <w:trPr>
          <w:cantSplit/>
        </w:trPr>
        <w:tc>
          <w:tcPr>
            <w:tcW w:w="4080" w:type="dxa"/>
            <w:tcBorders>
              <w:top w:val="single" w:sz="4" w:space="0" w:color="C1BFFF"/>
              <w:left w:val="single" w:sz="4" w:space="0" w:color="C1BFFF"/>
              <w:bottom w:val="single" w:sz="4" w:space="0" w:color="C1BFFF"/>
              <w:right w:val="single" w:sz="4" w:space="0" w:color="C1BFFF"/>
            </w:tcBorders>
            <w:shd w:val="clear" w:color="auto" w:fill="FFFFFF"/>
            <w:tcMar>
              <w:top w:w="30" w:type="dxa"/>
              <w:left w:w="110" w:type="dxa"/>
              <w:bottom w:w="30" w:type="dxa"/>
              <w:right w:w="110" w:type="dxa"/>
            </w:tcMar>
          </w:tcPr>
          <w:p w14:paraId="45BDDFB0" w14:textId="1F1D6AAB" w:rsidR="00155E59" w:rsidRDefault="00000000">
            <w:pPr>
              <w:keepNext/>
            </w:pPr>
            <w:r>
              <w:rPr>
                <w:color w:val="0D004D"/>
              </w:rPr>
              <w:t xml:space="preserve">Overclaims (False Positives) of all 10 test keepers</w:t>
            </w:r>
          </w:p>
        </w:tc>
        <w:tc>
          <w:tcPr>
            <w:tcW w:w="3300" w:type="dxa"/>
            <w:tcBorders>
              <w:top w:val="single" w:sz="4" w:space="0" w:color="C1BFFF"/>
              <w:left w:val="single" w:sz="4" w:space="0" w:color="C1BFFF"/>
              <w:bottom w:val="single" w:sz="4" w:space="0" w:color="C1BFFF"/>
              <w:right w:val="single" w:sz="4" w:space="0" w:color="C1BFFF"/>
            </w:tcBorders>
            <w:shd w:val="clear" w:color="auto" w:fill="FFFFFF"/>
            <w:tcMar>
              <w:top w:w="30" w:type="dxa"/>
              <w:left w:w="110" w:type="dxa"/>
              <w:bottom w:w="30" w:type="dxa"/>
              <w:right w:w="110" w:type="dxa"/>
            </w:tcMar>
          </w:tcPr>
          <w:p w14:paraId="203B2C25" w14:textId="77777777" w:rsidR="00155E59" w:rsidRDefault="00000000">
            <w:pPr>
              <w:keepNext/>
            </w:pPr>
            <w:r>
              <w:rPr>
                <w:color w:val="0D004D"/>
              </w:rPr>
              <w:t xml:space="preserve">6%, 2 of 32 </w:t>
            </w:r>
          </w:p>
        </w:tc>
        <w:tc>
          <w:tcPr>
            <w:tcW w:w="2700" w:type="dxa"/>
            <w:tcBorders>
              <w:top w:val="single" w:sz="4" w:space="0" w:color="C1BFFF"/>
              <w:left w:val="single" w:sz="4" w:space="0" w:color="C1BFFF"/>
              <w:bottom w:val="single" w:sz="4" w:space="0" w:color="C1BFFF"/>
              <w:right w:val="single" w:sz="4" w:space="0" w:color="C1BFFF"/>
            </w:tcBorders>
            <w:shd w:val="clear" w:color="auto" w:fill="FFFFFF"/>
            <w:tcMar>
              <w:top w:w="30" w:type="dxa"/>
              <w:left w:w="110" w:type="dxa"/>
              <w:bottom w:w="30" w:type="dxa"/>
              <w:right w:w="110" w:type="dxa"/>
            </w:tcMar>
          </w:tcPr>
          <w:p w14:paraId="19194CAE" w14:textId="77777777" w:rsidR="00155E59" w:rsidRDefault="00000000">
            <w:pPr>
              <w:keepNext/>
            </w:pPr>
            <w:r>
              <w:rPr>
                <w:color w:val="0D004D"/>
              </w:rPr>
              <w:t>32%, 12 of 38</w:t>
            </w:r>
          </w:p>
        </w:tc>
      </w:tr>
      <w:tr w:rsidR="00155E59" w14:paraId="5E620563" w14:textId="77777777">
        <w:trPr>
          <w:cantSplit/>
        </w:trPr>
        <w:tc>
          <w:tcPr>
            <w:tcW w:w="4080" w:type="dxa"/>
            <w:tcBorders>
              <w:top w:val="single" w:sz="4" w:space="0" w:color="C1BFFF"/>
              <w:left w:val="single" w:sz="4" w:space="0" w:color="C1BFFF"/>
              <w:bottom w:val="single" w:sz="4" w:space="0" w:color="C1BFFF"/>
              <w:right w:val="single" w:sz="4" w:space="0" w:color="C1BFFF"/>
            </w:tcBorders>
            <w:shd w:val="clear" w:color="auto" w:fill="C1BFFF"/>
            <w:tcMar>
              <w:top w:w="30" w:type="dxa"/>
              <w:left w:w="110" w:type="dxa"/>
              <w:bottom w:w="30" w:type="dxa"/>
              <w:right w:w="110" w:type="dxa"/>
            </w:tcMar>
          </w:tcPr>
          <w:p w14:paraId="4EA85679" w14:textId="3819083A" w:rsidR="00155E59" w:rsidRDefault="00000000">
            <w:pPr>
              <w:keepNext/>
            </w:pPr>
            <w:r>
              <w:rPr>
                <w:color w:val="0D004D"/>
              </w:rPr>
              <w:t xml:space="preserve">Recall (% of hand grading matched by tool)</w:t>
            </w:r>
          </w:p>
        </w:tc>
        <w:tc>
          <w:tcPr>
            <w:tcW w:w="3300" w:type="dxa"/>
            <w:tcBorders>
              <w:top w:val="single" w:sz="4" w:space="0" w:color="C1BFFF"/>
              <w:left w:val="single" w:sz="4" w:space="0" w:color="C1BFFF"/>
              <w:bottom w:val="single" w:sz="4" w:space="0" w:color="C1BFFF"/>
              <w:right w:val="single" w:sz="4" w:space="0" w:color="C1BFFF"/>
            </w:tcBorders>
            <w:shd w:val="clear" w:color="auto" w:fill="C1BFFF"/>
            <w:tcMar>
              <w:top w:w="30" w:type="dxa"/>
              <w:left w:w="110" w:type="dxa"/>
              <w:bottom w:w="30" w:type="dxa"/>
              <w:right w:w="110" w:type="dxa"/>
            </w:tcMar>
          </w:tcPr>
          <w:p w14:paraId="2B0A3A3F" w14:textId="77777777" w:rsidR="00155E59" w:rsidRDefault="00000000">
            <w:pPr>
              <w:keepNext/>
            </w:pPr>
            <w:r>
              <w:rPr>
                <w:color w:val="0D004D"/>
              </w:rPr>
              <w:t>79%</w:t>
            </w:r>
          </w:p>
        </w:tc>
        <w:tc>
          <w:tcPr>
            <w:tcW w:w="2700" w:type="dxa"/>
            <w:tcBorders>
              <w:top w:val="single" w:sz="4" w:space="0" w:color="C1BFFF"/>
              <w:left w:val="single" w:sz="4" w:space="0" w:color="C1BFFF"/>
              <w:bottom w:val="single" w:sz="4" w:space="0" w:color="C1BFFF"/>
              <w:right w:val="single" w:sz="4" w:space="0" w:color="C1BFFF"/>
            </w:tcBorders>
            <w:shd w:val="clear" w:color="auto" w:fill="C1BFFF"/>
            <w:tcMar>
              <w:top w:w="30" w:type="dxa"/>
              <w:left w:w="110" w:type="dxa"/>
              <w:bottom w:w="30" w:type="dxa"/>
              <w:right w:w="110" w:type="dxa"/>
            </w:tcMar>
          </w:tcPr>
          <w:p w14:paraId="42695801" w14:textId="77777777" w:rsidR="00155E59" w:rsidRDefault="00000000">
            <w:pPr>
              <w:keepNext/>
            </w:pPr>
            <w:r>
              <w:rPr>
                <w:color w:val="0D004D"/>
              </w:rPr>
              <w:t>68%</w:t>
            </w:r>
          </w:p>
        </w:tc>
      </w:tr>
      <w:tr w:rsidR="00155E59" w14:paraId="2843CDF7" w14:textId="77777777">
        <w:trPr>
          <w:cantSplit/>
        </w:trPr>
        <w:tc>
          <w:tcPr>
            <w:tcW w:w="4080" w:type="dxa"/>
            <w:tcBorders>
              <w:top w:val="single" w:sz="4" w:space="0" w:color="C1BFFF"/>
              <w:left w:val="single" w:sz="4" w:space="0" w:color="C1BFFF"/>
              <w:bottom w:val="single" w:sz="4" w:space="0" w:color="C1BFFF"/>
              <w:right w:val="single" w:sz="4" w:space="0" w:color="C1BFFF"/>
            </w:tcBorders>
            <w:shd w:val="clear" w:color="auto" w:fill="FFFFFF"/>
            <w:tcMar>
              <w:top w:w="30" w:type="dxa"/>
              <w:left w:w="110" w:type="dxa"/>
              <w:bottom w:w="30" w:type="dxa"/>
              <w:right w:w="110" w:type="dxa"/>
            </w:tcMar>
          </w:tcPr>
          <w:p w14:paraId="71759DCC" w14:textId="3D636C3B" w:rsidR="00155E59" w:rsidRDefault="00690206">
            <w:pPr>
              <w:keepNext/>
            </w:pPr>
            <w:r>
              <w:rPr>
                <w:color w:val="0D004D"/>
              </w:rPr>
              <w:t xml:space="preserve">Overclaims (False Positives) of 3 held-out keepers, never used for tuning</w:t>
            </w:r>
          </w:p>
        </w:tc>
        <w:tc>
          <w:tcPr>
            <w:tcW w:w="3300" w:type="dxa"/>
            <w:tcBorders>
              <w:top w:val="single" w:sz="4" w:space="0" w:color="C1BFFF"/>
              <w:left w:val="single" w:sz="4" w:space="0" w:color="C1BFFF"/>
              <w:bottom w:val="single" w:sz="4" w:space="0" w:color="C1BFFF"/>
              <w:right w:val="single" w:sz="4" w:space="0" w:color="C1BFFF"/>
            </w:tcBorders>
            <w:shd w:val="clear" w:color="auto" w:fill="FFFFFF"/>
            <w:tcMar>
              <w:top w:w="30" w:type="dxa"/>
              <w:left w:w="110" w:type="dxa"/>
              <w:bottom w:w="30" w:type="dxa"/>
              <w:right w:w="110" w:type="dxa"/>
            </w:tcMar>
          </w:tcPr>
          <w:p w14:paraId="48339E75" w14:textId="77777777" w:rsidR="00155E59" w:rsidRDefault="00000000">
            <w:pPr>
              <w:keepNext/>
            </w:pPr>
            <w:r>
              <w:rPr>
                <w:color w:val="0D004D"/>
              </w:rPr>
              <w:t>10%, 1 of 10</w:t>
            </w:r>
          </w:p>
        </w:tc>
        <w:tc>
          <w:tcPr>
            <w:tcW w:w="2700" w:type="dxa"/>
            <w:tcBorders>
              <w:top w:val="single" w:sz="4" w:space="0" w:color="C1BFFF"/>
              <w:left w:val="single" w:sz="4" w:space="0" w:color="C1BFFF"/>
              <w:bottom w:val="single" w:sz="4" w:space="0" w:color="C1BFFF"/>
              <w:right w:val="single" w:sz="4" w:space="0" w:color="C1BFFF"/>
            </w:tcBorders>
            <w:shd w:val="clear" w:color="auto" w:fill="FFFFFF"/>
            <w:tcMar>
              <w:top w:w="30" w:type="dxa"/>
              <w:left w:w="110" w:type="dxa"/>
              <w:bottom w:w="30" w:type="dxa"/>
              <w:right w:w="110" w:type="dxa"/>
            </w:tcMar>
          </w:tcPr>
          <w:p w14:paraId="7F52D860" w14:textId="77777777" w:rsidR="00155E59" w:rsidRDefault="00000000">
            <w:pPr>
              <w:keepNext/>
            </w:pPr>
            <w:r>
              <w:rPr>
                <w:color w:val="0D004D"/>
              </w:rPr>
              <w:t>50%, 6 of 12</w:t>
            </w:r>
          </w:p>
        </w:tc>
      </w:tr>
    </w:tbl>
    <w:bookmarkEnd w:id="1"/>
    <w:p w14:paraId="01A2F0B7" w14:textId="77777777" w:rsidR="00155E59" w:rsidRDefault="00000000">
      <w:pPr>
        <w:pStyle w:val="Heading2"/>
      </w:pPr>
      <w:r>
        <w:t xml:space="preserve">QA: </w:t>
      </w:r>
    </w:p>
    <w:p w14:paraId="62F94F81" w14:textId="77777777" w:rsidR="00AA08E0" w:rsidRDefault="00000000" w:rsidP="00AA08E0">
      <w:pPr>
        <w:pStyle w:val="ListParagraph"/>
        <w:numPr>
          <w:ilvl w:val="0"/>
          <w:numId w:val="3"/>
        </w:numPr>
        <w:spacing w:after="50"/>
      </w:pPr>
      <w:r>
        <w:rPr>
          <w:b/>
          <w:bCs/>
        </w:rPr>
        <w:t>Reviewer 1</w:t>
      </w:r>
      <w:r>
        <w:t xml:space="preserve">: Took </w:t>
      </w:r>
      <w:r>
        <w:rPr>
          <w:i/>
          <w:iCs/>
        </w:rPr>
        <w:t>Evidenced</w:t>
      </w:r>
      <w:r>
        <w:t xml:space="preserve"> to mean </w:t>
      </w:r>
      <w:r>
        <w:rPr>
          <w:i/>
          <w:iCs/>
        </w:rPr>
        <w:t>qualified</w:t>
      </w:r>
      <w:r>
        <w:t xml:space="preserve">, the exact failure the framing named. It is now </w:t>
      </w:r>
      <w:r>
        <w:rPr>
          <w:i/>
          <w:iCs/>
        </w:rPr>
        <w:t>Logged experience, needs validation or cert</w:t>
      </w:r>
      <w:r>
        <w:t>, with a follow-up on each, pending its own test.</w:t>
      </w:r>
    </w:p>
    <w:p w14:paraId="116BFC75" w14:textId="1964ADAA" w:rsidR="00FE1A36" w:rsidRDefault="00000000">
      <w:pPr>
        <w:pStyle w:val="ListParagraph"/>
        <w:numPr>
          <w:ilvl w:val="0"/>
          <w:numId w:val="3"/>
        </w:numPr>
        <w:spacing w:after="50"/>
      </w:pPr>
      <w:r>
        <w:rPr>
          <w:b/>
          <w:bCs/>
        </w:rPr>
        <w:t>Reviewer 2</w:t>
      </w:r>
      <w:r>
        <w:t xml:space="preserve">: Understood how documented experience lined up with each role, but was surprised that </w:t>
      </w:r>
      <w:r>
        <w:rPr>
          <w:i/>
          <w:iCs/>
        </w:rPr>
        <w:t>Closest to ready</w:t>
      </w:r>
      <w:r>
        <w:t xml:space="preserve"> needed a click to show the ranked list, that “honest” verbiage implied a dishonest route, and that “Insufficient logged experience” read as no experience. The last two are fixed; the ranked list is next.</w:t>
      </w:r>
    </w:p>
    <w:p w14:paraId="76C0C55B" w14:textId="77777777" w:rsidR="00FE1A36" w:rsidRDefault="00000000">
      <w:pPr>
        <w:pStyle w:val="ListParagraph"/>
        <w:numPr>
          <w:ilvl w:val="0"/>
          <w:numId w:val="3"/>
        </w:numPr>
        <w:spacing w:after="50"/>
      </w:pPr>
      <w:r>
        <w:rPr>
          <w:b/>
          <w:bCs/>
        </w:rPr>
        <w:t>AI and QA</w:t>
      </w:r>
      <w:r>
        <w:t>: I set the test rules before any results and graded by hand (ai-was-wrong.md). Claude invented a figure, proposed a baseless kill threshold, applied mixed labeling formats, shipped a scoring bug that would have flipped the call, and inferred authorization from logs. Final QA of 228 screens fixed an overclaiming route line, verdicts resting on one repeated log line (now two dates and two sentences: 7 lines demoted, re-scored at 6.5% overclaims and 76% recall), and 3 certificates with no renewal on file.</w:t>
      </w:r>
    </w:p>
    <w:p w14:paraId="5C601E61" w14:textId="77777777" w:rsidR="00FE1A36" w:rsidRDefault="00000000">
      <w:pPr>
        <w:pStyle w:val="ListParagraph"/>
        <w:numPr>
          <w:ilvl w:val="0"/>
          <w:numId w:val="3"/>
        </w:numPr>
        <w:spacing w:after="50"/>
      </w:pPr>
      <w:r>
        <w:rPr>
          <w:b/>
          <w:bCs/>
        </w:rPr>
        <w:t>Accessibility</w:t>
      </w:r>
      <w:r>
        <w:t>: plain language, symbols with color, WCAG AA contrast. Time: about 3 hours, 1 each on discovery, build, and testing and write-up.</w:t>
      </w:r>
    </w:p>
    <w:p w14:paraId="6E7A65D9" w14:textId="437E608E" w:rsidR="00FE1A36" w:rsidRDefault="00000000">
      <w:pPr>
        <w:spacing w:after="50"/>
      </w:pPr>
      <w:r>
        <w:rPr>
          <w:b/>
          <w:bCs/>
        </w:rPr>
        <w:t>If this graduated:</w:t>
      </w:r>
      <w:r>
        <w:t xml:space="preserve"> throw away the testing shortcuts (one-time AI labels, one file holding every record, a sign-in for UX with no security). Keep: the logic (translating between natural language and prescribed qualifications), the qualification labels, the rule that logged evidence never clears a licensed requirement, and the test setup. Roadmap would consider addition of estimated certification cost and time for candidates to meet requirements. </w:t>
      </w:r>
    </w:p>
    <w:sectPr w:rsidR="00FE1A36">
      <w:footerReference w:type="default" r:id="rId8"/>
      <w:pgSz w:w="12240" w:h="15840"/>
      <w:pgMar w:top="520" w:right="900" w:bottom="520" w:left="900" w:header="280" w:footer="2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9B5DD55" w14:textId="77777777" w:rsidR="00467CC7" w:rsidRDefault="00467CC7">
      <w:pPr>
        <w:spacing w:line="240" w:lineRule="auto"/>
      </w:pPr>
      <w:r>
        <w:separator/>
      </w:r>
    </w:p>
  </w:endnote>
  <w:endnote w:type="continuationSeparator" w:id="0">
    <w:p w14:paraId="7CB5E203" w14:textId="77777777" w:rsidR="00467CC7" w:rsidRDefault="00467CC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92F0B9" w14:textId="77777777" w:rsidR="00155E59" w:rsidRDefault="00000000">
    <w:pPr>
      <w:jc w:val="right"/>
    </w:pPr>
    <w:r>
      <w:rPr>
        <w:color w:val="512EAB"/>
        <w:sz w:val="15"/>
        <w:szCs w:val="15"/>
      </w:rPr>
      <w:t xml:space="preserve">Carrowmore: framing and </w:t>
    </w:r>
    <w:proofErr w:type="gramStart"/>
    <w:r>
      <w:rPr>
        <w:color w:val="512EAB"/>
        <w:sz w:val="15"/>
        <w:szCs w:val="15"/>
      </w:rPr>
      <w:t>call  |</w:t>
    </w:r>
    <w:proofErr w:type="gramEnd"/>
    <w:r>
      <w:rPr>
        <w:color w:val="512EAB"/>
        <w:sz w:val="15"/>
        <w:szCs w:val="15"/>
      </w:rPr>
      <w:t xml:space="preserve">  Page </w:t>
    </w:r>
    <w:r>
      <w:rPr>
        <w:color w:val="512EAB"/>
        <w:sz w:val="15"/>
        <w:szCs w:val="15"/>
      </w:rPr>
      <w:fldChar w:fldCharType="begin"/>
    </w:r>
    <w:r>
      <w:rPr>
        <w:color w:val="512EAB"/>
        <w:sz w:val="15"/>
        <w:szCs w:val="15"/>
      </w:rPr>
      <w:instrText>PAGE</w:instrText>
    </w:r>
    <w:r>
      <w:rPr>
        <w:color w:val="512EAB"/>
        <w:sz w:val="15"/>
        <w:szCs w:val="15"/>
      </w:rPr>
      <w:fldChar w:fldCharType="separate"/>
    </w:r>
    <w:r w:rsidR="006550CE">
      <w:rPr>
        <w:noProof/>
        <w:color w:val="512EAB"/>
        <w:sz w:val="15"/>
        <w:szCs w:val="15"/>
      </w:rPr>
      <w:t>1</w:t>
    </w:r>
    <w:r>
      <w:rPr>
        <w:color w:val="512EAB"/>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A1BE29" w14:textId="77777777" w:rsidR="00467CC7" w:rsidRDefault="00467CC7">
      <w:pPr>
        <w:spacing w:line="240" w:lineRule="auto"/>
      </w:pPr>
      <w:r>
        <w:separator/>
      </w:r>
    </w:p>
  </w:footnote>
  <w:footnote w:type="continuationSeparator" w:id="0">
    <w:p w14:paraId="500AD45E" w14:textId="77777777" w:rsidR="00467CC7" w:rsidRDefault="00467CC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E2582E"/>
    <w:multiLevelType w:val="hybridMultilevel"/>
    <w:tmpl w:val="27AAFC18"/>
    <w:lvl w:ilvl="0" w:tplc="F09E6892">
      <w:start w:val="1"/>
      <w:numFmt w:val="bullet"/>
      <w:lvlText w:val="●"/>
      <w:lvlJc w:val="left"/>
      <w:pPr>
        <w:ind w:left="720" w:hanging="360"/>
      </w:pPr>
    </w:lvl>
    <w:lvl w:ilvl="1" w:tplc="45EE3982">
      <w:start w:val="1"/>
      <w:numFmt w:val="bullet"/>
      <w:lvlText w:val="○"/>
      <w:lvlJc w:val="left"/>
      <w:pPr>
        <w:ind w:left="1440" w:hanging="360"/>
      </w:pPr>
    </w:lvl>
    <w:lvl w:ilvl="2" w:tplc="925C5A90">
      <w:start w:val="1"/>
      <w:numFmt w:val="bullet"/>
      <w:lvlText w:val="■"/>
      <w:lvlJc w:val="left"/>
      <w:pPr>
        <w:ind w:left="2160" w:hanging="360"/>
      </w:pPr>
    </w:lvl>
    <w:lvl w:ilvl="3" w:tplc="E27420F0">
      <w:start w:val="1"/>
      <w:numFmt w:val="bullet"/>
      <w:lvlText w:val="●"/>
      <w:lvlJc w:val="left"/>
      <w:pPr>
        <w:ind w:left="2880" w:hanging="360"/>
      </w:pPr>
    </w:lvl>
    <w:lvl w:ilvl="4" w:tplc="122A5CBC">
      <w:start w:val="1"/>
      <w:numFmt w:val="bullet"/>
      <w:lvlText w:val="○"/>
      <w:lvlJc w:val="left"/>
      <w:pPr>
        <w:ind w:left="3600" w:hanging="360"/>
      </w:pPr>
    </w:lvl>
    <w:lvl w:ilvl="5" w:tplc="27322DC0">
      <w:start w:val="1"/>
      <w:numFmt w:val="bullet"/>
      <w:lvlText w:val="■"/>
      <w:lvlJc w:val="left"/>
      <w:pPr>
        <w:ind w:left="4320" w:hanging="360"/>
      </w:pPr>
    </w:lvl>
    <w:lvl w:ilvl="6" w:tplc="895C212C">
      <w:start w:val="1"/>
      <w:numFmt w:val="bullet"/>
      <w:lvlText w:val="●"/>
      <w:lvlJc w:val="left"/>
      <w:pPr>
        <w:ind w:left="5040" w:hanging="360"/>
      </w:pPr>
    </w:lvl>
    <w:lvl w:ilvl="7" w:tplc="E7041CD4">
      <w:start w:val="1"/>
      <w:numFmt w:val="bullet"/>
      <w:lvlText w:val="●"/>
      <w:lvlJc w:val="left"/>
      <w:pPr>
        <w:ind w:left="5760" w:hanging="360"/>
      </w:pPr>
    </w:lvl>
    <w:lvl w:ilvl="8" w:tplc="71706D48">
      <w:start w:val="1"/>
      <w:numFmt w:val="bullet"/>
      <w:lvlText w:val="●"/>
      <w:lvlJc w:val="left"/>
      <w:pPr>
        <w:ind w:left="6480" w:hanging="360"/>
      </w:pPr>
    </w:lvl>
  </w:abstractNum>
  <w:abstractNum w:abstractNumId="1" w15:restartNumberingAfterBreak="0">
    <w:nsid w:val="5CF749B6"/>
    <w:multiLevelType w:val="hybridMultilevel"/>
    <w:tmpl w:val="31C6C5C4"/>
    <w:lvl w:ilvl="0" w:tplc="7EC4CC90">
      <w:start w:val="1"/>
      <w:numFmt w:val="decimal"/>
      <w:lvlText w:val="%1."/>
      <w:lvlJc w:val="left"/>
      <w:pPr>
        <w:ind w:left="460" w:hanging="300"/>
      </w:pPr>
      <w:rPr>
        <w:b/>
        <w:bCs/>
        <w:color w:val="512EAB"/>
      </w:rPr>
    </w:lvl>
    <w:lvl w:ilvl="1" w:tplc="6C489070">
      <w:numFmt w:val="decimal"/>
      <w:lvlText w:val=""/>
      <w:lvlJc w:val="left"/>
    </w:lvl>
    <w:lvl w:ilvl="2" w:tplc="81C26810">
      <w:numFmt w:val="decimal"/>
      <w:lvlText w:val=""/>
      <w:lvlJc w:val="left"/>
    </w:lvl>
    <w:lvl w:ilvl="3" w:tplc="CB62E33A">
      <w:numFmt w:val="decimal"/>
      <w:lvlText w:val=""/>
      <w:lvlJc w:val="left"/>
    </w:lvl>
    <w:lvl w:ilvl="4" w:tplc="D130BEC8">
      <w:numFmt w:val="decimal"/>
      <w:lvlText w:val=""/>
      <w:lvlJc w:val="left"/>
    </w:lvl>
    <w:lvl w:ilvl="5" w:tplc="9440D6BA">
      <w:numFmt w:val="decimal"/>
      <w:lvlText w:val=""/>
      <w:lvlJc w:val="left"/>
    </w:lvl>
    <w:lvl w:ilvl="6" w:tplc="27043F90">
      <w:numFmt w:val="decimal"/>
      <w:lvlText w:val=""/>
      <w:lvlJc w:val="left"/>
    </w:lvl>
    <w:lvl w:ilvl="7" w:tplc="E848ADAA">
      <w:numFmt w:val="decimal"/>
      <w:lvlText w:val=""/>
      <w:lvlJc w:val="left"/>
    </w:lvl>
    <w:lvl w:ilvl="8" w:tplc="EF08A70E">
      <w:numFmt w:val="decimal"/>
      <w:lvlText w:val=""/>
      <w:lvlJc w:val="left"/>
    </w:lvl>
  </w:abstractNum>
  <w:abstractNum w:abstractNumId="2" w15:restartNumberingAfterBreak="0">
    <w:nsid w:val="7EE7364E"/>
    <w:multiLevelType w:val="hybridMultilevel"/>
    <w:tmpl w:val="16C020E6"/>
    <w:lvl w:ilvl="0" w:tplc="8ECCBDF0">
      <w:start w:val="1"/>
      <w:numFmt w:val="bullet"/>
      <w:lvlText w:val="•"/>
      <w:lvlJc w:val="left"/>
      <w:pPr>
        <w:ind w:left="460" w:hanging="260"/>
      </w:pPr>
      <w:rPr>
        <w:color w:val="512EAB"/>
      </w:rPr>
    </w:lvl>
    <w:lvl w:ilvl="1" w:tplc="184C9566">
      <w:numFmt w:val="decimal"/>
      <w:lvlText w:val=""/>
      <w:lvlJc w:val="left"/>
    </w:lvl>
    <w:lvl w:ilvl="2" w:tplc="D2745BAC">
      <w:numFmt w:val="decimal"/>
      <w:lvlText w:val=""/>
      <w:lvlJc w:val="left"/>
    </w:lvl>
    <w:lvl w:ilvl="3" w:tplc="6598136C">
      <w:numFmt w:val="decimal"/>
      <w:lvlText w:val=""/>
      <w:lvlJc w:val="left"/>
    </w:lvl>
    <w:lvl w:ilvl="4" w:tplc="5792F59E">
      <w:numFmt w:val="decimal"/>
      <w:lvlText w:val=""/>
      <w:lvlJc w:val="left"/>
    </w:lvl>
    <w:lvl w:ilvl="5" w:tplc="7376138E">
      <w:numFmt w:val="decimal"/>
      <w:lvlText w:val=""/>
      <w:lvlJc w:val="left"/>
    </w:lvl>
    <w:lvl w:ilvl="6" w:tplc="A1A4A816">
      <w:numFmt w:val="decimal"/>
      <w:lvlText w:val=""/>
      <w:lvlJc w:val="left"/>
    </w:lvl>
    <w:lvl w:ilvl="7" w:tplc="C9DA43CE">
      <w:numFmt w:val="decimal"/>
      <w:lvlText w:val=""/>
      <w:lvlJc w:val="left"/>
    </w:lvl>
    <w:lvl w:ilvl="8" w:tplc="BB74CB38">
      <w:numFmt w:val="decimal"/>
      <w:lvlText w:val=""/>
      <w:lvlJc w:val="left"/>
    </w:lvl>
  </w:abstractNum>
  <w:num w:numId="1" w16cid:durableId="1031345735">
    <w:abstractNumId w:val="0"/>
    <w:lvlOverride w:ilvl="0">
      <w:startOverride w:val="1"/>
    </w:lvlOverride>
  </w:num>
  <w:num w:numId="2" w16cid:durableId="259223989">
    <w:abstractNumId w:val="1"/>
    <w:lvlOverride w:ilvl="0">
      <w:startOverride w:val="1"/>
    </w:lvlOverride>
  </w:num>
  <w:num w:numId="3" w16cid:durableId="1023628710">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5E59"/>
    <w:rsid w:val="00155E59"/>
    <w:rsid w:val="00366498"/>
    <w:rsid w:val="00467CC7"/>
    <w:rsid w:val="0053177C"/>
    <w:rsid w:val="006550CE"/>
    <w:rsid w:val="00665434"/>
    <w:rsid w:val="00690206"/>
    <w:rsid w:val="00745064"/>
    <w:rsid w:val="007912DE"/>
    <w:rsid w:val="009C5A97"/>
    <w:rsid w:val="00AA08E0"/>
    <w:rsid w:val="00B0063E"/>
    <w:rsid w:val="00B85DD4"/>
    <w:rsid w:val="00BE0BE9"/>
    <w:rsid w:val="00E31B13"/>
    <w:rsid w:val="00F308DE"/>
    <w:rsid w:val="00FE1A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B9DBCFB"/>
  <w15:docId w15:val="{A549480C-8074-8441-8DD3-F1935C87AC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000000"/>
        <w:sz w:val="18"/>
        <w:szCs w:val="18"/>
        <w:lang w:val="en-US" w:eastAsia="en-US" w:bidi="ar-SA"/>
      </w:rPr>
    </w:rPrDefault>
    <w:pPrDefault>
      <w:pPr>
        <w:spacing w:line="245"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80" w:after="80"/>
      <w:outlineLvl w:val="0"/>
    </w:pPr>
    <w:rPr>
      <w:b/>
      <w:bCs/>
      <w:color w:val="0D004D"/>
      <w:sz w:val="26"/>
      <w:szCs w:val="26"/>
    </w:rPr>
  </w:style>
  <w:style w:type="paragraph" w:styleId="Heading2">
    <w:name w:val="heading 2"/>
    <w:uiPriority w:val="9"/>
    <w:unhideWhenUsed/>
    <w:qFormat/>
    <w:pPr>
      <w:keepNext/>
      <w:keepLines/>
      <w:spacing w:before="80" w:after="30"/>
      <w:outlineLvl w:val="1"/>
    </w:pPr>
    <w:rPr>
      <w:b/>
      <w:bCs/>
      <w:color w:val="512EAB"/>
      <w:sz w:val="21"/>
      <w:szCs w:val="21"/>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AA08E0"/>
    <w:pPr>
      <w:spacing w:before="100" w:beforeAutospacing="1" w:after="100" w:afterAutospacing="1" w:line="240" w:lineRule="auto"/>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657</Words>
  <Characters>3751</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Carrowmore: Framing and Call</vt:lpstr>
    </vt:vector>
  </TitlesOfParts>
  <Company/>
  <LinksUpToDate>false</LinksUpToDate>
  <CharactersWithSpaces>4400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Carrowmore: Framing and Call</dc:title>
  <dc:creator>Callie Rae McSpadden</dc:creator>
  <cp:lastModifiedBy>Callie Rae McSpadden</cp:lastModifiedBy>
  <cp:revision>2</cp:revision>
  <dcterms:created xsi:type="dcterms:W3CDTF">2026-10-21T22:58:00Z</dcterms:created>
  <dcterms:modified xsi:type="dcterms:W3CDTF">2026-10-21T22:58:00Z</dcterms:modified>
</cp:coreProperties>
</file>