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228600"/>
            <wp:effectExtent t="0" r="0" b="0" l="0"/>
            <wp:docPr id="1" name="Pearson" descr="Pearson logo" title="Pea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512EAB"/>
          <w:sz w:val="15"/>
          <w:szCs w:val="15"/>
        </w:rPr>
        <w:t xml:space="preserve">CARROWMORE BRIEF · SENIOR PRODUCT MANAGER, ZERO TO ONE · CALLIE RAE MCSPADDEN</w:t>
      </w:r>
    </w:p>
    <w:p>
      <w:pPr>
        <w:pBdr>
          <w:bottom w:val="single" w:color="56E2E1" w:sz="6" w:space="6"/>
        </w:pBdr>
        <w:spacing w:after="100"/>
      </w:pPr>
      <w:r>
        <w:rPr>
          <w:b/>
          <w:bCs/>
          <w:color w:val="0D004D"/>
          <w:sz w:val="16"/>
          <w:szCs w:val="16"/>
        </w:rPr>
        <w:t xml:space="preserve">Prototype:</w:t>
      </w:r>
      <w:r>
        <w:rPr>
          <w:color w:val="0D004D"/>
          <w:sz w:val="16"/>
          <w:szCs w:val="16"/>
        </w:rPr>
        <w:t xml:space="preserve"> callierae.github.io/CarrowmorePrototype/prototype/   </w:t>
      </w:r>
      <w:r>
        <w:rPr>
          <w:b/>
          <w:bCs/>
          <w:color w:val="0D004D"/>
          <w:sz w:val="16"/>
          <w:szCs w:val="16"/>
        </w:rPr>
        <w:t xml:space="preserve">Repository:</w:t>
      </w:r>
      <w:r>
        <w:rPr>
          <w:color w:val="0D004D"/>
          <w:sz w:val="16"/>
          <w:szCs w:val="16"/>
        </w:rPr>
        <w:t xml:space="preserve"> github.com/CallieRae/CarrowmorePrototype</w:t>
      </w:r>
    </w:p>
    <w:p>
      <w:pPr>
        <w:pStyle w:val="Heading1"/>
      </w:pPr>
      <w:r>
        <w:t xml:space="preserve">Framing the bet</w:t>
      </w:r>
    </w:p>
    <w:p>
      <w:pPr>
        <w:spacing w:after="50"/>
      </w:pPr>
      <w:r>
        <w:t xml:space="preserve">A keeper's working life is already written down, just not in a language employers read. The bet: forty years of logbooks can be translated into an employer's terms, graded honestly, so a keeper sees what he is qualified for, what he is nearly qualified for, and the shortest route between the two.</w:t>
      </w:r>
    </w:p>
    <w:p>
      <w:pPr>
        <w:pStyle w:val="Heading2"/>
      </w:pPr>
      <w:r>
        <w:t xml:space="preserve">Whose problem</w:t>
      </w:r>
    </w:p>
    <w:p>
      <w:pPr>
        <w:spacing w:after="50"/>
      </w:pPr>
      <w:r>
        <w:t xml:space="preserve">The keeper's: </w:t>
      </w:r>
      <w:r>
        <w:rPr>
          <w:i/>
          <w:iCs/>
        </w:rPr>
        <w:t xml:space="preserve">"What am I qualified for, what am I nearly qualified for, and what is the shortest honest route from here to a job?"</w:t>
      </w:r>
      <w:r>
        <w:t xml:space="preserve"> The redeployment shortlist runs on the same evidence, so one record serves both views.</w:t>
      </w:r>
    </w:p>
    <w:p>
      <w:pPr>
        <w:pStyle w:val="Heading2"/>
      </w:pPr>
      <w:r>
        <w:t xml:space="preserve">What I believe but cannot yet prove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Skills are what you know, not how you learned them: "isolated no.2 and earthed off" is what a module assesses.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Translation is the value, even where the keeper already knows the skill.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Most keepers are nearly qualified: 23 of 38 hold some HV Authorized Person modules; 2 hold the full certificate.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Employers will weigh inferred evidence. Not testable this week.</w:t>
      </w:r>
    </w:p>
    <w:p>
      <w:pPr>
        <w:pStyle w:val="Heading2"/>
      </w:pPr>
      <w:r>
        <w:t xml:space="preserve">The one that sinks it</w:t>
      </w:r>
    </w:p>
    <w:p>
      <w:pPr>
        <w:spacing w:after="50"/>
      </w:pPr>
      <w:r>
        <w:rPr>
          <w:b/>
          <w:bCs/>
        </w:rPr>
        <w:t xml:space="preserve">AI can map log entries to employer requirements accurately enough, and word the result plainly enough, that a keeper acts on it correctly.</w:t>
      </w:r>
      <w:r>
        <w:t xml:space="preserve"> Wrong, or read as a promise, it sends a fifty-four-year-old to an interview he can't pass.</w:t>
      </w:r>
    </w:p>
    <w:p>
      <w:pPr>
        <w:pStyle w:val="Heading2"/>
      </w:pPr>
      <w:r>
        <w:t xml:space="preserve">How I tested it</w:t>
      </w:r>
    </w:p>
    <w:p>
      <w:pPr>
        <w:spacing w:after="50"/>
      </w:pPr>
      <w:r>
        <w:t xml:space="preserve">Ten keepers, chosen by rule with three held out, were graded blind by hand on five requirements before the AI graded them, citing every log line. No match score: four evidence tiers, and logs never mark an insurer gate as met. Kill rules, committed first: beat keyword search on the held-out keepers, find at least half the real evidence, and be wrong no more than 1 time in 10 to persevere (1 in 4 to pivot).</w:t>
      </w:r>
    </w:p>
    <w:p>
      <w:pPr>
        <w:pStyle w:val="Heading2"/>
      </w:pPr>
      <w:r>
        <w:t xml:space="preserve">What I chose not to build</w:t>
      </w:r>
    </w:p>
    <w:p>
      <w:pPr>
        <w:spacing w:after="50"/>
      </w:pPr>
      <w:r>
        <w:t xml:space="preserve">The raw pack (attribution took the Authority three weeks for 40 keepers; at 340 it is the kill at scale), four of the six postings, small-boat work and two untested desirables (supervising contractors, mentoring), learning-rate and cost-of-candidacy models, appraisals and age-dependent criteria like "younger colleagues" (the tool seeks only what it needs) and real authentication (the mock sign-in shows who sees what).</w:t>
      </w:r>
    </w:p>
    <w:p>
      <w:pPr>
        <w:pBdr>
          <w:bottom w:val="single" w:color="56E2E1" w:sz="6" w:space="4"/>
        </w:pBdr>
        <w:spacing w:after="40"/>
      </w:pPr>
    </w:p>
    <w:p>
      <w:pPr>
        <w:pStyle w:val="Heading1"/>
      </w:pPr>
      <w:r>
        <w:t xml:space="preserve">The call: persevere on the evidence, pivot on the language</w:t>
      </w:r>
    </w:p>
    <w:p>
      <w:pPr>
        <w:spacing w:after="50"/>
      </w:pPr>
      <w:r>
        <w:rPr>
          <w:b/>
          <w:bCs/>
        </w:rPr>
        <w:t xml:space="preserve">The mapping held; the wording didn't.</w:t>
      </w:r>
      <w:r>
        <w:t xml:space="preserve"> Ship it advisor-reviewed until a second grader, a larger sample and a wording retest confirm it. On accuracy, my rules return </w:t>
      </w:r>
      <w:r>
        <w:rPr>
          <w:i/>
          <w:iCs/>
        </w:rPr>
        <w:t xml:space="preserve">inconclusive, leaning persevere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3300"/>
        <w:gridCol w:w="2700"/>
      </w:tblGrid>
      <w:tr>
        <w:trPr>
          <w:cantSplit/>
          <w:tblHeader/>
        </w:trPr>
        <w:tc>
          <w:tcPr>
            <w:tcW w:type="dxa" w:w="408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0D004D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</w:p>
        </w:tc>
        <w:tc>
          <w:tcPr>
            <w:tcW w:type="dxa" w:w="33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0D004D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27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0D004D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Keyword search</w:t>
            </w:r>
          </w:p>
        </w:tc>
      </w:tr>
      <w:tr>
        <w:trPr>
          <w:cantSplit/>
          <w:tblHeader w:val="false"/>
        </w:trPr>
        <w:tc>
          <w:tcPr>
            <w:tcW w:type="dxa" w:w="408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Overclaims (95% CI)</w:t>
            </w:r>
          </w:p>
        </w:tc>
        <w:tc>
          <w:tcPr>
            <w:tcW w:type="dxa" w:w="33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6%, 2 of 32 (2 to 20%)</w:t>
            </w:r>
          </w:p>
        </w:tc>
        <w:tc>
          <w:tcPr>
            <w:tcW w:type="dxa" w:w="27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32%, 12 of 38</w:t>
            </w:r>
          </w:p>
        </w:tc>
      </w:tr>
      <w:tr>
        <w:trPr>
          <w:cantSplit/>
          <w:tblHeader w:val="false"/>
        </w:trPr>
        <w:tc>
          <w:tcPr>
            <w:tcW w:type="dxa" w:w="408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C1B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Recall</w:t>
            </w:r>
          </w:p>
        </w:tc>
        <w:tc>
          <w:tcPr>
            <w:tcW w:type="dxa" w:w="33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C1B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79%</w:t>
            </w:r>
          </w:p>
        </w:tc>
        <w:tc>
          <w:tcPr>
            <w:tcW w:type="dxa" w:w="27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C1B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/>
            </w:pPr>
            <w:r>
              <w:rPr>
                <w:color w:val="0D004D"/>
                <w:sz w:val="18"/>
                <w:szCs w:val="18"/>
              </w:rPr>
              <w:t xml:space="preserve">68%</w:t>
            </w:r>
          </w:p>
        </w:tc>
      </w:tr>
      <w:tr>
        <w:trPr>
          <w:cantSplit/>
          <w:tblHeader w:val="false"/>
        </w:trPr>
        <w:tc>
          <w:tcPr>
            <w:tcW w:type="dxa" w:w="408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</w:pPr>
            <w:r>
              <w:rPr>
                <w:color w:val="0D004D"/>
                <w:sz w:val="18"/>
                <w:szCs w:val="18"/>
              </w:rPr>
              <w:t xml:space="preserve">Held-out keepers: overclaims</w:t>
            </w:r>
          </w:p>
        </w:tc>
        <w:tc>
          <w:tcPr>
            <w:tcW w:type="dxa" w:w="33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</w:pPr>
            <w:r>
              <w:rPr>
                <w:color w:val="0D004D"/>
                <w:sz w:val="18"/>
                <w:szCs w:val="18"/>
              </w:rPr>
              <w:t xml:space="preserve">10%</w:t>
            </w:r>
          </w:p>
        </w:tc>
        <w:tc>
          <w:tcPr>
            <w:tcW w:type="dxa" w:w="2700"/>
            <w:tcBorders>
              <w:top w:val="single" w:color="C1BFFF" w:sz="4"/>
              <w:left w:val="single" w:color="C1BFFF" w:sz="4"/>
              <w:bottom w:val="single" w:color="C1BFFF" w:sz="4"/>
              <w:right w:val="single" w:color="C1BFFF" w:sz="4"/>
            </w:tcBorders>
            <w:shd w:fill="FFFFFF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</w:pPr>
            <w:r>
              <w:rPr>
                <w:color w:val="0D004D"/>
                <w:sz w:val="18"/>
                <w:szCs w:val="18"/>
              </w:rPr>
              <w:t xml:space="preserve">50%</w:t>
            </w:r>
          </w:p>
        </w:tc>
      </w:tr>
    </w:tbl>
    <w:p>
      <w:pPr>
        <w:spacing w:after="20"/>
      </w:pPr>
    </w:p>
    <w:p>
      <w:pPr>
        <w:spacing w:after="50"/>
      </w:pPr>
      <w:r>
        <w:t xml:space="preserve">The AI beat keyword search on the held-out keepers, but 6% sits near the persevere edge. Logs show maintenance, fault-finding and permit work well, and HV switching poorly (voltage is rarely stated; 2 of 6 found), the right failure for an insurer gate. The clean logs are templated; raw text is the real test.</w:t>
      </w:r>
    </w:p>
    <w:p>
      <w:pPr>
        <w:pStyle w:val="Heading2"/>
      </w:pPr>
      <w:r>
        <w:t xml:space="preserve">QA: where the AI and the build were wrong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Reviewer: the one outside reader took </w:t>
      </w:r>
      <w:r>
        <w:rPr>
          <w:i/>
          <w:iCs/>
        </w:rPr>
        <w:t xml:space="preserve">Evidenced</w:t>
      </w:r>
      <w:r>
        <w:t xml:space="preserve"> to mean </w:t>
      </w:r>
      <w:r>
        <w:rPr>
          <w:i/>
          <w:iCs/>
        </w:rPr>
        <w:t xml:space="preserve">qualified</w:t>
      </w:r>
      <w:r>
        <w:t xml:space="preserve">, the exact failure the framing named. It is now </w:t>
      </w:r>
      <w:r>
        <w:rPr>
          <w:i/>
          <w:iCs/>
        </w:rPr>
        <w:t xml:space="preserve">Logged experience, needs validation or cert</w:t>
      </w:r>
      <w:r>
        <w:t xml:space="preserve">, with a follow-up on each, pending its own test.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AI: it invented a figure, proposed a baseless kill threshold, shipped a scoring bug that would have flipped the call, and wrote "your logs suggest you may once have held an HV authorization" into the interface. I checked every number, set the rules before results, and graded by hand (ai-was-wrong.md).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Full build: 228 screens render cleanly, with no record leaking between keepers. Fixed a route line claiming the Array trains everything, verdicts resting on one repeated line (now two dates and two sentences: 7 lines demoted, re-scored at 6.5% overclaims and 76% recall), and 3 certificates marked current with no renewal on file.</w:t>
      </w:r>
    </w:p>
    <w:p>
      <w:pPr>
        <w:pStyle w:val="Heading2"/>
      </w:pPr>
      <w:r>
        <w:t xml:space="preserve">If this graduated</w:t>
      </w:r>
    </w:p>
    <w:p>
      <w:pPr>
        <w:spacing w:after="50"/>
      </w:pPr>
      <w:r>
        <w:t xml:space="preserve">Throw away the one-pass labels, the single-file build and the mock sign-in; keep the tiers and gate rule, line-level citations, the clarify loop and the pre-registered harness. </w:t>
      </w:r>
      <w:r>
        <w:rPr>
          <w:i/>
          <w:iCs/>
        </w:rPr>
        <w:t xml:space="preserve">Accessible by design: plain language, symbols with color, works offline. Time spent: [to add].</w:t>
      </w:r>
    </w:p>
    <w:sectPr>
      <w:footerReference w:type="default" r:id="rId7"/>
      <w:pgSz w:w="12240" w:h="15840" w:orient="portrait"/>
      <w:pgMar w:top="6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12EAB"/>
        <w:sz w:val="15"/>
        <w:szCs w:val="15"/>
      </w:rPr>
      <w:t xml:space="preserve">Carrowmore: framing and call  |  Page </w:t>
    </w:r>
    <w:r>
      <w:rPr>
        <w:color w:val="512EA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12EA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512EA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>
      <w:pPr>
        <w:spacing w:line="24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80"/>
      <w:outlineLvl w:val="0"/>
    </w:pPr>
    <w:rPr>
      <w:rFonts w:ascii="Arial" w:cs="Arial" w:eastAsia="Arial" w:hAnsi="Arial"/>
      <w:b/>
      <w:bCs/>
      <w:color w:val="0D004D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30" w:before="80"/>
      <w:outlineLvl w:val="1"/>
    </w:pPr>
    <w:rPr>
      <w:rFonts w:ascii="Arial" w:cs="Arial" w:eastAsia="Arial" w:hAnsi="Arial"/>
      <w:b/>
      <w:bCs/>
      <w:color w:val="512EA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310d30863b7bab173d3a5950da3802e4b49b9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Carrowmore: Framing and Call</dc:title>
  <dc:creator>Callie Rae McSpadden</dc:creator>
  <cp:lastModifiedBy>Un-named</cp:lastModifiedBy>
  <cp:revision>1</cp:revision>
  <dcterms:created xsi:type="dcterms:W3CDTF">2026-10-21T17:49:24.324Z</dcterms:created>
  <dcterms:modified xsi:type="dcterms:W3CDTF">2026-10-21T17:49:24.324Z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